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7A7" w:rsidRDefault="00F4509C">
      <w:pPr>
        <w:spacing w:after="291" w:line="240" w:lineRule="auto"/>
        <w:jc w:val="center"/>
      </w:pPr>
      <w:r>
        <w:rPr>
          <w:rFonts w:ascii="Arial" w:eastAsia="Arial" w:hAnsi="Arial" w:cs="Arial"/>
          <w:b/>
          <w:color w:val="404041"/>
          <w:sz w:val="24"/>
        </w:rPr>
        <w:t>FICHA TÉCNICA</w:t>
      </w:r>
    </w:p>
    <w:p w:rsidR="006C27A7" w:rsidRDefault="00F4509C">
      <w:pPr>
        <w:spacing w:after="292" w:line="350" w:lineRule="auto"/>
        <w:ind w:left="-5" w:right="-14" w:hanging="10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Base de datos: </w:t>
      </w:r>
      <w:r w:rsidR="00C9335F">
        <w:rPr>
          <w:rFonts w:ascii="Arial" w:eastAsia="Arial" w:hAnsi="Arial" w:cs="Arial"/>
          <w:color w:val="404041"/>
          <w:sz w:val="24"/>
        </w:rPr>
        <w:t>BDmortalidadCAMAbase</w:t>
      </w:r>
      <w:r>
        <w:rPr>
          <w:rFonts w:ascii="Arial" w:eastAsia="Arial" w:hAnsi="Arial" w:cs="Arial"/>
          <w:color w:val="404041"/>
          <w:sz w:val="24"/>
        </w:rPr>
        <w:t>.</w:t>
      </w:r>
      <w:r w:rsidR="00C9335F">
        <w:rPr>
          <w:rFonts w:ascii="Arial" w:eastAsia="Arial" w:hAnsi="Arial" w:cs="Arial"/>
          <w:color w:val="404041"/>
          <w:sz w:val="24"/>
        </w:rPr>
        <w:t>dbf</w:t>
      </w:r>
    </w:p>
    <w:p w:rsidR="006C27A7" w:rsidRDefault="00F4509C">
      <w:pPr>
        <w:numPr>
          <w:ilvl w:val="0"/>
          <w:numId w:val="1"/>
        </w:numPr>
        <w:spacing w:after="292" w:line="350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Objetivo general. </w:t>
      </w:r>
      <w:r>
        <w:rPr>
          <w:rFonts w:ascii="Arial" w:eastAsia="Arial" w:hAnsi="Arial" w:cs="Arial"/>
          <w:color w:val="404041"/>
          <w:sz w:val="24"/>
        </w:rPr>
        <w:t xml:space="preserve">Generar una base de datos georreferrenciada con información </w:t>
      </w:r>
      <w:r w:rsidR="004529DE">
        <w:rPr>
          <w:rFonts w:ascii="Arial" w:eastAsia="Arial" w:hAnsi="Arial" w:cs="Arial"/>
          <w:color w:val="404041"/>
          <w:sz w:val="24"/>
        </w:rPr>
        <w:t>sobre mortalidad</w:t>
      </w:r>
      <w:r w:rsidR="00C9335F">
        <w:rPr>
          <w:rFonts w:ascii="Arial" w:eastAsia="Arial" w:hAnsi="Arial" w:cs="Arial"/>
          <w:color w:val="404041"/>
          <w:sz w:val="24"/>
        </w:rPr>
        <w:t xml:space="preserve"> por cáncer de mama (CAMA)</w:t>
      </w:r>
    </w:p>
    <w:p w:rsidR="006C27A7" w:rsidRDefault="00F4509C">
      <w:pPr>
        <w:numPr>
          <w:ilvl w:val="0"/>
          <w:numId w:val="1"/>
        </w:numPr>
        <w:spacing w:after="292" w:line="350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>Propósito</w:t>
      </w:r>
      <w:r>
        <w:rPr>
          <w:rFonts w:ascii="Arial" w:eastAsia="Arial" w:hAnsi="Arial" w:cs="Arial"/>
          <w:b/>
          <w:color w:val="404041"/>
          <w:sz w:val="24"/>
        </w:rPr>
        <w:tab/>
        <w:t>del</w:t>
      </w:r>
      <w:r>
        <w:rPr>
          <w:rFonts w:ascii="Arial" w:eastAsia="Arial" w:hAnsi="Arial" w:cs="Arial"/>
          <w:b/>
          <w:color w:val="404041"/>
          <w:sz w:val="24"/>
        </w:rPr>
        <w:tab/>
        <w:t>recurso.</w:t>
      </w:r>
      <w:r>
        <w:rPr>
          <w:rFonts w:ascii="Arial" w:eastAsia="Arial" w:hAnsi="Arial" w:cs="Arial"/>
          <w:b/>
          <w:color w:val="404041"/>
          <w:sz w:val="24"/>
        </w:rPr>
        <w:tab/>
      </w:r>
      <w:r>
        <w:rPr>
          <w:rFonts w:ascii="Arial" w:eastAsia="Arial" w:hAnsi="Arial" w:cs="Arial"/>
          <w:color w:val="404041"/>
          <w:sz w:val="24"/>
        </w:rPr>
        <w:t>Caracterizar</w:t>
      </w:r>
      <w:r>
        <w:rPr>
          <w:rFonts w:ascii="Arial" w:eastAsia="Arial" w:hAnsi="Arial" w:cs="Arial"/>
          <w:color w:val="404041"/>
          <w:sz w:val="24"/>
        </w:rPr>
        <w:tab/>
        <w:t>las</w:t>
      </w:r>
      <w:r>
        <w:rPr>
          <w:rFonts w:ascii="Arial" w:eastAsia="Arial" w:hAnsi="Arial" w:cs="Arial"/>
          <w:color w:val="404041"/>
          <w:sz w:val="24"/>
        </w:rPr>
        <w:tab/>
        <w:t>condiciones</w:t>
      </w:r>
      <w:r>
        <w:rPr>
          <w:rFonts w:ascii="Arial" w:eastAsia="Arial" w:hAnsi="Arial" w:cs="Arial"/>
          <w:color w:val="404041"/>
          <w:sz w:val="24"/>
        </w:rPr>
        <w:tab/>
        <w:t xml:space="preserve">sociales </w:t>
      </w:r>
    </w:p>
    <w:p w:rsidR="006C27A7" w:rsidRDefault="00F4509C">
      <w:pPr>
        <w:numPr>
          <w:ilvl w:val="0"/>
          <w:numId w:val="1"/>
        </w:numPr>
        <w:spacing w:after="290" w:line="246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Investigador principal a cargo. </w:t>
      </w:r>
      <w:r w:rsidR="007A3100">
        <w:rPr>
          <w:rFonts w:ascii="Arial" w:eastAsia="Arial" w:hAnsi="Arial" w:cs="Arial"/>
          <w:color w:val="404041"/>
          <w:sz w:val="24"/>
        </w:rPr>
        <w:t>Dra. Lizet del Carmen Jarquín Yáñez</w:t>
      </w:r>
      <w:r w:rsidR="007A3100">
        <w:rPr>
          <w:rFonts w:ascii="Arial" w:eastAsia="Arial" w:hAnsi="Arial" w:cs="Arial"/>
          <w:color w:val="404041"/>
          <w:sz w:val="24"/>
        </w:rPr>
        <w:t>;</w:t>
      </w:r>
      <w:r w:rsidR="007A3100" w:rsidRPr="006F677F">
        <w:rPr>
          <w:rFonts w:ascii="Arial" w:eastAsia="Arial" w:hAnsi="Arial" w:cs="Arial"/>
          <w:color w:val="404041"/>
          <w:sz w:val="24"/>
        </w:rPr>
        <w:t xml:space="preserve"> </w:t>
      </w:r>
      <w:r w:rsidR="006F677F" w:rsidRPr="006F677F">
        <w:rPr>
          <w:rFonts w:ascii="Arial" w:eastAsia="Arial" w:hAnsi="Arial" w:cs="Arial"/>
          <w:color w:val="404041"/>
          <w:sz w:val="24"/>
        </w:rPr>
        <w:t>Dr</w:t>
      </w:r>
      <w:r w:rsidR="007A3100">
        <w:rPr>
          <w:rFonts w:ascii="Arial" w:eastAsia="Arial" w:hAnsi="Arial" w:cs="Arial"/>
          <w:color w:val="404041"/>
          <w:sz w:val="24"/>
        </w:rPr>
        <w:t>a. Jaqueline Calderón Hernández</w:t>
      </w:r>
      <w:bookmarkStart w:id="0" w:name="_GoBack"/>
      <w:bookmarkEnd w:id="0"/>
      <w:r w:rsidR="00C9335F">
        <w:rPr>
          <w:rFonts w:ascii="Arial" w:eastAsia="Arial" w:hAnsi="Arial" w:cs="Arial"/>
          <w:color w:val="404041"/>
          <w:sz w:val="24"/>
        </w:rPr>
        <w:t>.</w:t>
      </w:r>
    </w:p>
    <w:p w:rsidR="006C27A7" w:rsidRDefault="00F4509C">
      <w:pPr>
        <w:numPr>
          <w:ilvl w:val="0"/>
          <w:numId w:val="1"/>
        </w:numPr>
        <w:spacing w:after="292" w:line="350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Recolección/obtención de los datos. </w:t>
      </w:r>
      <w:r>
        <w:rPr>
          <w:rFonts w:ascii="Arial" w:eastAsia="Arial" w:hAnsi="Arial" w:cs="Arial"/>
          <w:color w:val="404041"/>
          <w:sz w:val="24"/>
        </w:rPr>
        <w:t xml:space="preserve">Se integró una </w:t>
      </w:r>
      <w:r w:rsidR="004529DE">
        <w:rPr>
          <w:rFonts w:ascii="Arial" w:eastAsia="Arial" w:hAnsi="Arial" w:cs="Arial"/>
          <w:color w:val="404041"/>
          <w:sz w:val="24"/>
        </w:rPr>
        <w:t xml:space="preserve">base de datos con información sobre el número de defunciones por cáncer de mama (CAMA) por </w:t>
      </w:r>
      <w:r>
        <w:rPr>
          <w:rFonts w:ascii="Arial" w:eastAsia="Arial" w:hAnsi="Arial" w:cs="Arial"/>
          <w:color w:val="404041"/>
          <w:sz w:val="24"/>
        </w:rPr>
        <w:t xml:space="preserve">grupos de edad con datos del Instituto Nacional de Estadística y Geografía (INEGI) </w:t>
      </w:r>
      <w:r w:rsidR="004529DE">
        <w:rPr>
          <w:rFonts w:ascii="Arial" w:eastAsia="Arial" w:hAnsi="Arial" w:cs="Arial"/>
          <w:color w:val="404041"/>
          <w:sz w:val="24"/>
        </w:rPr>
        <w:t>y datos de población en riesgo a partir de proyecciones anuales del Consejo Nacional de Población (CONAPO)</w:t>
      </w:r>
      <w:r>
        <w:rPr>
          <w:rFonts w:ascii="Arial" w:eastAsia="Arial" w:hAnsi="Arial" w:cs="Arial"/>
          <w:color w:val="404041"/>
          <w:sz w:val="24"/>
        </w:rPr>
        <w:t>. Se selecci</w:t>
      </w:r>
      <w:r w:rsidR="004529DE">
        <w:rPr>
          <w:rFonts w:ascii="Arial" w:eastAsia="Arial" w:hAnsi="Arial" w:cs="Arial"/>
          <w:color w:val="404041"/>
          <w:sz w:val="24"/>
        </w:rPr>
        <w:t>onaron las variables de interés.</w:t>
      </w:r>
      <w:r w:rsidR="00C9335F">
        <w:rPr>
          <w:rFonts w:ascii="Arial" w:eastAsia="Arial" w:hAnsi="Arial" w:cs="Arial"/>
          <w:color w:val="404041"/>
          <w:sz w:val="24"/>
        </w:rPr>
        <w:t xml:space="preserve"> Se registraron las defunciones por localidad y la población por tamaño de localidad, grupo de edad quinquenal, entidad y municipio de los censos 2010 y 2020.</w:t>
      </w:r>
    </w:p>
    <w:p w:rsidR="006C27A7" w:rsidRDefault="00F4509C">
      <w:pPr>
        <w:numPr>
          <w:ilvl w:val="0"/>
          <w:numId w:val="1"/>
        </w:numPr>
        <w:spacing w:after="290" w:line="246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Periodo de recolección/obtención de datos. </w:t>
      </w:r>
      <w:r w:rsidR="00C9335F">
        <w:rPr>
          <w:rFonts w:ascii="Arial" w:eastAsia="Arial" w:hAnsi="Arial" w:cs="Arial"/>
          <w:color w:val="404041"/>
          <w:sz w:val="24"/>
        </w:rPr>
        <w:t>2008</w:t>
      </w:r>
      <w:r w:rsidR="004529DE">
        <w:rPr>
          <w:rFonts w:ascii="Arial" w:eastAsia="Arial" w:hAnsi="Arial" w:cs="Arial"/>
          <w:color w:val="404041"/>
          <w:sz w:val="24"/>
        </w:rPr>
        <w:t>-2022</w:t>
      </w:r>
    </w:p>
    <w:p w:rsidR="006C27A7" w:rsidRDefault="00F4509C">
      <w:pPr>
        <w:numPr>
          <w:ilvl w:val="0"/>
          <w:numId w:val="1"/>
        </w:numPr>
        <w:spacing w:after="292" w:line="350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Variables incluidas. </w:t>
      </w:r>
      <w:r>
        <w:rPr>
          <w:rFonts w:ascii="Arial" w:eastAsia="Arial" w:hAnsi="Arial" w:cs="Arial"/>
          <w:color w:val="404041"/>
          <w:sz w:val="24"/>
        </w:rPr>
        <w:t xml:space="preserve">La base de datos consta de </w:t>
      </w:r>
      <w:r w:rsidR="00C9335F">
        <w:rPr>
          <w:rFonts w:ascii="Arial" w:eastAsia="Arial" w:hAnsi="Arial" w:cs="Arial"/>
          <w:color w:val="404041"/>
          <w:sz w:val="24"/>
        </w:rPr>
        <w:t>25</w:t>
      </w:r>
      <w:r>
        <w:rPr>
          <w:rFonts w:ascii="Arial" w:eastAsia="Arial" w:hAnsi="Arial" w:cs="Arial"/>
          <w:color w:val="404041"/>
          <w:sz w:val="24"/>
        </w:rPr>
        <w:t xml:space="preserve"> variables.</w:t>
      </w:r>
    </w:p>
    <w:p w:rsidR="006C27A7" w:rsidRDefault="00F4509C">
      <w:pPr>
        <w:numPr>
          <w:ilvl w:val="0"/>
          <w:numId w:val="1"/>
        </w:numPr>
        <w:spacing w:after="290" w:line="246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 xml:space="preserve">Estrategia de aseguramiento para la proyección de datos sensibles y personales </w:t>
      </w:r>
      <w:r>
        <w:rPr>
          <w:rFonts w:ascii="Arial" w:eastAsia="Arial" w:hAnsi="Arial" w:cs="Arial"/>
          <w:color w:val="404041"/>
          <w:sz w:val="24"/>
        </w:rPr>
        <w:t>No aplica</w:t>
      </w:r>
    </w:p>
    <w:p w:rsidR="004529DE" w:rsidRPr="004529DE" w:rsidRDefault="00F4509C" w:rsidP="00A5163E">
      <w:pPr>
        <w:numPr>
          <w:ilvl w:val="0"/>
          <w:numId w:val="1"/>
        </w:numPr>
        <w:spacing w:after="290" w:line="246" w:lineRule="auto"/>
        <w:ind w:right="-15" w:hanging="398"/>
        <w:jc w:val="both"/>
      </w:pPr>
      <w:r w:rsidRPr="004529DE">
        <w:rPr>
          <w:rFonts w:ascii="Arial" w:eastAsia="Arial" w:hAnsi="Arial" w:cs="Arial"/>
          <w:b/>
          <w:color w:val="404041"/>
          <w:sz w:val="24"/>
        </w:rPr>
        <w:t xml:space="preserve">Fecha última de actualización. </w:t>
      </w:r>
      <w:r w:rsidRPr="004529DE">
        <w:rPr>
          <w:rFonts w:ascii="Arial" w:eastAsia="Arial" w:hAnsi="Arial" w:cs="Arial"/>
          <w:color w:val="404041"/>
          <w:sz w:val="24"/>
        </w:rPr>
        <w:t>Ju</w:t>
      </w:r>
      <w:r w:rsidR="00C9335F">
        <w:rPr>
          <w:rFonts w:ascii="Arial" w:eastAsia="Arial" w:hAnsi="Arial" w:cs="Arial"/>
          <w:color w:val="404041"/>
          <w:sz w:val="24"/>
        </w:rPr>
        <w:t>lio</w:t>
      </w:r>
      <w:r w:rsidRPr="004529DE">
        <w:rPr>
          <w:rFonts w:ascii="Arial" w:eastAsia="Arial" w:hAnsi="Arial" w:cs="Arial"/>
          <w:color w:val="404041"/>
          <w:sz w:val="24"/>
        </w:rPr>
        <w:t xml:space="preserve"> 2024 con dato</w:t>
      </w:r>
      <w:r w:rsidR="004529DE">
        <w:rPr>
          <w:rFonts w:ascii="Arial" w:eastAsia="Arial" w:hAnsi="Arial" w:cs="Arial"/>
          <w:color w:val="404041"/>
          <w:sz w:val="24"/>
        </w:rPr>
        <w:t>s de toda la República Mexicana.</w:t>
      </w:r>
    </w:p>
    <w:p w:rsidR="006C27A7" w:rsidRDefault="00F4509C" w:rsidP="00A5163E">
      <w:pPr>
        <w:numPr>
          <w:ilvl w:val="0"/>
          <w:numId w:val="1"/>
        </w:numPr>
        <w:spacing w:after="290" w:line="246" w:lineRule="auto"/>
        <w:ind w:right="-15" w:hanging="398"/>
        <w:jc w:val="both"/>
      </w:pPr>
      <w:r w:rsidRPr="004529DE">
        <w:rPr>
          <w:rFonts w:ascii="Arial" w:eastAsia="Arial" w:hAnsi="Arial" w:cs="Arial"/>
          <w:b/>
          <w:color w:val="404041"/>
          <w:sz w:val="24"/>
        </w:rPr>
        <w:t xml:space="preserve">Mencionar el tipo de controles para la validación y verificación de la captura/registro de los datos. </w:t>
      </w:r>
      <w:r w:rsidRPr="004529DE">
        <w:rPr>
          <w:rFonts w:ascii="Arial" w:eastAsia="Arial" w:hAnsi="Arial" w:cs="Arial"/>
          <w:color w:val="404041"/>
          <w:sz w:val="24"/>
        </w:rPr>
        <w:t xml:space="preserve">La obtención de la base de datos fue verificada por tres investigadores </w:t>
      </w:r>
    </w:p>
    <w:p w:rsidR="004529DE" w:rsidRDefault="00F4509C" w:rsidP="004529DE">
      <w:pPr>
        <w:numPr>
          <w:ilvl w:val="0"/>
          <w:numId w:val="1"/>
        </w:numPr>
        <w:spacing w:after="285" w:line="419" w:lineRule="auto"/>
        <w:ind w:right="-15" w:hanging="398"/>
        <w:jc w:val="both"/>
      </w:pPr>
      <w:r>
        <w:rPr>
          <w:rFonts w:ascii="Arial" w:eastAsia="Arial" w:hAnsi="Arial" w:cs="Arial"/>
          <w:b/>
          <w:color w:val="404041"/>
          <w:sz w:val="24"/>
        </w:rPr>
        <w:t>Plataformas donde se encuentra disponible el recurso.</w:t>
      </w:r>
    </w:p>
    <w:p w:rsidR="00C9335F" w:rsidRDefault="00E859F2" w:rsidP="00C9335F">
      <w:pPr>
        <w:spacing w:after="285" w:line="419" w:lineRule="auto"/>
        <w:ind w:left="398" w:right="-15"/>
        <w:jc w:val="both"/>
      </w:pPr>
      <w:hyperlink r:id="rId7" w:anchor="tabulados" w:history="1">
        <w:r w:rsidR="004529DE" w:rsidRPr="00E5172C">
          <w:rPr>
            <w:rStyle w:val="Hipervnculo"/>
          </w:rPr>
          <w:t>https://www.inegi.org.mx/temas/mortalidad/#tabulados</w:t>
        </w:r>
      </w:hyperlink>
      <w:r w:rsidR="004529DE">
        <w:t xml:space="preserve"> </w:t>
      </w:r>
    </w:p>
    <w:sectPr w:rsidR="00C9335F">
      <w:pgSz w:w="12240" w:h="15840"/>
      <w:pgMar w:top="1440" w:right="1700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9F2" w:rsidRDefault="00E859F2">
      <w:pPr>
        <w:spacing w:line="240" w:lineRule="auto"/>
      </w:pPr>
      <w:r>
        <w:separator/>
      </w:r>
    </w:p>
  </w:endnote>
  <w:endnote w:type="continuationSeparator" w:id="0">
    <w:p w:rsidR="00E859F2" w:rsidRDefault="00E859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9F2" w:rsidRDefault="00E859F2">
      <w:r>
        <w:separator/>
      </w:r>
    </w:p>
  </w:footnote>
  <w:footnote w:type="continuationSeparator" w:id="0">
    <w:p w:rsidR="00E859F2" w:rsidRDefault="00E8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5196"/>
    <w:multiLevelType w:val="multilevel"/>
    <w:tmpl w:val="15B75196"/>
    <w:lvl w:ilvl="0">
      <w:start w:val="1"/>
      <w:numFmt w:val="decimal"/>
      <w:lvlText w:val="%1."/>
      <w:lvlJc w:val="left"/>
      <w:pPr>
        <w:ind w:left="398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04041"/>
        <w:sz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20"/>
    <w:rsid w:val="000B2F13"/>
    <w:rsid w:val="000E7C27"/>
    <w:rsid w:val="004529DE"/>
    <w:rsid w:val="00516322"/>
    <w:rsid w:val="006B7ADD"/>
    <w:rsid w:val="006C27A7"/>
    <w:rsid w:val="006F677F"/>
    <w:rsid w:val="007A3100"/>
    <w:rsid w:val="00A24A55"/>
    <w:rsid w:val="00C62332"/>
    <w:rsid w:val="00C9335F"/>
    <w:rsid w:val="00E859F2"/>
    <w:rsid w:val="00F4509C"/>
    <w:rsid w:val="00FB4A20"/>
    <w:rsid w:val="41B16F82"/>
    <w:rsid w:val="65E6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ADC59D-2B4A-4134-ABC0-030BCB87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egi.org.mx/temas/mortalid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 jarquin</dc:creator>
  <cp:lastModifiedBy>Cuenta Microsoft</cp:lastModifiedBy>
  <cp:revision>6</cp:revision>
  <dcterms:created xsi:type="dcterms:W3CDTF">2024-06-17T23:23:00Z</dcterms:created>
  <dcterms:modified xsi:type="dcterms:W3CDTF">2024-07-16T16:49:00Z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51FD42B8023D41BA96356D2C0DDE521F_12</vt:lpwstr>
  </property>
</Properties>
</file>