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91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FICHA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92" w:line="350" w:lineRule="auto"/>
        <w:ind w:left="-5" w:right="-14" w:hanging="1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Base de datos: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MortCAMAficha.xlsx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92" w:line="350" w:lineRule="auto"/>
        <w:ind w:left="398" w:right="-15" w:hanging="398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Objetivo general.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Generar una base de datos georreferrenciada con información sobre mortalidad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92" w:line="350" w:lineRule="auto"/>
        <w:ind w:left="398" w:right="-15" w:hanging="398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Propósito</w:t>
        <w:tab/>
        <w:t xml:space="preserve">del</w:t>
        <w:tab/>
        <w:t xml:space="preserve">recurso.</w:t>
        <w:tab/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Caracterizar</w:t>
        <w:tab/>
        <w:t xml:space="preserve">las</w:t>
        <w:tab/>
        <w:t xml:space="preserve">condiciones</w:t>
        <w:tab/>
        <w:t xml:space="preserve">sociales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90" w:line="246" w:lineRule="auto"/>
        <w:ind w:left="398" w:right="-15" w:hanging="398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Investigador principal a cargo.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Dra. Jaqueline Calderón Hernández;</w:t>
      </w: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Dra. Lizet del Carmen Jarquín Yáñez; Dr. Melesio Sanchez Crespo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92" w:line="350" w:lineRule="auto"/>
        <w:ind w:left="398" w:right="-15" w:hanging="398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Recolección/obtención de los datos.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Se integró una base de datos con información sobre el número de defunciones por cáncer de mama (CAMA) por grupos de edad con datos del Instituto Nacional de Estadística y Geografía (INEGI) y datos de población en riesgo a partir de proyecciones anuales del Consejo Nacional de Población (CONAPO). Se seleccionaron las variables de interés.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90" w:line="246" w:lineRule="auto"/>
        <w:ind w:left="398" w:right="-15" w:hanging="398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Periodo de recolección/obtención de datos.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2000-2022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92" w:line="350" w:lineRule="auto"/>
        <w:ind w:left="398" w:right="-15" w:hanging="398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Variables incluidas.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La base de datos consta de 11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90" w:line="246" w:lineRule="auto"/>
        <w:ind w:left="398" w:right="-15" w:hanging="398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Estrategia de aseguramiento para la proyección de datos sensibles y personales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No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90" w:line="246" w:lineRule="auto"/>
        <w:ind w:left="398" w:right="-15" w:hanging="398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Fecha última de actualización.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Junio 2024 con datos de toda la República Mexicana.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90" w:line="246" w:lineRule="auto"/>
        <w:ind w:left="398" w:right="-15" w:hanging="398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Mencionar el tipo de controles para la validación y verificación de la captura/registro de los datos. </w:t>
      </w:r>
      <w:r w:rsidDel="00000000" w:rsidR="00000000" w:rsidRPr="00000000">
        <w:rPr>
          <w:rFonts w:ascii="Arial" w:cs="Arial" w:eastAsia="Arial" w:hAnsi="Arial"/>
          <w:color w:val="404041"/>
          <w:sz w:val="24"/>
          <w:szCs w:val="24"/>
          <w:rtl w:val="0"/>
        </w:rPr>
        <w:t xml:space="preserve">La obtención de la base de datos fue verificada por tres investigadores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5" w:line="419" w:lineRule="auto"/>
        <w:ind w:left="398" w:right="-15" w:hanging="398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404041"/>
          <w:sz w:val="24"/>
          <w:szCs w:val="24"/>
          <w:rtl w:val="0"/>
        </w:rPr>
        <w:t xml:space="preserve">Plataformas donde se encuentra disponible el recurso.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5" w:line="419" w:lineRule="auto"/>
        <w:ind w:left="398" w:right="-15" w:firstLine="0"/>
        <w:jc w:val="both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https://www.inegi.org.mx/temas/mortalidad/#tabulados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https://conapo.segob.gob.mx/work/models/CONAPO/pry23/DBMun/00_Republica_mexicana.zip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702" w:right="17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8" w:hanging="398"/>
      </w:pPr>
      <w:rPr>
        <w:rFonts w:ascii="Arial" w:cs="Arial" w:eastAsia="Arial" w:hAnsi="Arial"/>
        <w:b w:val="0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404041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line="276" w:lineRule="auto"/>
    </w:pPr>
    <w:rPr>
      <w:rFonts w:ascii="Calibri" w:cs="Calibri" w:eastAsia="Calibri" w:hAnsi="Calibri"/>
      <w:color w:val="000000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negi.org.mx/temas/mortalidad/#tabulados" TargetMode="External"/><Relationship Id="rId8" Type="http://schemas.openxmlformats.org/officeDocument/2006/relationships/hyperlink" Target="https://conapo.segob.gob.mx/work/models/CONAPO/pry23/DBMun/00_Republica_mexicana.z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IrLjuItk5bzUvkkC5cNfSQMAzA==">CgMxLjAyCGguZ2pkZ3hzOAByITFEcE53UTRFNzI3NHZMX21qbWVSTzJBZzlNcFMtTFBHNw==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2024-06-17T23:23:00Z</dcterms:created>
  <dc:creator>lizet jarquin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51FD42B8023D41BA96356D2C0DDE521F_12</vt:lpwstr>
  </property>
</Properties>
</file>