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33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FICHA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31" w:line="240" w:lineRule="auto"/>
        <w:ind w:left="-5" w:right="-14" w:hanging="1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Base de datos: </w:t>
      </w:r>
      <w:r w:rsidDel="00000000" w:rsidR="00000000" w:rsidRPr="00000000">
        <w:rPr>
          <w:rFonts w:ascii="Arial" w:cs="Arial" w:eastAsia="Arial" w:hAnsi="Arial"/>
          <w:color w:val="404041"/>
          <w:sz w:val="24"/>
          <w:szCs w:val="24"/>
          <w:rtl w:val="0"/>
        </w:rPr>
        <w:t xml:space="preserve">ServicioSaludBase.xlsx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31" w:line="351" w:lineRule="auto"/>
        <w:ind w:left="10" w:right="-14" w:hanging="1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Objetivo general del proyecto. </w:t>
      </w:r>
      <w:r w:rsidDel="00000000" w:rsidR="00000000" w:rsidRPr="00000000">
        <w:rPr>
          <w:rFonts w:ascii="Arial" w:cs="Arial" w:eastAsia="Arial" w:hAnsi="Arial"/>
          <w:color w:val="404041"/>
          <w:sz w:val="24"/>
          <w:szCs w:val="24"/>
          <w:rtl w:val="0"/>
        </w:rPr>
        <w:t xml:space="preserve">Generar una base de datos georreferenciada con información para analizar la accesibilidad a los servicios de salud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31" w:line="351" w:lineRule="auto"/>
        <w:ind w:left="10" w:right="-14" w:hanging="1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Propósito del recurso. </w:t>
      </w:r>
      <w:r w:rsidDel="00000000" w:rsidR="00000000" w:rsidRPr="00000000">
        <w:rPr>
          <w:rFonts w:ascii="Arial" w:cs="Arial" w:eastAsia="Arial" w:hAnsi="Arial"/>
          <w:color w:val="404041"/>
          <w:sz w:val="24"/>
          <w:szCs w:val="24"/>
          <w:rtl w:val="0"/>
        </w:rPr>
        <w:t xml:space="preserve">Llevar a cabo la caracterización del entorno social en donde se desarrolla la enfermedad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31" w:line="351" w:lineRule="auto"/>
        <w:ind w:left="10" w:right="-14" w:hanging="1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Investigador principal a cargo. </w:t>
      </w:r>
      <w:r w:rsidDel="00000000" w:rsidR="00000000" w:rsidRPr="00000000">
        <w:rPr>
          <w:rFonts w:ascii="Arial" w:cs="Arial" w:eastAsia="Arial" w:hAnsi="Arial"/>
          <w:color w:val="404041"/>
          <w:sz w:val="24"/>
          <w:szCs w:val="24"/>
          <w:rtl w:val="0"/>
        </w:rPr>
        <w:t xml:space="preserve">Dra. Jaqueline Calderón Hernández;</w:t>
      </w: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04041"/>
          <w:sz w:val="24"/>
          <w:szCs w:val="24"/>
          <w:rtl w:val="0"/>
        </w:rPr>
        <w:t xml:space="preserve">Dra. Lizet del Carmen Jarquín Yáñez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31" w:line="351" w:lineRule="auto"/>
        <w:ind w:left="10" w:right="-14" w:hanging="1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Recolección/obtención de los datos. </w:t>
      </w:r>
      <w:r w:rsidDel="00000000" w:rsidR="00000000" w:rsidRPr="00000000">
        <w:rPr>
          <w:rFonts w:ascii="Arial" w:cs="Arial" w:eastAsia="Arial" w:hAnsi="Arial"/>
          <w:color w:val="404041"/>
          <w:sz w:val="24"/>
          <w:szCs w:val="24"/>
          <w:rtl w:val="0"/>
        </w:rPr>
        <w:t xml:space="preserve">Se obtuvo información sobre la ubicación puntual de los servicios de salud registrados en el Catálogo de Clave Única de Establecimientos de Salud-CLUE. Se seleccionaron las variables necesarias.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31" w:line="240" w:lineRule="auto"/>
        <w:ind w:left="401" w:right="-13" w:hanging="401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Periodo de recolección/obtención de datos. </w:t>
      </w:r>
      <w:r w:rsidDel="00000000" w:rsidR="00000000" w:rsidRPr="00000000">
        <w:rPr>
          <w:rFonts w:ascii="Arial" w:cs="Arial" w:eastAsia="Arial" w:hAnsi="Arial"/>
          <w:color w:val="404041"/>
          <w:sz w:val="24"/>
          <w:szCs w:val="24"/>
          <w:rtl w:val="0"/>
        </w:rPr>
        <w:t xml:space="preserve"> 2005-2020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31" w:line="240" w:lineRule="auto"/>
        <w:ind w:left="401" w:right="-13" w:hanging="401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Variables incluidas. DB with 12 variables</w:t>
      </w:r>
      <w:r w:rsidDel="00000000" w:rsidR="00000000" w:rsidRPr="00000000">
        <w:rPr>
          <w:rFonts w:ascii="Arial" w:cs="Arial" w:eastAsia="Arial" w:hAnsi="Arial"/>
          <w:color w:val="40404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31" w:line="350" w:lineRule="auto"/>
        <w:ind w:left="401" w:right="-13" w:hanging="401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Estrategia de aseguramiento para la proyección de datos sensibles y personales.  </w:t>
      </w:r>
      <w:r w:rsidDel="00000000" w:rsidR="00000000" w:rsidRPr="00000000">
        <w:rPr>
          <w:rFonts w:ascii="Arial" w:cs="Arial" w:eastAsia="Arial" w:hAnsi="Arial"/>
          <w:color w:val="404041"/>
          <w:sz w:val="24"/>
          <w:szCs w:val="24"/>
          <w:rtl w:val="0"/>
        </w:rPr>
        <w:t xml:space="preserve">No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31" w:line="240" w:lineRule="auto"/>
        <w:ind w:left="401" w:right="-13" w:hanging="401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Last actualization. </w:t>
      </w:r>
      <w:r w:rsidDel="00000000" w:rsidR="00000000" w:rsidRPr="00000000">
        <w:rPr>
          <w:rFonts w:ascii="Arial" w:cs="Arial" w:eastAsia="Arial" w:hAnsi="Arial"/>
          <w:color w:val="404041"/>
          <w:sz w:val="24"/>
          <w:szCs w:val="24"/>
          <w:rtl w:val="0"/>
        </w:rPr>
        <w:t xml:space="preserve">2020 for whole country.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31" w:line="351" w:lineRule="auto"/>
        <w:ind w:left="401" w:right="-13" w:hanging="401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Mencionar el tipo de controles para la validación y verificación de la captura/registro de los datos. </w:t>
      </w:r>
      <w:r w:rsidDel="00000000" w:rsidR="00000000" w:rsidRPr="00000000">
        <w:rPr>
          <w:rFonts w:ascii="Arial" w:cs="Arial" w:eastAsia="Arial" w:hAnsi="Arial"/>
          <w:color w:val="404041"/>
          <w:sz w:val="24"/>
          <w:szCs w:val="24"/>
          <w:rtl w:val="0"/>
        </w:rPr>
        <w:t xml:space="preserve">The data were verifyed by three colaborators.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31" w:line="351" w:lineRule="auto"/>
        <w:ind w:left="401" w:right="-13" w:hanging="401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Original source of data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563c1"/>
            <w:sz w:val="24"/>
            <w:szCs w:val="24"/>
            <w:u w:val="single"/>
            <w:rtl w:val="0"/>
          </w:rPr>
          <w:t xml:space="preserve">http://www.dgis.salud.gob.mx/contenidos/intercambio/clues_gobmx.htm </w:t>
        </w:r>
      </w:hyperlink>
      <w:r w:rsidDel="00000000" w:rsidR="00000000" w:rsidRPr="00000000">
        <w:rPr>
          <w:rFonts w:ascii="Arial" w:cs="Arial" w:eastAsia="Arial" w:hAnsi="Arial"/>
          <w:b w:val="1"/>
          <w:color w:val="0563c1"/>
          <w:sz w:val="24"/>
          <w:szCs w:val="24"/>
          <w:u w:val="single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31" w:line="351" w:lineRule="auto"/>
        <w:ind w:right="-13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7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" w:hanging="10"/>
      </w:pPr>
      <w:rPr>
        <w:rFonts w:ascii="Arial" w:cs="Arial" w:eastAsia="Arial" w:hAnsi="Arial"/>
        <w:b w:val="1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cs="Arial" w:eastAsia="Arial" w:hAnsi="Arial"/>
        <w:b w:val="1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cs="Arial" w:eastAsia="Arial" w:hAnsi="Arial"/>
        <w:b w:val="1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cs="Arial" w:eastAsia="Arial" w:hAnsi="Arial"/>
        <w:b w:val="1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cs="Arial" w:eastAsia="Arial" w:hAnsi="Arial"/>
        <w:b w:val="1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cs="Arial" w:eastAsia="Arial" w:hAnsi="Arial"/>
        <w:b w:val="1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cs="Arial" w:eastAsia="Arial" w:hAnsi="Arial"/>
        <w:b w:val="1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cs="Arial" w:eastAsia="Arial" w:hAnsi="Arial"/>
        <w:b w:val="1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cs="Arial" w:eastAsia="Arial" w:hAnsi="Arial"/>
        <w:b w:val="1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5"/>
      <w:numFmt w:val="decimal"/>
      <w:lvlText w:val="%1."/>
      <w:lvlJc w:val="left"/>
      <w:pPr>
        <w:ind w:left="401" w:hanging="401"/>
      </w:pPr>
      <w:rPr>
        <w:rFonts w:ascii="Arial" w:cs="Arial" w:eastAsia="Arial" w:hAnsi="Arial"/>
        <w:b w:val="1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cs="Arial" w:eastAsia="Arial" w:hAnsi="Arial"/>
        <w:b w:val="1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cs="Arial" w:eastAsia="Arial" w:hAnsi="Arial"/>
        <w:b w:val="1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cs="Arial" w:eastAsia="Arial" w:hAnsi="Arial"/>
        <w:b w:val="1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cs="Arial" w:eastAsia="Arial" w:hAnsi="Arial"/>
        <w:b w:val="1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cs="Arial" w:eastAsia="Arial" w:hAnsi="Arial"/>
        <w:b w:val="1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cs="Arial" w:eastAsia="Arial" w:hAnsi="Arial"/>
        <w:b w:val="1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cs="Arial" w:eastAsia="Arial" w:hAnsi="Arial"/>
        <w:b w:val="1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cs="Arial" w:eastAsia="Arial" w:hAnsi="Arial"/>
        <w:b w:val="1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0" w:line="276" w:lineRule="auto"/>
    </w:pPr>
    <w:rPr>
      <w:rFonts w:ascii="Calibri" w:cs="Calibri" w:eastAsia="Calibri" w:hAnsi="Calibri"/>
      <w:color w:val="000000"/>
      <w:sz w:val="22"/>
      <w:szCs w:val="22"/>
      <w:lang w:bidi="ar-SA" w:eastAsia="es-MX" w:val="es-MX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basedOn w:val="2"/>
    <w:uiPriority w:val="99"/>
    <w:unhideWhenUsed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dgis.salud.gob.mx/contenidos/intercambio/clues_gobm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pw5uqj42hu7X65pwaYOeK53UA==">CgMxLjAyCGguZ2pkZ3hzOAByITFUUmVoRkhrN3VjWkl4dmNnMWQ3bnJGci11NjBTZ1F3NA==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2024-06-13T05:11:00Z</dcterms:created>
  <dc:creator>sku 26823510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9C8378A9BE444A73BFCE9031F632435F_12</vt:lpwstr>
  </property>
</Properties>
</file>