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keepNext/>
        <w:ind w:firstLine="0" w:left="0"/>
        <w:jc w:val="center"/>
      </w:pPr>
      <w:r>
        <w:rPr>
          <w:rFonts w:ascii="Times New Roman" w:hAnsi="Times New Roman" w:eastAsia="Times New Roman"/>
          <w:b/>
          <w:sz w:val="28"/>
        </w:rPr>
        <w:t xml:space="preserve">Suffering from Success: Relief, Yield, and Retention in Security Assistance</w:t>
      </w:r>
    </w:p>
    <w:p>
      <w:pPr>
        <w:pStyle w:val="Date"/>
        <w:keepNext/>
        <w:ind w:firstLine="0" w:left="0"/>
        <w:jc w:val="center"/>
      </w:pPr>
      <w:r>
        <w:rPr>
          <w:rFonts w:ascii="Times New Roman" w:hAnsi="Times New Roman" w:eastAsia="Times New Roman"/>
          <w:sz w:val="24"/>
        </w:rPr>
        <w:t xml:space="preserve">September 21, 2026</w:t>
      </w:r>
    </w:p>
    <w:bookmarkStart w:id="9" w:name="abstract"/>
    <w:p>
      <w:pPr>
        <w:pStyle w:val="Heading1"/>
        <w:keepNext/>
        <w:spacing w:line="480" w:lineRule="auto" w:after="0" w:before="240"/>
        <w:ind w:firstLine="0" w:left="0"/>
      </w:pPr>
      <w:r>
        <w:rPr>
          <w:rFonts w:ascii="Times New Roman" w:hAnsi="Times New Roman" w:eastAsia="Times New Roman"/>
          <w:b/>
          <w:i w:val="0"/>
          <w:sz w:val="24"/>
        </w:rPr>
        <w:t xml:space="preserve">Abstract</w:t>
      </w:r>
    </w:p>
    <w:p>
      <w:pPr>
        <w:pStyle w:val="FirstParagraph"/>
        <w:spacing w:line="480" w:lineRule="auto" w:before="0" w:after="0"/>
        <w:ind w:firstLine="720" w:left="0"/>
      </w:pPr>
      <w:r>
        <w:rPr>
          <w:rFonts w:ascii="Times New Roman" w:hAnsi="Times New Roman" w:eastAsia="Times New Roman"/>
          <w:sz w:val="24"/>
        </w:rPr>
        <w:t xml:space="preserve">Security assistance often improves partner performance during deployment without building durable capability. This article separates</w:t>
      </w:r>
      <w:r>
        <w:rPr>
          <w:rFonts w:ascii="Times New Roman" w:hAnsi="Times New Roman" w:eastAsia="Times New Roman"/>
          <w:sz w:val="24"/>
        </w:rPr>
        <w:t xml:space="preserve"> </w:t>
      </w:r>
      <w:r>
        <w:rPr>
          <w:rFonts w:ascii="Times New Roman" w:hAnsi="Times New Roman" w:eastAsia="Times New Roman"/>
          <w:b/>
          <w:bCs/>
          <w:sz w:val="24"/>
        </w:rPr>
        <w:t xml:space="preserve">relief</w:t>
      </w:r>
      <w:r>
        <w:rPr>
          <w:rFonts w:ascii="Times New Roman" w:hAnsi="Times New Roman" w:eastAsia="Times New Roman"/>
          <w:sz w:val="24"/>
        </w:rPr>
        <w:t xml:space="preserve"> </w:t>
      </w:r>
      <w:r>
        <w:rPr>
          <w:rFonts w:ascii="Times New Roman" w:hAnsi="Times New Roman" w:eastAsia="Times New Roman"/>
          <w:sz w:val="24"/>
        </w:rPr>
        <w:t xml:space="preserve">(improving a limiting service),</w:t>
      </w:r>
      <w:r>
        <w:rPr>
          <w:rFonts w:ascii="Times New Roman" w:hAnsi="Times New Roman" w:eastAsia="Times New Roman"/>
          <w:sz w:val="24"/>
        </w:rPr>
        <w:t xml:space="preserve"> </w:t>
      </w:r>
      <w:r>
        <w:rPr>
          <w:rFonts w:ascii="Times New Roman" w:hAnsi="Times New Roman" w:eastAsia="Times New Roman"/>
          <w:b/>
          <w:bCs/>
          <w:sz w:val="24"/>
        </w:rPr>
        <w:t xml:space="preserve">yield</w:t>
      </w:r>
      <w:r>
        <w:rPr>
          <w:rFonts w:ascii="Times New Roman" w:hAnsi="Times New Roman" w:eastAsia="Times New Roman"/>
          <w:sz w:val="24"/>
        </w:rPr>
        <w:t xml:space="preserve"> </w:t>
      </w:r>
      <w:r>
        <w:rPr>
          <w:rFonts w:ascii="Times New Roman" w:hAnsi="Times New Roman" w:eastAsia="Times New Roman"/>
          <w:sz w:val="24"/>
        </w:rPr>
        <w:t xml:space="preserve">(resulting whole-force capability), and</w:t>
      </w:r>
      <w:r>
        <w:rPr>
          <w:rFonts w:ascii="Times New Roman" w:hAnsi="Times New Roman" w:eastAsia="Times New Roman"/>
          <w:sz w:val="24"/>
        </w:rPr>
        <w:t xml:space="preserve"> </w:t>
      </w:r>
      <w:r>
        <w:rPr>
          <w:rFonts w:ascii="Times New Roman" w:hAnsi="Times New Roman" w:eastAsia="Times New Roman"/>
          <w:b/>
          <w:bCs/>
          <w:sz w:val="24"/>
        </w:rPr>
        <w:t xml:space="preserve">retention</w:t>
      </w:r>
      <w:r>
        <w:rPr>
          <w:rFonts w:ascii="Times New Roman" w:hAnsi="Times New Roman" w:eastAsia="Times New Roman"/>
          <w:sz w:val="24"/>
        </w:rPr>
        <w:t xml:space="preserve"> </w:t>
      </w:r>
      <w:r>
        <w:rPr>
          <w:rFonts w:ascii="Times New Roman" w:hAnsi="Times New Roman" w:eastAsia="Times New Roman"/>
          <w:sz w:val="24"/>
        </w:rPr>
        <w:t xml:space="preserve">(capability surviving withdrawal). I evaluate this framework in the Pineland agent-based simulation across a 2,808-world Stage-4 campaign, a 1,472-world coordinated-development extension, and matched no-aid controls. At +30 days post-withdrawal, 26 of 120 treated cells exhibit supported capability above no aid but retained capability below no aid; 30 improve in both branches and 51 fall below in both. Bottleneck migration readily occurs in command and force generation but generates little whole-force yield. A demand-clamp ablation confirms capability sensitivity to operational requirements, though harness measurement limitations leave coverage mediation unconfirmed. Developmental assistance builds partner-owned sustainment but trades off against immediate capability and cost. The contribution is a diagnostic production framework demonstrating why local assistance success, whole-force effectiveness, and autonomous retention diverge.</w:t>
      </w:r>
    </w:p>
    <w:bookmarkEnd w:id="9"/>
    <w:bookmarkStart w:id="26" w:name="introduction"/>
    <w:p>
      <w:pPr>
        <w:pStyle w:val="Heading1"/>
        <w:keepNext/>
        <w:spacing w:line="480" w:lineRule="auto" w:after="0" w:before="240"/>
        <w:ind w:firstLine="0" w:left="0"/>
      </w:pPr>
      <w:r>
        <w:rPr>
          <w:rFonts w:ascii="Times New Roman" w:hAnsi="Times New Roman" w:eastAsia="Times New Roman"/>
          <w:b/>
          <w:i w:val="0"/>
          <w:sz w:val="24"/>
        </w:rPr>
        <w:t xml:space="preserve">1. Introduction</w:t>
      </w:r>
    </w:p>
    <w:p>
      <w:pPr>
        <w:pStyle w:val="FirstParagraph"/>
        <w:spacing w:line="480" w:lineRule="auto" w:before="0" w:after="0"/>
        <w:ind w:firstLine="720" w:left="0"/>
      </w:pPr>
      <w:r>
        <w:rPr>
          <w:rFonts w:ascii="Times New Roman" w:hAnsi="Times New Roman" w:eastAsia="Times New Roman"/>
          <w:sz w:val="24"/>
        </w:rPr>
        <w:t xml:space="preserve">Security assistance is often evaluated through related but non-identical questions: Did the donor relieve the targeted military constraint? Did whole-force capability improve? Could the partner reproduce that capability after external assistance ended? Existing scholarship explains disappointing assistance outcomes through provider-recipient interest misalignment, weak institutions, limited leverage, fragmented security sectors, poor absorptive capacity, and dependence on foreign patronage.</w:t>
      </w:r>
      <w:r>
        <w:rPr>
          <w:rStyle w:val="FootnoteReference"/>
          <w:rFonts w:ascii="Times New Roman" w:hAnsi="Times New Roman" w:eastAsia="Times New Roman"/>
          <w:sz w:val="24"/>
        </w:rPr>
        <w:footnoteReference w:id="10"/>
      </w:r>
      <w:r>
        <w:rPr>
          <w:rFonts w:ascii="Times New Roman" w:hAnsi="Times New Roman" w:eastAsia="Times New Roman"/>
          <w:sz w:val="24"/>
        </w:rPr>
        <w:t xml:space="preserve"> Recent work also treats security assistance as a relational practice reshaping authority, alignment, and dependency.</w:t>
      </w:r>
      <w:r>
        <w:rPr>
          <w:rStyle w:val="FootnoteReference"/>
          <w:rFonts w:ascii="Times New Roman" w:hAnsi="Times New Roman" w:eastAsia="Times New Roman"/>
          <w:sz w:val="24"/>
        </w:rPr>
        <w:footnoteReference w:id="18"/>
      </w:r>
    </w:p>
    <w:p>
      <w:pPr>
        <w:pStyle w:val="BodyText"/>
        <w:spacing w:line="480" w:lineRule="auto" w:before="0" w:after="0"/>
        <w:ind w:firstLine="720" w:left="0"/>
      </w:pPr>
      <w:r>
        <w:rPr>
          <w:rFonts w:ascii="Times New Roman" w:hAnsi="Times New Roman" w:eastAsia="Times New Roman"/>
          <w:sz w:val="24"/>
        </w:rPr>
        <w:t xml:space="preserve">This article addresses a narrower production problem: even when assistance succeeds in the function it targets, three outcomes can diverge.</w:t>
      </w:r>
      <w:r>
        <w:rPr>
          <w:rFonts w:ascii="Times New Roman" w:hAnsi="Times New Roman" w:eastAsia="Times New Roman"/>
          <w:sz w:val="24"/>
        </w:rPr>
        <w:t xml:space="preserve"> </w:t>
      </w:r>
      <w:r>
        <w:rPr>
          <w:rFonts w:ascii="Times New Roman" w:hAnsi="Times New Roman" w:eastAsia="Times New Roman"/>
          <w:b/>
          <w:bCs/>
          <w:sz w:val="24"/>
        </w:rPr>
        <w:t xml:space="preserve">Relief</w:t>
      </w:r>
      <w:r>
        <w:rPr>
          <w:rFonts w:ascii="Times New Roman" w:hAnsi="Times New Roman" w:eastAsia="Times New Roman"/>
          <w:sz w:val="24"/>
        </w:rPr>
        <w:t xml:space="preserve"> </w:t>
      </w:r>
      <w:r>
        <w:rPr>
          <w:rFonts w:ascii="Times New Roman" w:hAnsi="Times New Roman" w:eastAsia="Times New Roman"/>
          <w:sz w:val="24"/>
        </w:rPr>
        <w:t xml:space="preserve">concerns the targeted bottleneck.</w:t>
      </w:r>
      <w:r>
        <w:rPr>
          <w:rFonts w:ascii="Times New Roman" w:hAnsi="Times New Roman" w:eastAsia="Times New Roman"/>
          <w:sz w:val="24"/>
        </w:rPr>
        <w:t xml:space="preserve"> </w:t>
      </w:r>
      <w:r>
        <w:rPr>
          <w:rFonts w:ascii="Times New Roman" w:hAnsi="Times New Roman" w:eastAsia="Times New Roman"/>
          <w:b/>
          <w:bCs/>
          <w:sz w:val="24"/>
        </w:rPr>
        <w:t xml:space="preserve">Yield</w:t>
      </w:r>
      <w:r>
        <w:rPr>
          <w:rFonts w:ascii="Times New Roman" w:hAnsi="Times New Roman" w:eastAsia="Times New Roman"/>
          <w:sz w:val="24"/>
        </w:rPr>
        <w:t xml:space="preserve"> </w:t>
      </w:r>
      <w:r>
        <w:rPr>
          <w:rFonts w:ascii="Times New Roman" w:hAnsi="Times New Roman" w:eastAsia="Times New Roman"/>
          <w:sz w:val="24"/>
        </w:rPr>
        <w:t xml:space="preserve">concerns whole-force capability.</w:t>
      </w:r>
      <w:r>
        <w:rPr>
          <w:rFonts w:ascii="Times New Roman" w:hAnsi="Times New Roman" w:eastAsia="Times New Roman"/>
          <w:sz w:val="24"/>
        </w:rPr>
        <w:t xml:space="preserve"> </w:t>
      </w:r>
      <w:r>
        <w:rPr>
          <w:rFonts w:ascii="Times New Roman" w:hAnsi="Times New Roman" w:eastAsia="Times New Roman"/>
          <w:b/>
          <w:bCs/>
          <w:sz w:val="24"/>
        </w:rPr>
        <w:t xml:space="preserve">Retention</w:t>
      </w:r>
      <w:r>
        <w:rPr>
          <w:rFonts w:ascii="Times New Roman" w:hAnsi="Times New Roman" w:eastAsia="Times New Roman"/>
          <w:sz w:val="24"/>
        </w:rPr>
        <w:t xml:space="preserve"> </w:t>
      </w:r>
      <w:r>
        <w:rPr>
          <w:rFonts w:ascii="Times New Roman" w:hAnsi="Times New Roman" w:eastAsia="Times New Roman"/>
          <w:sz w:val="24"/>
        </w:rPr>
        <w:t xml:space="preserve">concerns what survives after external provision stops. Collapsing these into a single metric obscures assistance dynamics. A program can resolve a training deficit without raising force effectiveness because logistics binds next; it can raise supported output without creating a retained gain because operational requirements outpace indigenous sustainment; or it can improve both supported and retained capability.</w:t>
      </w:r>
    </w:p>
    <w:p>
      <w:pPr>
        <w:pStyle w:val="BodyText"/>
        <w:spacing w:line="480" w:lineRule="auto" w:before="0" w:after="0"/>
        <w:ind w:firstLine="720" w:left="0"/>
      </w:pPr>
      <w:r>
        <w:rPr>
          <w:rFonts w:ascii="Times New Roman" w:hAnsi="Times New Roman" w:eastAsia="Times New Roman"/>
          <w:sz w:val="24"/>
        </w:rPr>
        <w:t xml:space="preserve">These mechanisms draw on established theoretical foundations. Theory of Constraints notes that relieving one bottleneck exposes another.</w:t>
      </w:r>
      <w:r>
        <w:rPr>
          <w:rStyle w:val="FootnoteReference"/>
          <w:rFonts w:ascii="Times New Roman" w:hAnsi="Times New Roman" w:eastAsia="Times New Roman"/>
          <w:sz w:val="24"/>
        </w:rPr>
        <w:footnoteReference w:id="21"/>
      </w:r>
      <w:r>
        <w:rPr>
          <w:rFonts w:ascii="Times New Roman" w:hAnsi="Times New Roman" w:eastAsia="Times New Roman"/>
          <w:sz w:val="24"/>
        </w:rPr>
        <w:t xml:space="preserve"> Hirschman’s unbalanced-growth framework treats expansion in one activity as inducing complementary shortages elsewhere.</w:t>
      </w:r>
      <w:r>
        <w:rPr>
          <w:rStyle w:val="FootnoteReference"/>
          <w:rFonts w:ascii="Times New Roman" w:hAnsi="Times New Roman" w:eastAsia="Times New Roman"/>
          <w:sz w:val="24"/>
        </w:rPr>
        <w:footnoteReference w:id="23"/>
      </w:r>
      <w:r>
        <w:rPr>
          <w:rFonts w:ascii="Times New Roman" w:hAnsi="Times New Roman" w:eastAsia="Times New Roman"/>
          <w:sz w:val="24"/>
        </w:rPr>
        <w:t xml:space="preserve"> Foreign-aid research demonstrates that external inputs often increase claims on scarce local administrative or recurrent resources.</w:t>
      </w:r>
      <w:r>
        <w:rPr>
          <w:rStyle w:val="FootnoteReference"/>
          <w:rFonts w:ascii="Times New Roman" w:hAnsi="Times New Roman" w:eastAsia="Times New Roman"/>
          <w:sz w:val="24"/>
        </w:rPr>
        <w:footnoteReference w:id="24"/>
      </w:r>
      <w:r>
        <w:rPr>
          <w:rFonts w:ascii="Times New Roman" w:hAnsi="Times New Roman" w:eastAsia="Times New Roman"/>
          <w:sz w:val="24"/>
        </w:rPr>
        <w:t xml:space="preserve"> The contribution here is translating these insights into a military production model that separates outcomes and subjects candidate mechanisms to distinct empirical tests.</w:t>
      </w:r>
    </w:p>
    <w:p>
      <w:pPr>
        <w:pStyle w:val="BodyText"/>
        <w:spacing w:line="480" w:lineRule="auto" w:before="0" w:after="0"/>
        <w:ind w:firstLine="720" w:left="0"/>
      </w:pPr>
      <w:r>
        <w:rPr>
          <w:rFonts w:ascii="Times New Roman" w:hAnsi="Times New Roman" w:eastAsia="Times New Roman"/>
          <w:sz w:val="24"/>
        </w:rPr>
        <w:t xml:space="preserve">The first mechanism is</w:t>
      </w:r>
      <w:r>
        <w:rPr>
          <w:rFonts w:ascii="Times New Roman" w:hAnsi="Times New Roman" w:eastAsia="Times New Roman"/>
          <w:sz w:val="24"/>
        </w:rPr>
        <w:t xml:space="preserve"> </w:t>
      </w:r>
      <w:r>
        <w:rPr>
          <w:rFonts w:ascii="Times New Roman" w:hAnsi="Times New Roman" w:eastAsia="Times New Roman"/>
          <w:b/>
          <w:bCs/>
          <w:sz w:val="24"/>
        </w:rPr>
        <w:t xml:space="preserve">requirement expansion</w:t>
      </w:r>
      <w:r>
        <w:rPr>
          <w:rFonts w:ascii="Times New Roman" w:hAnsi="Times New Roman" w:eastAsia="Times New Roman"/>
          <w:sz w:val="24"/>
        </w:rPr>
        <w:t xml:space="preserve">. External aid enables larger formations, greater mobility, patrols, or combat, generating complementary service requirements. If demand for a complementary indigenous service expands faster than indigenous production, partner coverage of that requirement falls even as absolute delivery rises. This is a numerator-denominator dynamic that does not require the binding service to change. The second is</w:t>
      </w:r>
      <w:r>
        <w:rPr>
          <w:rFonts w:ascii="Times New Roman" w:hAnsi="Times New Roman" w:eastAsia="Times New Roman"/>
          <w:sz w:val="24"/>
        </w:rPr>
        <w:t xml:space="preserve"> </w:t>
      </w:r>
      <w:r>
        <w:rPr>
          <w:rFonts w:ascii="Times New Roman" w:hAnsi="Times New Roman" w:eastAsia="Times New Roman"/>
          <w:b/>
          <w:bCs/>
          <w:sz w:val="24"/>
        </w:rPr>
        <w:t xml:space="preserve">constraint displacement</w:t>
      </w:r>
      <w:r>
        <w:rPr>
          <w:rFonts w:ascii="Times New Roman" w:hAnsi="Times New Roman" w:eastAsia="Times New Roman"/>
          <w:sz w:val="24"/>
        </w:rPr>
        <w:t xml:space="preserve">: relieving the limiting service shifts the bottleneck to another channel, yielding little whole-system return until the new constraint is resolved.</w:t>
      </w:r>
    </w:p>
    <w:p>
      <w:pPr>
        <w:pStyle w:val="BodyText"/>
        <w:spacing w:line="480" w:lineRule="auto" w:before="0" w:after="0"/>
        <w:ind w:firstLine="720" w:left="0"/>
      </w:pPr>
      <w:r>
        <w:rPr>
          <w:rFonts w:ascii="Times New Roman" w:hAnsi="Times New Roman" w:eastAsia="Times New Roman"/>
          <w:sz w:val="24"/>
        </w:rPr>
        <w:t xml:space="preserve">These mechanisms necessitate a rigorous benchmark. Comparing continued support to withdrawal after shared assistance isolates a dependency gap, but does not prove assistance improved performance relative to no aid. The revised analysis therefore evaluates supported effects relative to matched zero-support trajectories (</w:t>
      </w:r>
      <m:oMath>
        <m:sSub>
          <m:e>
            <m:r>
              <m:t>S</m:t>
            </m:r>
          </m:e>
          <m:sub>
            <m:r>
              <m:t>h</m:t>
            </m:r>
          </m:sub>
        </m:sSub>
        <m:r>
          <m:rPr>
            <m:sty m:val="p"/>
          </m:rPr>
          <m:t>=</m:t>
        </m:r>
        <m:sSubSup>
          <m:e>
            <m:r>
              <m:t>C</m:t>
            </m:r>
          </m:e>
          <m:sub>
            <m:r>
              <m:t>h</m:t>
            </m:r>
          </m:sub>
          <m:sup>
            <m:r>
              <m:t>O</m:t>
            </m:r>
            <m:r>
              <m:t>N</m:t>
            </m:r>
          </m:sup>
        </m:sSubSup>
        <m:r>
          <m:rPr>
            <m:sty m:val="p"/>
          </m:rPr>
          <m:t>−</m:t>
        </m:r>
        <m:sSubSup>
          <m:e>
            <m:r>
              <m:t>C</m:t>
            </m:r>
          </m:e>
          <m:sub>
            <m:r>
              <m:t>h</m:t>
            </m:r>
          </m:sub>
          <m:sup>
            <m:r>
              <m:t>0</m:t>
            </m:r>
          </m:sup>
        </m:sSubSup>
      </m:oMath>
      <w:r>
        <w:rPr>
          <w:rFonts w:ascii="Times New Roman" w:hAnsi="Times New Roman" w:eastAsia="Times New Roman"/>
          <w:sz w:val="24"/>
        </w:rPr>
        <w:t xml:space="preserve">), retained effects after withdrawal (</w:t>
      </w:r>
      <m:oMath>
        <m:sSub>
          <m:e>
            <m:r>
              <m:t>R</m:t>
            </m:r>
          </m:e>
          <m:sub>
            <m:r>
              <m:t>h</m:t>
            </m:r>
          </m:sub>
        </m:sSub>
        <m:r>
          <m:rPr>
            <m:sty m:val="p"/>
          </m:rPr>
          <m:t>=</m:t>
        </m:r>
        <m:sSubSup>
          <m:e>
            <m:r>
              <m:t>C</m:t>
            </m:r>
          </m:e>
          <m:sub>
            <m:r>
              <m:t>h</m:t>
            </m:r>
          </m:sub>
          <m:sup>
            <m:r>
              <m:t>O</m:t>
            </m:r>
            <m:r>
              <m:t>F</m:t>
            </m:r>
            <m:r>
              <m:t>F</m:t>
            </m:r>
          </m:sup>
        </m:sSubSup>
        <m:r>
          <m:rPr>
            <m:sty m:val="p"/>
          </m:rPr>
          <m:t>−</m:t>
        </m:r>
        <m:sSubSup>
          <m:e>
            <m:r>
              <m:t>C</m:t>
            </m:r>
          </m:e>
          <m:sub>
            <m:r>
              <m:t>h</m:t>
            </m:r>
          </m:sub>
          <m:sup>
            <m:r>
              <m:t>0</m:t>
            </m:r>
          </m:sup>
        </m:sSubSup>
      </m:oMath>
      <w:r>
        <w:rPr>
          <w:rFonts w:ascii="Times New Roman" w:hAnsi="Times New Roman" w:eastAsia="Times New Roman"/>
          <w:sz w:val="24"/>
        </w:rPr>
        <w:t xml:space="preserve">), and the dependency gap (</w:t>
      </w:r>
      <m:oMath>
        <m:sSub>
          <m:e>
            <m:r>
              <m:t>G</m:t>
            </m:r>
          </m:e>
          <m:sub>
            <m:r>
              <m:t>h</m:t>
            </m:r>
          </m:sub>
        </m:sSub>
        <m:r>
          <m:rPr>
            <m:sty m:val="p"/>
          </m:rPr>
          <m:t>=</m:t>
        </m:r>
        <m:sSubSup>
          <m:e>
            <m:r>
              <m:t>C</m:t>
            </m:r>
          </m:e>
          <m:sub>
            <m:r>
              <m:t>h</m:t>
            </m:r>
          </m:sub>
          <m:sup>
            <m:r>
              <m:t>O</m:t>
            </m:r>
            <m:r>
              <m:t>N</m:t>
            </m:r>
          </m:sup>
        </m:sSubSup>
        <m:r>
          <m:rPr>
            <m:sty m:val="p"/>
          </m:rPr>
          <m:t>−</m:t>
        </m:r>
        <m:sSubSup>
          <m:e>
            <m:r>
              <m:t>C</m:t>
            </m:r>
          </m:e>
          <m:sub>
            <m:r>
              <m:t>h</m:t>
            </m:r>
          </m:sub>
          <m:sup>
            <m:r>
              <m:t>O</m:t>
            </m:r>
            <m:r>
              <m:t>F</m:t>
            </m:r>
            <m:r>
              <m:t>F</m:t>
            </m:r>
          </m:sup>
        </m:sSubSup>
      </m:oMath>
      <w:r>
        <w:rPr>
          <w:rFonts w:ascii="Times New Roman" w:hAnsi="Times New Roman" w:eastAsia="Times New Roman"/>
          <w:sz w:val="24"/>
        </w:rPr>
        <w:t xml:space="preserve">). A strict</w:t>
      </w:r>
      <w:r>
        <w:rPr>
          <w:rFonts w:ascii="Times New Roman" w:hAnsi="Times New Roman" w:eastAsia="Times New Roman"/>
          <w:sz w:val="24"/>
        </w:rPr>
        <w:t xml:space="preserve"> </w:t>
      </w:r>
      <w:r>
        <w:rPr>
          <w:rFonts w:ascii="Times New Roman" w:hAnsi="Times New Roman" w:eastAsia="Times New Roman"/>
          <w:sz w:val="24"/>
        </w:rPr>
        <w:t xml:space="preserve">“success without retention”</w:t>
      </w:r>
      <w:r>
        <w:rPr>
          <w:rFonts w:ascii="Times New Roman" w:hAnsi="Times New Roman" w:eastAsia="Times New Roman"/>
          <w:sz w:val="24"/>
        </w:rPr>
        <w:t xml:space="preserve"> </w:t>
      </w:r>
      <w:r>
        <w:rPr>
          <w:rFonts w:ascii="Times New Roman" w:hAnsi="Times New Roman" w:eastAsia="Times New Roman"/>
          <w:sz w:val="24"/>
        </w:rPr>
        <w:t xml:space="preserve">case requires supported capability above no aid and retained capability below no aid.</w:t>
      </w:r>
    </w:p>
    <w:p>
      <w:pPr>
        <w:pStyle w:val="BodyText"/>
        <w:spacing w:line="480" w:lineRule="auto" w:before="0" w:after="0"/>
        <w:ind w:firstLine="720" w:left="0"/>
      </w:pPr>
      <w:r>
        <w:rPr>
          <w:rFonts w:ascii="Times New Roman" w:hAnsi="Times New Roman" w:eastAsia="Times New Roman"/>
          <w:sz w:val="24"/>
        </w:rPr>
        <w:t xml:space="preserve">I evaluate this framework using Pineland, a partially observed agent-based model simulating military formations, logistics, command, recruitment, and territorial control. Stage 4 comprises 2,808 prospectively frozen production worlds across a Phase Map, a targeted bottleneck-displacement module, and a substitution-versus-development module. Stage 5 adds 1,472 frozen worlds testing coordinated development. Post-review analyses use frozen telemetry for matched no-aid comparisons and supply-demand decompositions, while a separately frozen demand-clamp experiment tests whether requirement expansion causally mediates terminal coverage gaps.</w:t>
      </w:r>
    </w:p>
    <w:p>
      <w:pPr>
        <w:pStyle w:val="BodyText"/>
        <w:spacing w:line="480" w:lineRule="auto" w:before="0" w:after="0"/>
        <w:ind w:firstLine="720" w:left="0"/>
      </w:pPr>
      <w:r>
        <w:rPr>
          <w:rFonts w:ascii="Times New Roman" w:hAnsi="Times New Roman" w:eastAsia="Times New Roman"/>
          <w:sz w:val="24"/>
        </w:rPr>
        <w:t xml:space="preserve">The revised evidence qualifies early headline claims. At +30 days, 26 of 120 treated Phase-Map cells exhibit the strict pattern: positive supported capability above no aid and negative retained capability after withdrawal. Thirty cells improve in both branches, 51 fall below no aid in both, one is negative under support but positive after withdrawal, and 12 are neutral. Support-induced dependence is thus a real, but not universal, regime.</w:t>
      </w:r>
    </w:p>
    <w:p>
      <w:pPr>
        <w:pStyle w:val="BodyText"/>
        <w:spacing w:line="480" w:lineRule="auto" w:before="0" w:after="0"/>
        <w:ind w:firstLine="720" w:left="0"/>
      </w:pPr>
      <w:r>
        <w:rPr>
          <w:rFonts w:ascii="Times New Roman" w:hAnsi="Times New Roman" w:eastAsia="Times New Roman"/>
          <w:sz w:val="24"/>
        </w:rPr>
        <w:t xml:space="preserve">Mechanism tests separate asymmetrically. Among worlds with negative terminal logistics coverage, supported branches face larger requirements, and descriptive standardization attributes more of the mean coverage gap to demand expansion than to indigenous production decline. However, the prospectively frozen demand clamp fails to validate that interpretation causally: while its manipulation succeeds, the ablation harness recorded a static pre-split baseline coordinate that structurally guaranteed a zero coverage branch difference, even as dynamic capability effects diverged. Requirement expansion remains descriptively plausible rather than causally identified. Conversely, the Migration module demonstrates that command and force-generation bottlenecks displace readily while logistics persists. Relieving force generation shifts the binding constraint while generating virtually zero capability gain. Constraint displacement thus explains relief without yield, not the terminal retention penalty.</w:t>
      </w:r>
    </w:p>
    <w:p>
      <w:pPr>
        <w:pStyle w:val="BodyText"/>
        <w:spacing w:line="480" w:lineRule="auto" w:before="0" w:after="0"/>
        <w:ind w:firstLine="720" w:left="0"/>
      </w:pPr>
      <w:r>
        <w:rPr>
          <w:rFonts w:ascii="Times New Roman" w:hAnsi="Times New Roman" w:eastAsia="Times New Roman"/>
          <w:sz w:val="24"/>
        </w:rPr>
        <w:t xml:space="preserve">Assistance architectures reveal further tradeoffs. Developmental logistics generates far more partner-owned capacity and superior terminal coverage than substitution, but requires higher modeled cost and does not dominate near-term capability, placing assistance modes on a capability-retention-cost frontier. Stage 5 detects selective two-way complementarities, but because its nominal near-tie worlds become logistics-bound before comparison, fixed-budget breadth findings apply to realized single bottlenecks rather than the intended multi-constraint condition.</w:t>
      </w:r>
    </w:p>
    <w:p>
      <w:pPr>
        <w:pStyle w:val="BodyText"/>
        <w:spacing w:line="480" w:lineRule="auto" w:before="0" w:after="0"/>
        <w:ind w:firstLine="720" w:left="0"/>
      </w:pPr>
      <w:r>
        <w:rPr>
          <w:rFonts w:ascii="Times New Roman" w:hAnsi="Times New Roman" w:eastAsia="Times New Roman"/>
          <w:sz w:val="24"/>
        </w:rPr>
        <w:t xml:space="preserve">The paper makes three contributions. First, it formalizes a minimal military production model distinguishing supported capability, retained capability, service coverage, and dependency gaps. Second, it separates empirical tests for requirement growth and constraint displacement, reporting confirmatory and disconfirmatory findings alike. Third, it provides a diagnostic evaluation framework measuring relief, yield, retention, demand, and sustainment separately. The scope is bounded: Pineland is a causal laboratory, not an empirical forecasting engine. Case studies of South Vietnam, Afghanistan, Iraq, Colombia, and Mali serve as structured external validation, preserving historical and political explanations alongside production dynamics.</w:t>
      </w:r>
    </w:p>
    <w:bookmarkEnd w:id="26"/>
    <w:bookmarkStart w:id="65" w:name="X677a5010bdb0321177ab74b5a9dfd5ab719708e"/>
    <w:p>
      <w:pPr>
        <w:pStyle w:val="Heading1"/>
        <w:keepNext/>
        <w:spacing w:line="480" w:lineRule="auto" w:after="0" w:before="240"/>
        <w:ind w:firstLine="0" w:left="0"/>
      </w:pPr>
      <w:r>
        <w:rPr>
          <w:rFonts w:ascii="Times New Roman" w:hAnsi="Times New Roman" w:eastAsia="Times New Roman"/>
          <w:b/>
          <w:i w:val="0"/>
          <w:sz w:val="24"/>
        </w:rPr>
        <w:t xml:space="preserve">2. Security Assistance, Dependence, and the Missing Production Dynamic</w:t>
      </w:r>
    </w:p>
    <w:bookmarkStart w:id="29" w:name="interest-misalignment-and-influence"/>
    <w:p>
      <w:pPr>
        <w:pStyle w:val="Heading2"/>
        <w:keepNext/>
        <w:spacing w:line="480" w:lineRule="auto" w:after="0" w:before="120"/>
        <w:ind w:firstLine="0" w:left="0"/>
      </w:pPr>
      <w:r>
        <w:rPr>
          <w:rFonts w:ascii="Times New Roman" w:hAnsi="Times New Roman" w:eastAsia="Times New Roman"/>
          <w:b/>
          <w:i/>
          <w:sz w:val="24"/>
        </w:rPr>
        <w:t xml:space="preserve">2.1 Interest misalignment and influence</w:t>
      </w:r>
    </w:p>
    <w:p>
      <w:pPr>
        <w:pStyle w:val="FirstParagraph"/>
        <w:spacing w:line="480" w:lineRule="auto" w:before="0" w:after="0"/>
        <w:ind w:firstLine="720" w:left="0"/>
      </w:pPr>
      <w:r>
        <w:rPr>
          <w:rFonts w:ascii="Times New Roman" w:hAnsi="Times New Roman" w:eastAsia="Times New Roman"/>
          <w:sz w:val="24"/>
        </w:rPr>
        <w:t xml:space="preserve">A prominent strand of security-force-assistance scholarship treats suboptimal outcomes as an agency problem. Biddle, Macdonald, and Baker argue that external assistance frequently confronts systematic interest misalignment with host governments, limiting the military effectiveness achievable through small-footprint advising.</w:t>
      </w:r>
      <w:r>
        <w:rPr>
          <w:rStyle w:val="FootnoteReference"/>
          <w:rFonts w:ascii="Times New Roman" w:hAnsi="Times New Roman" w:eastAsia="Times New Roman"/>
          <w:sz w:val="24"/>
        </w:rPr>
        <w:footnoteReference w:id="27"/>
      </w:r>
      <w:r>
        <w:rPr>
          <w:rFonts w:ascii="Times New Roman" w:hAnsi="Times New Roman" w:eastAsia="Times New Roman"/>
          <w:sz w:val="24"/>
        </w:rPr>
        <w:t xml:space="preserve"> Metz expands on this through the lens of influence: recipient regimes often possess domestic political incentives to protect corrupt or patrimonial military arrangements, while foreign advisers routinely default to teaching and persuasion over stringent conditionality.</w:t>
      </w:r>
      <w:r>
        <w:rPr>
          <w:rStyle w:val="FootnoteReference"/>
          <w:rFonts w:ascii="Times New Roman" w:hAnsi="Times New Roman" w:eastAsia="Times New Roman"/>
          <w:sz w:val="24"/>
        </w:rPr>
        <w:footnoteReference w:id="28"/>
      </w:r>
      <w:r>
        <w:rPr>
          <w:rFonts w:ascii="Times New Roman" w:hAnsi="Times New Roman" w:eastAsia="Times New Roman"/>
          <w:sz w:val="24"/>
        </w:rPr>
        <w:t xml:space="preserve"> This work demonstrates why recipients resist reforms even when donors possess technical expertise. This article accepts that political foundation and asks a distinct, complementary question: conditional on assistance successfully improving a targeted military function, how does the recipient’s internal production structure adapt afterward?</w:t>
      </w:r>
    </w:p>
    <w:bookmarkEnd w:id="29"/>
    <w:bookmarkStart w:id="43" w:name="X713c1713ee5df15c48ebb3202af0e12d4b39d4d"/>
    <w:p>
      <w:pPr>
        <w:pStyle w:val="Heading2"/>
        <w:keepNext/>
        <w:spacing w:line="480" w:lineRule="auto" w:after="0" w:before="120"/>
        <w:ind w:firstLine="0" w:left="0"/>
      </w:pPr>
      <w:r>
        <w:rPr>
          <w:rFonts w:ascii="Times New Roman" w:hAnsi="Times New Roman" w:eastAsia="Times New Roman"/>
          <w:b/>
          <w:i/>
          <w:sz w:val="24"/>
        </w:rPr>
        <w:t xml:space="preserve">2.2 Fragile forces, weak institutions, and dependence</w:t>
      </w:r>
    </w:p>
    <w:p>
      <w:pPr>
        <w:pStyle w:val="FirstParagraph"/>
        <w:spacing w:line="480" w:lineRule="auto" w:before="0" w:after="0"/>
        <w:ind w:firstLine="720" w:left="0"/>
      </w:pPr>
      <w:r>
        <w:rPr>
          <w:rFonts w:ascii="Times New Roman" w:hAnsi="Times New Roman" w:eastAsia="Times New Roman"/>
          <w:sz w:val="24"/>
        </w:rPr>
        <w:t xml:space="preserve">A second literature highlights the vulnerability of forces constructed without durable political or institutional roots. Matisek characterizes externally constructed militaries as brittle</w:t>
      </w:r>
      <w:r>
        <w:rPr>
          <w:rFonts w:ascii="Times New Roman" w:hAnsi="Times New Roman" w:eastAsia="Times New Roman"/>
          <w:sz w:val="24"/>
        </w:rPr>
        <w:t xml:space="preserve"> </w:t>
      </w:r>
      <w:r>
        <w:rPr>
          <w:rFonts w:ascii="Times New Roman" w:hAnsi="Times New Roman" w:eastAsia="Times New Roman"/>
          <w:sz w:val="24"/>
        </w:rPr>
        <w:t xml:space="preserve">“Faberge Egg”</w:t>
      </w:r>
      <w:r>
        <w:rPr>
          <w:rFonts w:ascii="Times New Roman" w:hAnsi="Times New Roman" w:eastAsia="Times New Roman"/>
          <w:sz w:val="24"/>
        </w:rPr>
        <w:t xml:space="preserve"> </w:t>
      </w:r>
      <w:r>
        <w:rPr>
          <w:rFonts w:ascii="Times New Roman" w:hAnsi="Times New Roman" w:eastAsia="Times New Roman"/>
          <w:sz w:val="24"/>
        </w:rPr>
        <w:t xml:space="preserve">forces liable to collapse upon donor departure.</w:t>
      </w:r>
      <w:r>
        <w:rPr>
          <w:rStyle w:val="FootnoteReference"/>
          <w:rFonts w:ascii="Times New Roman" w:hAnsi="Times New Roman" w:eastAsia="Times New Roman"/>
          <w:sz w:val="24"/>
        </w:rPr>
        <w:footnoteReference w:id="30"/>
      </w:r>
      <w:r>
        <w:rPr>
          <w:rFonts w:ascii="Times New Roman" w:hAnsi="Times New Roman" w:eastAsia="Times New Roman"/>
          <w:sz w:val="24"/>
        </w:rPr>
        <w:t xml:space="preserve"> Knowles and Matisek similarly observe that technical training cannot substitute for local political settlement.</w:t>
      </w:r>
      <w:r>
        <w:rPr>
          <w:rStyle w:val="FootnoteReference"/>
          <w:rFonts w:ascii="Times New Roman" w:hAnsi="Times New Roman" w:eastAsia="Times New Roman"/>
          <w:sz w:val="24"/>
        </w:rPr>
        <w:footnoteReference w:id="31"/>
      </w:r>
      <w:r>
        <w:rPr>
          <w:rFonts w:ascii="Times New Roman" w:hAnsi="Times New Roman" w:eastAsia="Times New Roman"/>
          <w:sz w:val="24"/>
        </w:rPr>
        <w:t xml:space="preserve"> Harkness demonstrates that concentrating assistance in elite enclave formations creates localized operational proficiency while distorting broader civil-military stability.</w:t>
      </w:r>
      <w:r>
        <w:rPr>
          <w:rStyle w:val="FootnoteReference"/>
          <w:rFonts w:ascii="Times New Roman" w:hAnsi="Times New Roman" w:eastAsia="Times New Roman"/>
          <w:sz w:val="24"/>
        </w:rPr>
        <w:footnoteReference w:id="32"/>
      </w:r>
      <w:r>
        <w:rPr>
          <w:rFonts w:ascii="Times New Roman" w:hAnsi="Times New Roman" w:eastAsia="Times New Roman"/>
          <w:sz w:val="24"/>
        </w:rPr>
        <w:t xml:space="preserve"> Sandnes conceptualizes relations between donors and the G5 Sahel Joint Force as asymmetric interdependence, highlighting structural barriers to autonomous sustainability.</w:t>
      </w:r>
      <w:r>
        <w:rPr>
          <w:rStyle w:val="FootnoteReference"/>
          <w:rFonts w:ascii="Times New Roman" w:hAnsi="Times New Roman" w:eastAsia="Times New Roman"/>
          <w:sz w:val="24"/>
        </w:rPr>
        <w:footnoteReference w:id="33"/>
      </w:r>
    </w:p>
    <w:p>
      <w:pPr>
        <w:pStyle w:val="BodyText"/>
        <w:spacing w:line="480" w:lineRule="auto" w:before="0" w:after="0"/>
        <w:ind w:firstLine="720" w:left="0"/>
      </w:pPr>
      <w:r>
        <w:rPr>
          <w:rFonts w:ascii="Times New Roman" w:hAnsi="Times New Roman" w:eastAsia="Times New Roman"/>
          <w:sz w:val="24"/>
        </w:rPr>
        <w:t xml:space="preserve">Scholarship in international security has long distinguished immediate battlefield performance from long-term sustainability. Karlin incorporates the capacity to sustain forces independently into the core definition of successful military development,</w:t>
      </w:r>
      <w:r>
        <w:rPr>
          <w:rStyle w:val="FootnoteReference"/>
          <w:rFonts w:ascii="Times New Roman" w:hAnsi="Times New Roman" w:eastAsia="Times New Roman"/>
          <w:sz w:val="24"/>
        </w:rPr>
        <w:footnoteReference w:id="34"/>
      </w:r>
      <w:r>
        <w:rPr>
          <w:rFonts w:ascii="Times New Roman" w:hAnsi="Times New Roman" w:eastAsia="Times New Roman"/>
          <w:sz w:val="24"/>
        </w:rPr>
        <w:t xml:space="preserve"> while Reynolds proposes a Security Autonomy Index to assess whether recipients internalize external military models.</w:t>
      </w:r>
      <w:r>
        <w:rPr>
          <w:rStyle w:val="FootnoteReference"/>
          <w:rFonts w:ascii="Times New Roman" w:hAnsi="Times New Roman" w:eastAsia="Times New Roman"/>
          <w:sz w:val="24"/>
        </w:rPr>
        <w:footnoteReference w:id="35"/>
      </w:r>
      <w:r>
        <w:rPr>
          <w:rFonts w:ascii="Times New Roman" w:hAnsi="Times New Roman" w:eastAsia="Times New Roman"/>
          <w:sz w:val="24"/>
        </w:rPr>
        <w:t xml:space="preserve"> Policy and defense evaluations underscore similar themes. RAND analyses emphasize that converting foreign inputs into durable capacity requires institutional absorption.</w:t>
      </w:r>
      <w:r>
        <w:rPr>
          <w:rStyle w:val="FootnoteReference"/>
          <w:rFonts w:ascii="Times New Roman" w:hAnsi="Times New Roman" w:eastAsia="Times New Roman"/>
          <w:sz w:val="24"/>
        </w:rPr>
        <w:footnoteReference w:id="37"/>
      </w:r>
      <w:r>
        <w:rPr>
          <w:rFonts w:ascii="Times New Roman" w:hAnsi="Times New Roman" w:eastAsia="Times New Roman"/>
          <w:sz w:val="24"/>
        </w:rPr>
        <w:t xml:space="preserve"> A GAO review of Section 333 train-and-equip proposals revealed that 42 of 46 proposals lacked documentation for sustainment or absorptive capacity.</w:t>
      </w:r>
      <w:r>
        <w:rPr>
          <w:rStyle w:val="FootnoteReference"/>
          <w:rFonts w:ascii="Times New Roman" w:hAnsi="Times New Roman" w:eastAsia="Times New Roman"/>
          <w:sz w:val="24"/>
        </w:rPr>
        <w:footnoteReference w:id="39"/>
      </w:r>
    </w:p>
    <w:p>
      <w:pPr>
        <w:pStyle w:val="BodyText"/>
        <w:spacing w:line="480" w:lineRule="auto" w:before="0" w:after="0"/>
        <w:ind w:firstLine="720" w:left="0"/>
      </w:pPr>
      <w:r>
        <w:rPr>
          <w:rFonts w:ascii="Times New Roman" w:hAnsi="Times New Roman" w:eastAsia="Times New Roman"/>
          <w:sz w:val="24"/>
        </w:rPr>
        <w:t xml:space="preserve">State-capacity research sharpens this diagnosis. Pritchett, Woolcock, and Andrews define</w:t>
      </w:r>
      <w:r>
        <w:rPr>
          <w:rFonts w:ascii="Times New Roman" w:hAnsi="Times New Roman" w:eastAsia="Times New Roman"/>
          <w:sz w:val="24"/>
        </w:rPr>
        <w:t xml:space="preserve"> </w:t>
      </w:r>
      <w:r>
        <w:rPr>
          <w:rFonts w:ascii="Times New Roman" w:hAnsi="Times New Roman" w:eastAsia="Times New Roman"/>
          <w:b/>
          <w:bCs/>
          <w:sz w:val="24"/>
        </w:rPr>
        <w:t xml:space="preserve">premature load bearing</w:t>
      </w:r>
      <w:r>
        <w:rPr>
          <w:rFonts w:ascii="Times New Roman" w:hAnsi="Times New Roman" w:eastAsia="Times New Roman"/>
          <w:sz w:val="24"/>
        </w:rPr>
        <w:t xml:space="preserve"> </w:t>
      </w:r>
      <w:r>
        <w:rPr>
          <w:rFonts w:ascii="Times New Roman" w:hAnsi="Times New Roman" w:eastAsia="Times New Roman"/>
          <w:sz w:val="24"/>
        </w:rPr>
        <w:t xml:space="preserve">as placing operational demands on organizations that outstrip their institutional capabilities.</w:t>
      </w:r>
      <w:r>
        <w:rPr>
          <w:rStyle w:val="FootnoteReference"/>
          <w:rFonts w:ascii="Times New Roman" w:hAnsi="Times New Roman" w:eastAsia="Times New Roman"/>
          <w:sz w:val="24"/>
        </w:rPr>
        <w:footnoteReference w:id="40"/>
      </w:r>
      <w:r>
        <w:rPr>
          <w:rFonts w:ascii="Times New Roman" w:hAnsi="Times New Roman" w:eastAsia="Times New Roman"/>
          <w:sz w:val="24"/>
        </w:rPr>
        <w:t xml:space="preserve"> The present theory operationalizes this dynamic mechanistically: successful external assistance can itself expand the operational requirements placed on a partner military, shifting which complementary service limits the force.</w:t>
      </w:r>
    </w:p>
    <w:p>
      <w:pPr>
        <w:pStyle w:val="BodyText"/>
        <w:spacing w:line="480" w:lineRule="auto" w:before="0" w:after="0"/>
        <w:ind w:firstLine="720" w:left="0"/>
      </w:pPr>
      <w:r>
        <w:rPr>
          <w:rFonts w:ascii="Times New Roman" w:hAnsi="Times New Roman" w:eastAsia="Times New Roman"/>
          <w:sz w:val="24"/>
        </w:rPr>
        <w:t xml:space="preserve">To clarify mechanisms, I distinguish three forms of dependency.</w:t>
      </w:r>
      <w:r>
        <w:rPr>
          <w:rFonts w:ascii="Times New Roman" w:hAnsi="Times New Roman" w:eastAsia="Times New Roman"/>
          <w:sz w:val="24"/>
        </w:rPr>
        <w:t xml:space="preserve"> </w:t>
      </w:r>
      <w:r>
        <w:rPr>
          <w:rFonts w:ascii="Times New Roman" w:hAnsi="Times New Roman" w:eastAsia="Times New Roman"/>
          <w:b/>
          <w:bCs/>
          <w:sz w:val="24"/>
        </w:rPr>
        <w:t xml:space="preserve">Operational dependence</w:t>
      </w:r>
      <w:r>
        <w:rPr>
          <w:rFonts w:ascii="Times New Roman" w:hAnsi="Times New Roman" w:eastAsia="Times New Roman"/>
          <w:sz w:val="24"/>
        </w:rPr>
        <w:t xml:space="preserve"> </w:t>
      </w:r>
      <w:r>
        <w:rPr>
          <w:rFonts w:ascii="Times New Roman" w:hAnsi="Times New Roman" w:eastAsia="Times New Roman"/>
          <w:sz w:val="24"/>
        </w:rPr>
        <w:t xml:space="preserve">occurs when military output cannot be sustained without continuing foreign service inputs.</w:t>
      </w:r>
      <w:r>
        <w:rPr>
          <w:rFonts w:ascii="Times New Roman" w:hAnsi="Times New Roman" w:eastAsia="Times New Roman"/>
          <w:sz w:val="24"/>
        </w:rPr>
        <w:t xml:space="preserve"> </w:t>
      </w:r>
      <w:r>
        <w:rPr>
          <w:rFonts w:ascii="Times New Roman" w:hAnsi="Times New Roman" w:eastAsia="Times New Roman"/>
          <w:b/>
          <w:bCs/>
          <w:sz w:val="24"/>
        </w:rPr>
        <w:t xml:space="preserve">Institutional dependence</w:t>
      </w:r>
      <w:r>
        <w:rPr>
          <w:rFonts w:ascii="Times New Roman" w:hAnsi="Times New Roman" w:eastAsia="Times New Roman"/>
          <w:sz w:val="24"/>
        </w:rPr>
        <w:t xml:space="preserve"> </w:t>
      </w:r>
      <w:r>
        <w:rPr>
          <w:rFonts w:ascii="Times New Roman" w:hAnsi="Times New Roman" w:eastAsia="Times New Roman"/>
          <w:sz w:val="24"/>
        </w:rPr>
        <w:t xml:space="preserve">arises when external provision displaces the development of indigenous administrative bodies.</w:t>
      </w:r>
      <w:r>
        <w:rPr>
          <w:rFonts w:ascii="Times New Roman" w:hAnsi="Times New Roman" w:eastAsia="Times New Roman"/>
          <w:sz w:val="24"/>
        </w:rPr>
        <w:t xml:space="preserve"> </w:t>
      </w:r>
      <w:r>
        <w:rPr>
          <w:rFonts w:ascii="Times New Roman" w:hAnsi="Times New Roman" w:eastAsia="Times New Roman"/>
          <w:b/>
          <w:bCs/>
          <w:sz w:val="24"/>
        </w:rPr>
        <w:t xml:space="preserve">Relational dependence</w:t>
      </w:r>
      <w:r>
        <w:rPr>
          <w:rFonts w:ascii="Times New Roman" w:hAnsi="Times New Roman" w:eastAsia="Times New Roman"/>
          <w:sz w:val="24"/>
        </w:rPr>
        <w:t xml:space="preserve"> </w:t>
      </w:r>
      <w:r>
        <w:rPr>
          <w:rFonts w:ascii="Times New Roman" w:hAnsi="Times New Roman" w:eastAsia="Times New Roman"/>
          <w:sz w:val="24"/>
        </w:rPr>
        <w:t xml:space="preserve">stems from unequal bargaining leverage. The framework here is fundamentally operational: while institutional and relational dynamics frequently interact with operational dependence, requirement expansion and constraint displacement do not require them.</w:t>
      </w:r>
    </w:p>
    <w:bookmarkEnd w:id="43"/>
    <w:bookmarkStart w:id="63" w:name="Xe9ddbe5df5926834cd61883500fff6c2bdb0f8b"/>
    <w:p>
      <w:pPr>
        <w:pStyle w:val="Heading2"/>
        <w:keepNext/>
        <w:spacing w:line="480" w:lineRule="auto" w:after="0" w:before="120"/>
        <w:ind w:firstLine="0" w:left="0"/>
      </w:pPr>
      <w:r>
        <w:rPr>
          <w:rFonts w:ascii="Times New Roman" w:hAnsi="Times New Roman" w:eastAsia="Times New Roman"/>
          <w:b/>
          <w:i/>
          <w:sz w:val="24"/>
        </w:rPr>
        <w:t xml:space="preserve">2.3 Bottlenecks, recurrent costs, and complementary production</w:t>
      </w:r>
    </w:p>
    <w:p>
      <w:pPr>
        <w:pStyle w:val="FirstParagraph"/>
        <w:spacing w:line="480" w:lineRule="auto" w:before="0" w:after="0"/>
        <w:ind w:firstLine="720" w:left="0"/>
      </w:pPr>
      <w:r>
        <w:rPr>
          <w:rFonts w:ascii="Times New Roman" w:hAnsi="Times New Roman" w:eastAsia="Times New Roman"/>
          <w:sz w:val="24"/>
        </w:rPr>
        <w:t xml:space="preserve">The primary theoretical antecedent is the Theory of Constraints: system output is determined by the active bottleneck; relieving a non-binding constraint yields little whole-system gain, while elevating the binding constraint inevitably exposes another.</w:t>
      </w:r>
      <w:r>
        <w:rPr>
          <w:rStyle w:val="FootnoteReference"/>
          <w:rFonts w:ascii="Times New Roman" w:hAnsi="Times New Roman" w:eastAsia="Times New Roman"/>
          <w:sz w:val="24"/>
        </w:rPr>
        <w:footnoteReference w:id="44"/>
      </w:r>
      <w:r>
        <w:rPr>
          <w:rFonts w:ascii="Times New Roman" w:hAnsi="Times New Roman" w:eastAsia="Times New Roman"/>
          <w:sz w:val="24"/>
        </w:rPr>
        <w:t xml:space="preserve"> Hirschman’s unbalanced-growth framework provides a parallel macroeconomic logic: expansion in one activity induces bottlenecks and shortages across complementary sectors.</w:t>
      </w:r>
      <w:r>
        <w:rPr>
          <w:rStyle w:val="FootnoteReference"/>
          <w:rFonts w:ascii="Times New Roman" w:hAnsi="Times New Roman" w:eastAsia="Times New Roman"/>
          <w:sz w:val="24"/>
        </w:rPr>
        <w:footnoteReference w:id="45"/>
      </w:r>
      <w:r>
        <w:rPr>
          <w:rFonts w:ascii="Times New Roman" w:hAnsi="Times New Roman" w:eastAsia="Times New Roman"/>
          <w:sz w:val="24"/>
        </w:rPr>
        <w:t xml:space="preserve"> Development economics similarly explores recurrent-cost burdens. Roodman shows how donor projects overload recipient administrative capacity,</w:t>
      </w:r>
      <w:r>
        <w:rPr>
          <w:rStyle w:val="FootnoteReference"/>
          <w:rFonts w:ascii="Times New Roman" w:hAnsi="Times New Roman" w:eastAsia="Times New Roman"/>
          <w:sz w:val="24"/>
        </w:rPr>
        <w:footnoteReference w:id="46"/>
      </w:r>
      <w:r>
        <w:rPr>
          <w:rFonts w:ascii="Times New Roman" w:hAnsi="Times New Roman" w:eastAsia="Times New Roman"/>
          <w:sz w:val="24"/>
        </w:rPr>
        <w:t xml:space="preserve"> Arimoto and Kono model how donor capital investments generate recurrent liabilities that recipients cannot sustain,</w:t>
      </w:r>
      <w:r>
        <w:rPr>
          <w:rStyle w:val="FootnoteReference"/>
          <w:rFonts w:ascii="Times New Roman" w:hAnsi="Times New Roman" w:eastAsia="Times New Roman"/>
          <w:sz w:val="24"/>
        </w:rPr>
        <w:footnoteReference w:id="47"/>
      </w:r>
      <w:r>
        <w:rPr>
          <w:rFonts w:ascii="Times New Roman" w:hAnsi="Times New Roman" w:eastAsia="Times New Roman"/>
          <w:sz w:val="24"/>
        </w:rPr>
        <w:t xml:space="preserve"> and Morss highlights institutional decay under donor project proliferation.</w:t>
      </w:r>
      <w:r>
        <w:rPr>
          <w:rStyle w:val="FootnoteReference"/>
          <w:rFonts w:ascii="Times New Roman" w:hAnsi="Times New Roman" w:eastAsia="Times New Roman"/>
          <w:sz w:val="24"/>
        </w:rPr>
        <w:footnoteReference w:id="48"/>
      </w:r>
    </w:p>
    <w:p>
      <w:pPr>
        <w:pStyle w:val="BodyText"/>
        <w:spacing w:line="480" w:lineRule="auto" w:before="0" w:after="0"/>
        <w:ind w:firstLine="720" w:left="0"/>
      </w:pPr>
      <w:r>
        <w:rPr>
          <w:rFonts w:ascii="Times New Roman" w:hAnsi="Times New Roman" w:eastAsia="Times New Roman"/>
          <w:sz w:val="24"/>
        </w:rPr>
        <w:t xml:space="preserve">In military production, this problem operates across functional domains. Upgrading command enables larger tactical formations; expanding recruitment increases logistics demands; and providing tactical mobility multiplies fuel, maintenance, and distribution requirements. This logic aligns with foundational theories of complementary production: Kremer’s O-ring model demonstrates how failure in one indispensable task diminishes returns across all others,</w:t>
      </w:r>
      <w:r>
        <w:rPr>
          <w:rStyle w:val="FootnoteReference"/>
          <w:rFonts w:ascii="Times New Roman" w:hAnsi="Times New Roman" w:eastAsia="Times New Roman"/>
          <w:sz w:val="24"/>
        </w:rPr>
        <w:footnoteReference w:id="50"/>
      </w:r>
      <w:r>
        <w:rPr>
          <w:rFonts w:ascii="Times New Roman" w:hAnsi="Times New Roman" w:eastAsia="Times New Roman"/>
          <w:sz w:val="24"/>
        </w:rPr>
        <w:t xml:space="preserve"> and organizational economics demonstrates how returns to one practice depend on complementary capabilities.</w:t>
      </w:r>
      <w:r>
        <w:rPr>
          <w:rStyle w:val="FootnoteReference"/>
          <w:rFonts w:ascii="Times New Roman" w:hAnsi="Times New Roman" w:eastAsia="Times New Roman"/>
          <w:sz w:val="24"/>
        </w:rPr>
        <w:footnoteReference w:id="52"/>
      </w:r>
      <w:r>
        <w:rPr>
          <w:rFonts w:ascii="Times New Roman" w:hAnsi="Times New Roman" w:eastAsia="Times New Roman"/>
          <w:sz w:val="24"/>
        </w:rPr>
        <w:t xml:space="preserve"> Military scholarship has long recognized that combat power depends on complex organizational synthesis,</w:t>
      </w:r>
      <w:r>
        <w:rPr>
          <w:rStyle w:val="FootnoteReference"/>
          <w:rFonts w:ascii="Times New Roman" w:hAnsi="Times New Roman" w:eastAsia="Times New Roman"/>
          <w:sz w:val="24"/>
        </w:rPr>
        <w:footnoteReference w:id="53"/>
      </w:r>
      <w:r>
        <w:rPr>
          <w:rFonts w:ascii="Times New Roman" w:hAnsi="Times New Roman" w:eastAsia="Times New Roman"/>
          <w:sz w:val="24"/>
        </w:rPr>
        <w:t xml:space="preserve"> operational employment,</w:t>
      </w:r>
      <w:r>
        <w:rPr>
          <w:rStyle w:val="FootnoteReference"/>
          <w:rFonts w:ascii="Times New Roman" w:hAnsi="Times New Roman" w:eastAsia="Times New Roman"/>
          <w:sz w:val="24"/>
        </w:rPr>
        <w:footnoteReference w:id="55"/>
      </w:r>
      <w:r>
        <w:rPr>
          <w:rFonts w:ascii="Times New Roman" w:hAnsi="Times New Roman" w:eastAsia="Times New Roman"/>
          <w:sz w:val="24"/>
        </w:rPr>
        <w:t xml:space="preserve"> and sustainment throughput.</w:t>
      </w:r>
      <w:r>
        <w:rPr>
          <w:rStyle w:val="FootnoteReference"/>
          <w:rFonts w:ascii="Times New Roman" w:hAnsi="Times New Roman" w:eastAsia="Times New Roman"/>
          <w:sz w:val="24"/>
        </w:rPr>
        <w:footnoteReference w:id="57"/>
      </w:r>
    </w:p>
    <w:p>
      <w:pPr>
        <w:pStyle w:val="BodyText"/>
        <w:spacing w:line="480" w:lineRule="auto" w:before="0" w:after="0"/>
        <w:ind w:firstLine="720" w:left="0"/>
      </w:pPr>
      <w:r>
        <w:rPr>
          <w:rFonts w:ascii="Times New Roman" w:hAnsi="Times New Roman" w:eastAsia="Times New Roman"/>
          <w:sz w:val="24"/>
        </w:rPr>
        <w:t xml:space="preserve">This focus separates the theory from standard accounts of absorptive capacity and aid dependence. Absorptive capacity concerns assimilating external knowledge;</w:t>
      </w:r>
      <w:r>
        <w:rPr>
          <w:rStyle w:val="FootnoteReference"/>
          <w:rFonts w:ascii="Times New Roman" w:hAnsi="Times New Roman" w:eastAsia="Times New Roman"/>
          <w:sz w:val="24"/>
        </w:rPr>
        <w:footnoteReference w:id="58"/>
      </w:r>
      <w:r>
        <w:rPr>
          <w:rFonts w:ascii="Times New Roman" w:hAnsi="Times New Roman" w:eastAsia="Times New Roman"/>
          <w:sz w:val="24"/>
        </w:rPr>
        <w:t xml:space="preserve"> here, a recipient can successfully assimilate assistance in one subsystem while failing to sustain the broader operational demands that success unlocks. Similarly, aid-dependence theories emphasize political distortions and weakened accountability.</w:t>
      </w:r>
      <w:r>
        <w:rPr>
          <w:rStyle w:val="FootnoteReference"/>
          <w:rFonts w:ascii="Times New Roman" w:hAnsi="Times New Roman" w:eastAsia="Times New Roman"/>
          <w:sz w:val="24"/>
        </w:rPr>
        <w:footnoteReference w:id="60"/>
      </w:r>
      <w:r>
        <w:rPr>
          <w:rFonts w:ascii="Times New Roman" w:hAnsi="Times New Roman" w:eastAsia="Times New Roman"/>
          <w:sz w:val="24"/>
        </w:rPr>
        <w:t xml:space="preserve"> The operational sequence examined here is distinct: assistance expands supported operations, service requirements outpace indigenous delivery, and local relief shifts the binding constraint without guaranteeing whole-system yield.</w:t>
      </w:r>
    </w:p>
    <w:bookmarkEnd w:id="63"/>
    <w:bookmarkStart w:id="64" w:name="X90ff7e15191954da7bd127e2b2a19892e4513b8"/>
    <w:p>
      <w:pPr>
        <w:pStyle w:val="Heading2"/>
        <w:keepNext/>
        <w:spacing w:line="480" w:lineRule="auto" w:after="0" w:before="120"/>
        <w:ind w:firstLine="0" w:left="0"/>
      </w:pPr>
      <w:r>
        <w:rPr>
          <w:rFonts w:ascii="Times New Roman" w:hAnsi="Times New Roman" w:eastAsia="Times New Roman"/>
          <w:b/>
          <w:i/>
          <w:sz w:val="24"/>
        </w:rPr>
        <w:t xml:space="preserve">2.4 From static capacity to endogenous production dynamics</w:t>
      </w:r>
    </w:p>
    <w:p>
      <w:pPr>
        <w:pStyle w:val="FirstParagraph"/>
        <w:spacing w:line="480" w:lineRule="auto" w:before="0" w:after="0"/>
        <w:ind w:firstLine="720" w:left="0"/>
      </w:pPr>
      <w:r>
        <w:rPr>
          <w:rFonts w:ascii="Times New Roman" w:hAnsi="Times New Roman" w:eastAsia="Times New Roman"/>
          <w:sz w:val="24"/>
        </w:rPr>
        <w:t xml:space="preserve">Military capability is jointly produced across force generation, logistics, and command. Assistance alters this production surface by enabling operations that enlarge complementary service demands. The analytical task is therefore developing a framework that models</w:t>
      </w:r>
      <w:r>
        <w:rPr>
          <w:rFonts w:ascii="Times New Roman" w:hAnsi="Times New Roman" w:eastAsia="Times New Roman"/>
          <w:sz w:val="24"/>
        </w:rPr>
        <w:t xml:space="preserve"> </w:t>
      </w:r>
      <w:r>
        <w:rPr>
          <w:rFonts w:ascii="Times New Roman" w:hAnsi="Times New Roman" w:eastAsia="Times New Roman"/>
          <w:b/>
          <w:bCs/>
          <w:sz w:val="24"/>
        </w:rPr>
        <w:t xml:space="preserve">supported capability, retained capability, service demand, indigenous delivery, and constraint migration</w:t>
      </w:r>
      <w:r>
        <w:rPr>
          <w:rFonts w:ascii="Times New Roman" w:hAnsi="Times New Roman" w:eastAsia="Times New Roman"/>
          <w:sz w:val="24"/>
        </w:rPr>
        <w:t xml:space="preserve"> </w:t>
      </w:r>
      <w:r>
        <w:rPr>
          <w:rFonts w:ascii="Times New Roman" w:hAnsi="Times New Roman" w:eastAsia="Times New Roman"/>
          <w:sz w:val="24"/>
        </w:rPr>
        <w:t xml:space="preserve">within an integrated production system.</w:t>
      </w:r>
    </w:p>
    <w:bookmarkEnd w:id="64"/>
    <w:bookmarkEnd w:id="65"/>
    <w:bookmarkStart w:id="75" w:name="theory"/>
    <w:p>
      <w:pPr>
        <w:pStyle w:val="Heading1"/>
        <w:keepNext/>
        <w:spacing w:line="480" w:lineRule="auto" w:after="0" w:before="240"/>
        <w:ind w:firstLine="0" w:left="0"/>
      </w:pPr>
      <w:r>
        <w:rPr>
          <w:rFonts w:ascii="Times New Roman" w:hAnsi="Times New Roman" w:eastAsia="Times New Roman"/>
          <w:b/>
          <w:i w:val="0"/>
          <w:sz w:val="24"/>
        </w:rPr>
        <w:t xml:space="preserve">3. Theory</w:t>
      </w:r>
    </w:p>
    <w:bookmarkStart w:id="66" w:name="a-minimal-complementary-production-model"/>
    <w:p>
      <w:pPr>
        <w:pStyle w:val="Heading2"/>
        <w:keepNext/>
        <w:spacing w:line="480" w:lineRule="auto" w:after="0" w:before="120"/>
        <w:ind w:firstLine="0" w:left="0"/>
      </w:pPr>
      <w:r>
        <w:rPr>
          <w:rFonts w:ascii="Times New Roman" w:hAnsi="Times New Roman" w:eastAsia="Times New Roman"/>
          <w:b/>
          <w:i/>
          <w:sz w:val="24"/>
        </w:rPr>
        <w:t xml:space="preserve">3.1 A minimal complementary-production model</w:t>
      </w:r>
    </w:p>
    <w:p>
      <w:pPr>
        <w:pStyle w:val="FirstParagraph"/>
        <w:spacing w:line="480" w:lineRule="auto" w:before="0" w:after="0"/>
        <w:ind w:firstLine="720" w:left="0"/>
      </w:pPr>
      <w:r>
        <w:rPr>
          <w:rFonts w:ascii="Times New Roman" w:hAnsi="Times New Roman" w:eastAsia="Times New Roman"/>
          <w:sz w:val="24"/>
        </w:rPr>
        <w:t xml:space="preserve">Consider a military system that requires services indexed by</w:t>
      </w:r>
      <w:r>
        <w:rPr>
          <w:rFonts w:ascii="Times New Roman" w:hAnsi="Times New Roman" w:eastAsia="Times New Roman"/>
          <w:sz w:val="24"/>
        </w:rPr>
        <w:t xml:space="preserve"> </w:t>
      </w:r>
      <m:oMath>
        <m:r>
          <m:t>j</m:t>
        </m:r>
      </m:oMath>
      <w:r>
        <w:rPr>
          <w:rFonts w:ascii="Times New Roman" w:hAnsi="Times New Roman" w:eastAsia="Times New Roman"/>
          <w:sz w:val="24"/>
        </w:rPr>
        <w:t xml:space="preserve">. An</w:t>
      </w:r>
      <w:r>
        <w:rPr>
          <w:rFonts w:ascii="Times New Roman" w:hAnsi="Times New Roman" w:eastAsia="Times New Roman"/>
          <w:sz w:val="24"/>
        </w:rPr>
        <w:t xml:space="preserve"> </w:t>
      </w:r>
      <w:r>
        <w:rPr>
          <w:rFonts w:ascii="Times New Roman" w:hAnsi="Times New Roman" w:eastAsia="Times New Roman"/>
          <w:sz w:val="24"/>
        </w:rPr>
        <w:t xml:space="preserve">operation of scale or complexity</w:t>
      </w:r>
      <w:r>
        <w:rPr>
          <w:rFonts w:ascii="Times New Roman" w:hAnsi="Times New Roman" w:eastAsia="Times New Roman"/>
          <w:sz w:val="24"/>
        </w:rPr>
        <w:t xml:space="preserve"> </w:t>
      </w:r>
      <m:oMath>
        <m:r>
          <m:t>x</m:t>
        </m:r>
      </m:oMath>
      <w:r>
        <w:rPr>
          <w:rFonts w:ascii="Times New Roman" w:hAnsi="Times New Roman" w:eastAsia="Times New Roman"/>
          <w:sz w:val="24"/>
        </w:rPr>
        <w:t xml:space="preserve"> </w:t>
      </w:r>
      <w:r>
        <w:rPr>
          <w:rFonts w:ascii="Times New Roman" w:hAnsi="Times New Roman" w:eastAsia="Times New Roman"/>
          <w:sz w:val="24"/>
        </w:rPr>
        <w:t xml:space="preserve">requires</w:t>
      </w:r>
      <w:r>
        <w:rPr>
          <w:rFonts w:ascii="Times New Roman" w:hAnsi="Times New Roman" w:eastAsia="Times New Roman"/>
          <w:sz w:val="24"/>
        </w:rPr>
        <w:t xml:space="preserve"> </w:t>
      </w:r>
      <m:oMath>
        <m:sSub>
          <m:e>
            <m:r>
              <m:t>r</m:t>
            </m:r>
          </m:e>
          <m:sub>
            <m:r>
              <m:t>j</m:t>
            </m:r>
          </m:sub>
        </m:sSub>
        <m:r>
          <m:rPr>
            <m:sty m:val="p"/>
          </m:rPr>
          <m:t>(</m:t>
        </m:r>
        <m:r>
          <m:t>x</m:t>
        </m:r>
        <m:r>
          <m:rPr>
            <m:sty m:val="p"/>
          </m:rPr>
          <m:t>)</m:t>
        </m:r>
      </m:oMath>
      <w:r>
        <w:rPr>
          <w:rFonts w:ascii="Times New Roman" w:hAnsi="Times New Roman" w:eastAsia="Times New Roman"/>
          <w:sz w:val="24"/>
        </w:rPr>
        <w:t xml:space="preserve"> </w:t>
      </w:r>
      <w:r>
        <w:rPr>
          <w:rFonts w:ascii="Times New Roman" w:hAnsi="Times New Roman" w:eastAsia="Times New Roman"/>
          <w:sz w:val="24"/>
        </w:rPr>
        <w:t xml:space="preserve">units of service</w:t>
      </w:r>
      <w:r>
        <w:rPr>
          <w:rFonts w:ascii="Times New Roman" w:hAnsi="Times New Roman" w:eastAsia="Times New Roman"/>
          <w:sz w:val="24"/>
        </w:rPr>
        <w:t xml:space="preserve"> </w:t>
      </w:r>
      <m:oMath>
        <m:r>
          <m:t>j</m:t>
        </m:r>
      </m:oMath>
      <w:r>
        <w:rPr>
          <w:rFonts w:ascii="Times New Roman" w:hAnsi="Times New Roman" w:eastAsia="Times New Roman"/>
          <w:sz w:val="24"/>
        </w:rPr>
        <w:t xml:space="preserve">. Indigenous production is</w:t>
      </w:r>
      <w:r>
        <w:rPr>
          <w:rFonts w:ascii="Times New Roman" w:hAnsi="Times New Roman" w:eastAsia="Times New Roman"/>
          <w:sz w:val="24"/>
        </w:rPr>
        <w:t xml:space="preserve"> </w:t>
      </w:r>
      <m:oMath>
        <m:sSub>
          <m:e>
            <m:r>
              <m:t>I</m:t>
            </m:r>
          </m:e>
          <m:sub>
            <m:r>
              <m:t>j</m:t>
            </m:r>
          </m:sub>
        </m:sSub>
      </m:oMath>
      <w:r>
        <w:rPr>
          <w:rFonts w:ascii="Times New Roman" w:hAnsi="Times New Roman" w:eastAsia="Times New Roman"/>
          <w:sz w:val="24"/>
        </w:rPr>
        <w:t xml:space="preserve"> </w:t>
      </w:r>
      <w:r>
        <w:rPr>
          <w:rFonts w:ascii="Times New Roman" w:hAnsi="Times New Roman" w:eastAsia="Times New Roman"/>
          <w:sz w:val="24"/>
        </w:rPr>
        <w:t xml:space="preserve">and external provision is</w:t>
      </w:r>
      <w:r>
        <w:rPr>
          <w:rFonts w:ascii="Times New Roman" w:hAnsi="Times New Roman" w:eastAsia="Times New Roman"/>
          <w:sz w:val="24"/>
        </w:rPr>
        <w:t xml:space="preserve"> </w:t>
      </w:r>
      <m:oMath>
        <m:sSub>
          <m:e>
            <m:r>
              <m:t>E</m:t>
            </m:r>
          </m:e>
          <m:sub>
            <m:r>
              <m:t>j</m:t>
            </m:r>
          </m:sub>
        </m:sSub>
      </m:oMath>
      <w:r>
        <w:rPr>
          <w:rFonts w:ascii="Times New Roman" w:hAnsi="Times New Roman" w:eastAsia="Times New Roman"/>
          <w:sz w:val="24"/>
        </w:rPr>
        <w:t xml:space="preserve">.</w:t>
      </w:r>
      <w:r>
        <w:rPr>
          <w:rFonts w:ascii="Times New Roman" w:hAnsi="Times New Roman" w:eastAsia="Times New Roman"/>
          <w:sz w:val="24"/>
        </w:rPr>
        <w:t xml:space="preserve"> </w:t>
      </w:r>
      <w:r>
        <w:rPr>
          <w:rFonts w:ascii="Times New Roman" w:hAnsi="Times New Roman" w:eastAsia="Times New Roman"/>
          <w:sz w:val="24"/>
        </w:rPr>
        <w:t xml:space="preserve">Supported feasible capability and independently reproducible capability are</w:t>
      </w:r>
    </w:p>
    <w:p>
      <w:pPr>
        <w:pStyle w:val="BodyText"/>
      </w:pPr>
      <m:oMathPara>
        <m:oMathParaPr>
          <m:jc m:val="center"/>
        </m:oMathParaPr>
        <m:oMath>
          <m:sSup>
            <m:e>
              <m:r>
                <m:t>C</m:t>
              </m:r>
            </m:e>
            <m:sup>
              <m:r>
                <m:t>S</m:t>
              </m:r>
            </m:sup>
          </m:sSup>
          <m:r>
            <m:rPr>
              <m:sty m:val="p"/>
            </m:rPr>
            <m:t>=</m:t>
          </m:r>
          <m:r>
            <m:rPr>
              <m:sty m:val="p"/>
            </m:rPr>
            <m:t>max</m:t>
          </m:r>
          <m:r>
            <m:t>x</m:t>
          </m:r>
          <m:r>
            <m:t> </m:t>
          </m:r>
          <m:r>
            <m:rPr>
              <m:nor/>
              <m:sty m:val="p"/>
            </m:rPr>
            <m:t>s.t.</m:t>
          </m:r>
          <m:r>
            <m:t> </m:t>
          </m:r>
          <m:sSub>
            <m:e>
              <m:r>
                <m:t>r</m:t>
              </m:r>
            </m:e>
            <m:sub>
              <m:r>
                <m:t>j</m:t>
              </m:r>
            </m:sub>
          </m:sSub>
          <m:r>
            <m:rPr>
              <m:sty m:val="p"/>
            </m:rPr>
            <m:t>(</m:t>
          </m:r>
          <m:r>
            <m:t>x</m:t>
          </m:r>
          <m:r>
            <m:rPr>
              <m:sty m:val="p"/>
            </m:rPr>
            <m:t>)</m:t>
          </m:r>
          <m:r>
            <m:rPr>
              <m:sty m:val="p"/>
            </m:rPr>
            <m:t>≤</m:t>
          </m:r>
          <m:sSub>
            <m:e>
              <m:r>
                <m:t>I</m:t>
              </m:r>
            </m:e>
            <m:sub>
              <m:r>
                <m:t>j</m:t>
              </m:r>
            </m:sub>
          </m:sSub>
          <m:r>
            <m:rPr>
              <m:sty m:val="p"/>
            </m:rPr>
            <m:t>+</m:t>
          </m:r>
          <m:sSub>
            <m:e>
              <m:r>
                <m:t>E</m:t>
              </m:r>
            </m:e>
            <m:sub>
              <m:r>
                <m:t>j</m:t>
              </m:r>
            </m:sub>
          </m:sSub>
          <m:r>
            <m:t> </m:t>
          </m:r>
          <m:r>
            <m:rPr>
              <m:sty m:val="p"/>
            </m:rPr>
            <m:t>∀</m:t>
          </m:r>
          <m:r>
            <m:t>j</m:t>
          </m:r>
          <m:r>
            <m:rPr>
              <m:sty m:val="p"/>
            </m:rPr>
            <m:t>,</m:t>
          </m:r>
        </m:oMath>
      </m:oMathPara>
    </w:p>
    <w:p>
      <w:pPr>
        <w:pStyle w:val="FirstParagraph"/>
        <w:spacing w:line="480" w:lineRule="auto" w:before="0" w:after="0"/>
        <w:ind w:firstLine="720" w:left="0"/>
      </w:pPr>
      <w:r>
        <w:rPr>
          <w:rFonts w:ascii="Times New Roman" w:hAnsi="Times New Roman" w:eastAsia="Times New Roman"/>
          <w:sz w:val="24"/>
        </w:rPr>
        <w:t xml:space="preserve">and</w:t>
      </w:r>
    </w:p>
    <w:p>
      <w:pPr>
        <w:pStyle w:val="BodyText"/>
      </w:pPr>
      <m:oMathPara>
        <m:oMathParaPr>
          <m:jc m:val="center"/>
        </m:oMathParaPr>
        <m:oMath>
          <m:sSup>
            <m:e>
              <m:r>
                <m:t>C</m:t>
              </m:r>
            </m:e>
            <m:sup>
              <m:r>
                <m:t>A</m:t>
              </m:r>
            </m:sup>
          </m:sSup>
          <m:r>
            <m:rPr>
              <m:sty m:val="p"/>
            </m:rPr>
            <m:t>=</m:t>
          </m:r>
          <m:r>
            <m:rPr>
              <m:sty m:val="p"/>
            </m:rPr>
            <m:t>max</m:t>
          </m:r>
          <m:r>
            <m:t>x</m:t>
          </m:r>
          <m:r>
            <m:t> </m:t>
          </m:r>
          <m:r>
            <m:rPr>
              <m:nor/>
              <m:sty m:val="p"/>
            </m:rPr>
            <m:t>s.t.</m:t>
          </m:r>
          <m:r>
            <m:t> </m:t>
          </m:r>
          <m:sSub>
            <m:e>
              <m:r>
                <m:t>r</m:t>
              </m:r>
            </m:e>
            <m:sub>
              <m:r>
                <m:t>j</m:t>
              </m:r>
            </m:sub>
          </m:sSub>
          <m:r>
            <m:rPr>
              <m:sty m:val="p"/>
            </m:rPr>
            <m:t>(</m:t>
          </m:r>
          <m:r>
            <m:t>x</m:t>
          </m:r>
          <m:r>
            <m:rPr>
              <m:sty m:val="p"/>
            </m:rPr>
            <m:t>)</m:t>
          </m:r>
          <m:r>
            <m:rPr>
              <m:sty m:val="p"/>
            </m:rPr>
            <m:t>≤</m:t>
          </m:r>
          <m:sSub>
            <m:e>
              <m:r>
                <m:t>I</m:t>
              </m:r>
            </m:e>
            <m:sub>
              <m:r>
                <m:t>j</m:t>
              </m:r>
            </m:sub>
          </m:sSub>
          <m:r>
            <m:t> </m:t>
          </m:r>
          <m:r>
            <m:rPr>
              <m:sty m:val="p"/>
            </m:rPr>
            <m:t>∀</m:t>
          </m:r>
          <m:r>
            <m:t>j</m:t>
          </m:r>
          <m:r>
            <m:rPr>
              <m:sty m:val="p"/>
            </m:rPr>
            <m:t>.</m:t>
          </m:r>
        </m:oMath>
      </m:oMathPara>
    </w:p>
    <w:p>
      <w:pPr>
        <w:pStyle w:val="FirstParagraph"/>
        <w:spacing w:line="480" w:lineRule="auto" w:before="0" w:after="0"/>
        <w:ind w:firstLine="720" w:left="0"/>
      </w:pPr>
      <w:r>
        <w:rPr>
          <w:rFonts w:ascii="Times New Roman" w:hAnsi="Times New Roman" w:eastAsia="Times New Roman"/>
          <w:sz w:val="24"/>
        </w:rPr>
        <w:t xml:space="preserve">For the useful special case</w:t>
      </w:r>
      <w:r>
        <w:rPr>
          <w:rFonts w:ascii="Times New Roman" w:hAnsi="Times New Roman" w:eastAsia="Times New Roman"/>
          <w:sz w:val="24"/>
        </w:rPr>
        <w:t xml:space="preserve"> </w:t>
      </w:r>
      <m:oMath>
        <m:sSub>
          <m:e>
            <m:r>
              <m:t>r</m:t>
            </m:r>
          </m:e>
          <m:sub>
            <m:r>
              <m:t>j</m:t>
            </m:r>
          </m:sub>
        </m:sSub>
        <m:r>
          <m:rPr>
            <m:sty m:val="p"/>
          </m:rPr>
          <m:t>(</m:t>
        </m:r>
        <m:r>
          <m:t>x</m:t>
        </m:r>
        <m:r>
          <m:rPr>
            <m:sty m:val="p"/>
          </m:rPr>
          <m:t>)</m:t>
        </m:r>
        <m:r>
          <m:rPr>
            <m:sty m:val="p"/>
          </m:rPr>
          <m:t>=</m:t>
        </m:r>
        <m:sSub>
          <m:e>
            <m:r>
              <m:t>a</m:t>
            </m:r>
          </m:e>
          <m:sub>
            <m:r>
              <m:t>j</m:t>
            </m:r>
          </m:sub>
        </m:sSub>
        <m:r>
          <m:t>x</m:t>
        </m:r>
      </m:oMath>
      <w:r>
        <w:rPr>
          <w:rFonts w:ascii="Times New Roman" w:hAnsi="Times New Roman" w:eastAsia="Times New Roman"/>
          <w:sz w:val="24"/>
        </w:rPr>
        <w:t xml:space="preserve">, these reduce to</w:t>
      </w:r>
    </w:p>
    <w:p>
      <w:pPr>
        <w:pStyle w:val="BodyText"/>
      </w:pPr>
      <m:oMathPara>
        <m:oMathParaPr>
          <m:jc m:val="center"/>
        </m:oMathParaPr>
        <m:oMath>
          <m:sSup>
            <m:e>
              <m:r>
                <m:t>C</m:t>
              </m:r>
            </m:e>
            <m:sup>
              <m:r>
                <m:t>S</m:t>
              </m:r>
            </m:sup>
          </m:sSup>
          <m:r>
            <m:rPr>
              <m:sty m:val="p"/>
            </m:rPr>
            <m:t>=</m:t>
          </m:r>
          <m:limLow>
            <m:e>
              <m:r>
                <m:rPr>
                  <m:sty m:val="p"/>
                </m:rPr>
                <m:t>min</m:t>
              </m:r>
            </m:e>
            <m:lim>
              <m:r>
                <m:t>j</m:t>
              </m:r>
            </m:lim>
          </m:limLow>
          <m:f>
            <m:fPr>
              <m:type m:val="bar"/>
            </m:fPr>
            <m:num>
              <m:sSub>
                <m:e>
                  <m:r>
                    <m:t>I</m:t>
                  </m:r>
                </m:e>
                <m:sub>
                  <m:r>
                    <m:t>j</m:t>
                  </m:r>
                </m:sub>
              </m:sSub>
              <m:r>
                <m:rPr>
                  <m:sty m:val="p"/>
                </m:rPr>
                <m:t>+</m:t>
              </m:r>
              <m:sSub>
                <m:e>
                  <m:r>
                    <m:t>E</m:t>
                  </m:r>
                </m:e>
                <m:sub>
                  <m:r>
                    <m:t>j</m:t>
                  </m:r>
                </m:sub>
              </m:sSub>
            </m:num>
            <m:den>
              <m:sSub>
                <m:e>
                  <m:r>
                    <m:t>a</m:t>
                  </m:r>
                </m:e>
                <m:sub>
                  <m:r>
                    <m:t>j</m:t>
                  </m:r>
                </m:sub>
              </m:sSub>
            </m:den>
          </m:f>
          <m:r>
            <m:rPr>
              <m:sty m:val="p"/>
            </m:rPr>
            <m:t>,</m:t>
          </m:r>
          <m:r>
            <m:t>  </m:t>
          </m:r>
          <m:sSup>
            <m:e>
              <m:r>
                <m:t>C</m:t>
              </m:r>
            </m:e>
            <m:sup>
              <m:r>
                <m:t>A</m:t>
              </m:r>
            </m:sup>
          </m:sSup>
          <m:r>
            <m:rPr>
              <m:sty m:val="p"/>
            </m:rPr>
            <m:t>=</m:t>
          </m:r>
          <m:limLow>
            <m:e>
              <m:r>
                <m:rPr>
                  <m:sty m:val="p"/>
                </m:rPr>
                <m:t>min</m:t>
              </m:r>
            </m:e>
            <m:lim>
              <m:r>
                <m:t>j</m:t>
              </m:r>
            </m:lim>
          </m:limLow>
          <m:f>
            <m:fPr>
              <m:type m:val="bar"/>
            </m:fPr>
            <m:num>
              <m:sSub>
                <m:e>
                  <m:r>
                    <m:t>I</m:t>
                  </m:r>
                </m:e>
                <m:sub>
                  <m:r>
                    <m:t>j</m:t>
                  </m:r>
                </m:sub>
              </m:sSub>
            </m:num>
            <m:den>
              <m:sSub>
                <m:e>
                  <m:r>
                    <m:t>a</m:t>
                  </m:r>
                </m:e>
                <m:sub>
                  <m:r>
                    <m:t>j</m:t>
                  </m:r>
                </m:sub>
              </m:sSub>
            </m:den>
          </m:f>
          <m:r>
            <m:rPr>
              <m:sty m:val="p"/>
            </m:rPr>
            <m:t>.</m:t>
          </m:r>
        </m:oMath>
      </m:oMathPara>
    </w:p>
    <w:p>
      <w:pPr>
        <w:pStyle w:val="FirstParagraph"/>
        <w:spacing w:line="480" w:lineRule="auto" w:before="0" w:after="0"/>
        <w:ind w:firstLine="720" w:left="0"/>
      </w:pPr>
      <w:r>
        <w:rPr>
          <w:rFonts w:ascii="Times New Roman" w:hAnsi="Times New Roman" w:eastAsia="Times New Roman"/>
          <w:sz w:val="24"/>
        </w:rPr>
        <w:t xml:space="preserve">The result is elementary but important. A force can possess a high supported</w:t>
      </w:r>
      <w:r>
        <w:rPr>
          <w:rFonts w:ascii="Times New Roman" w:hAnsi="Times New Roman" w:eastAsia="Times New Roman"/>
          <w:sz w:val="24"/>
        </w:rPr>
        <w:t xml:space="preserve"> </w:t>
      </w:r>
      <w:r>
        <w:rPr>
          <w:rFonts w:ascii="Times New Roman" w:hAnsi="Times New Roman" w:eastAsia="Times New Roman"/>
          <w:sz w:val="24"/>
        </w:rPr>
        <w:t xml:space="preserve">capability and a much lower independently reproducible capability at the same</w:t>
      </w:r>
      <w:r>
        <w:rPr>
          <w:rFonts w:ascii="Times New Roman" w:hAnsi="Times New Roman" w:eastAsia="Times New Roman"/>
          <w:sz w:val="24"/>
        </w:rPr>
        <w:t xml:space="preserve"> </w:t>
      </w:r>
      <w:r>
        <w:rPr>
          <w:rFonts w:ascii="Times New Roman" w:hAnsi="Times New Roman" w:eastAsia="Times New Roman"/>
          <w:sz w:val="24"/>
        </w:rPr>
        <w:t xml:space="preserve">point in time. The gap</w:t>
      </w:r>
      <w:r>
        <w:rPr>
          <w:rFonts w:ascii="Times New Roman" w:hAnsi="Times New Roman" w:eastAsia="Times New Roman"/>
          <w:sz w:val="24"/>
        </w:rPr>
        <w:t xml:space="preserve"> </w:t>
      </w:r>
      <m:oMath>
        <m:sSup>
          <m:e>
            <m:r>
              <m:t>C</m:t>
            </m:r>
          </m:e>
          <m:sup>
            <m:r>
              <m:t>S</m:t>
            </m:r>
          </m:sup>
        </m:sSup>
        <m:r>
          <m:rPr>
            <m:sty m:val="p"/>
          </m:rPr>
          <m:t>−</m:t>
        </m:r>
        <m:sSup>
          <m:e>
            <m:r>
              <m:t>C</m:t>
            </m:r>
          </m:e>
          <m:sup>
            <m:r>
              <m:t>A</m:t>
            </m:r>
          </m:sup>
        </m:sSup>
      </m:oMath>
      <w:r>
        <w:rPr>
          <w:rFonts w:ascii="Times New Roman" w:hAnsi="Times New Roman" w:eastAsia="Times New Roman"/>
          <w:sz w:val="24"/>
        </w:rPr>
        <w:t xml:space="preserve"> </w:t>
      </w:r>
      <w:r>
        <w:rPr>
          <w:rFonts w:ascii="Times New Roman" w:hAnsi="Times New Roman" w:eastAsia="Times New Roman"/>
          <w:sz w:val="24"/>
        </w:rPr>
        <w:t xml:space="preserve">is therefore a production property, not a</w:t>
      </w:r>
      <w:r>
        <w:rPr>
          <w:rFonts w:ascii="Times New Roman" w:hAnsi="Times New Roman" w:eastAsia="Times New Roman"/>
          <w:sz w:val="24"/>
        </w:rPr>
        <w:t xml:space="preserve"> </w:t>
      </w:r>
      <w:r>
        <w:rPr>
          <w:rFonts w:ascii="Times New Roman" w:hAnsi="Times New Roman" w:eastAsia="Times New Roman"/>
          <w:sz w:val="24"/>
        </w:rPr>
        <w:t xml:space="preserve">claim that indigenous capability has necessarily been destroyed.</w:t>
      </w:r>
    </w:p>
    <w:p>
      <w:pPr>
        <w:pStyle w:val="BodyText"/>
        <w:spacing w:line="480" w:lineRule="auto" w:before="0" w:after="0"/>
        <w:ind w:firstLine="720" w:left="0"/>
      </w:pPr>
      <w:r>
        <w:rPr>
          <w:rFonts w:ascii="Times New Roman" w:hAnsi="Times New Roman" w:eastAsia="Times New Roman"/>
          <w:sz w:val="24"/>
        </w:rPr>
        <w:t xml:space="preserve">The empirical analysis also records</w:t>
      </w:r>
      <w:r>
        <w:rPr>
          <w:rFonts w:ascii="Times New Roman" w:hAnsi="Times New Roman" w:eastAsia="Times New Roman"/>
          <w:sz w:val="24"/>
        </w:rPr>
        <w:t xml:space="preserve"> </w:t>
      </w:r>
      <w:r>
        <w:rPr>
          <w:rFonts w:ascii="Times New Roman" w:hAnsi="Times New Roman" w:eastAsia="Times New Roman"/>
          <w:b/>
          <w:bCs/>
          <w:sz w:val="24"/>
        </w:rPr>
        <w:t xml:space="preserve">indigenous coverage</w:t>
      </w:r>
      <w:r>
        <w:rPr>
          <w:rFonts w:ascii="Times New Roman" w:hAnsi="Times New Roman" w:eastAsia="Times New Roman"/>
          <w:sz w:val="24"/>
        </w:rPr>
        <w:t xml:space="preserve"> </w:t>
      </w:r>
      <w:r>
        <w:rPr>
          <w:rFonts w:ascii="Times New Roman" w:hAnsi="Times New Roman" w:eastAsia="Times New Roman"/>
          <w:sz w:val="24"/>
        </w:rPr>
        <w:t xml:space="preserve">of an observed</w:t>
      </w:r>
      <w:r>
        <w:rPr>
          <w:rFonts w:ascii="Times New Roman" w:hAnsi="Times New Roman" w:eastAsia="Times New Roman"/>
          <w:sz w:val="24"/>
        </w:rPr>
        <w:t xml:space="preserve"> </w:t>
      </w:r>
      <w:r>
        <w:rPr>
          <w:rFonts w:ascii="Times New Roman" w:hAnsi="Times New Roman" w:eastAsia="Times New Roman"/>
          <w:sz w:val="24"/>
        </w:rPr>
        <w:t xml:space="preserve">service requirement. For any active service with demand</w:t>
      </w:r>
      <w:r>
        <w:rPr>
          <w:rFonts w:ascii="Times New Roman" w:hAnsi="Times New Roman" w:eastAsia="Times New Roman"/>
          <w:sz w:val="24"/>
        </w:rPr>
        <w:t xml:space="preserve"> </w:t>
      </w:r>
      <m:oMath>
        <m:sSub>
          <m:e>
            <m:r>
              <m:t>D</m:t>
            </m:r>
          </m:e>
          <m:sub>
            <m:r>
              <m:t>j</m:t>
            </m:r>
          </m:sub>
        </m:sSub>
        <m:r>
          <m:rPr>
            <m:sty m:val="p"/>
          </m:rPr>
          <m:t>&gt;</m:t>
        </m:r>
        <m:r>
          <m:t>0</m:t>
        </m:r>
      </m:oMath>
      <w:r>
        <w:rPr>
          <w:rFonts w:ascii="Times New Roman" w:hAnsi="Times New Roman" w:eastAsia="Times New Roman"/>
          <w:sz w:val="24"/>
        </w:rPr>
        <w:t xml:space="preserve">,</w:t>
      </w:r>
    </w:p>
    <w:p>
      <w:pPr>
        <w:pStyle w:val="BodyText"/>
      </w:pPr>
      <m:oMathPara>
        <m:oMathParaPr>
          <m:jc m:val="center"/>
        </m:oMathParaPr>
        <m:oMath>
          <m:sSubSup>
            <m:e>
              <m:r>
                <m:t>q</m:t>
              </m:r>
            </m:e>
            <m:sub>
              <m:r>
                <m:t>j</m:t>
              </m:r>
            </m:sub>
            <m:sup>
              <m:r>
                <m:t>I</m:t>
              </m:r>
            </m:sup>
          </m:sSubSup>
          <m:r>
            <m:rPr>
              <m:sty m:val="p"/>
            </m:rPr>
            <m:t>=</m:t>
          </m:r>
          <m:f>
            <m:fPr>
              <m:type m:val="bar"/>
            </m:fPr>
            <m:num>
              <m:sSub>
                <m:e>
                  <m:r>
                    <m:t>I</m:t>
                  </m:r>
                </m:e>
                <m:sub>
                  <m:r>
                    <m:t>j</m:t>
                  </m:r>
                </m:sub>
              </m:sSub>
            </m:num>
            <m:den>
              <m:sSub>
                <m:e>
                  <m:r>
                    <m:t>D</m:t>
                  </m:r>
                </m:e>
                <m:sub>
                  <m:r>
                    <m:t>j</m:t>
                  </m:r>
                </m:sub>
              </m:sSub>
            </m:den>
          </m:f>
          <m:r>
            <m:rPr>
              <m:sty m:val="p"/>
            </m:rPr>
            <m:t>,</m:t>
          </m:r>
          <m:r>
            <m:t>  </m:t>
          </m:r>
          <m:sSubSup>
            <m:e>
              <m:r>
                <m:t>q</m:t>
              </m:r>
            </m:e>
            <m:sub>
              <m:r>
                <m:t>j</m:t>
              </m:r>
            </m:sub>
            <m:sup>
              <m:r>
                <m:t>S</m:t>
              </m:r>
            </m:sup>
          </m:sSubSup>
          <m:r>
            <m:rPr>
              <m:sty m:val="p"/>
            </m:rPr>
            <m:t>=</m:t>
          </m:r>
          <m:f>
            <m:fPr>
              <m:type m:val="bar"/>
            </m:fPr>
            <m:num>
              <m:sSub>
                <m:e>
                  <m:r>
                    <m:t>I</m:t>
                  </m:r>
                </m:e>
                <m:sub>
                  <m:r>
                    <m:t>j</m:t>
                  </m:r>
                </m:sub>
              </m:sSub>
              <m:r>
                <m:rPr>
                  <m:sty m:val="p"/>
                </m:rPr>
                <m:t>+</m:t>
              </m:r>
              <m:sSub>
                <m:e>
                  <m:r>
                    <m:t>E</m:t>
                  </m:r>
                </m:e>
                <m:sub>
                  <m:r>
                    <m:t>j</m:t>
                  </m:r>
                </m:sub>
              </m:sSub>
            </m:num>
            <m:den>
              <m:sSub>
                <m:e>
                  <m:r>
                    <m:t>D</m:t>
                  </m:r>
                </m:e>
                <m:sub>
                  <m:r>
                    <m:t>j</m:t>
                  </m:r>
                </m:sub>
              </m:sSub>
            </m:den>
          </m:f>
          <m:r>
            <m:rPr>
              <m:sty m:val="p"/>
            </m:rPr>
            <m:t>.</m:t>
          </m:r>
        </m:oMath>
      </m:oMathPara>
    </w:p>
    <w:p>
      <w:pPr>
        <w:pStyle w:val="FirstParagraph"/>
        <w:spacing w:line="480" w:lineRule="auto" w:before="0" w:after="0"/>
        <w:ind w:firstLine="720" w:left="0"/>
      </w:pPr>
      <w:r>
        <w:rPr>
          <w:rFonts w:ascii="Times New Roman" w:hAnsi="Times New Roman" w:eastAsia="Times New Roman"/>
          <w:sz w:val="24"/>
        </w:rPr>
        <w:t xml:space="preserve">The structural coverage coordinate is</w:t>
      </w:r>
      <w:r>
        <w:rPr>
          <w:rFonts w:ascii="Times New Roman" w:hAnsi="Times New Roman" w:eastAsia="Times New Roman"/>
          <w:sz w:val="24"/>
        </w:rPr>
        <w:t xml:space="preserve"> </w:t>
      </w:r>
      <m:oMath>
        <m:sSup>
          <m:e>
            <m:r>
              <m:t>q</m:t>
            </m:r>
          </m:e>
          <m:sup>
            <m:r>
              <m:t>I</m:t>
            </m:r>
          </m:sup>
        </m:sSup>
        <m:r>
          <m:rPr>
            <m:sty m:val="p"/>
          </m:rPr>
          <m:t>=</m:t>
        </m:r>
        <m:sSub>
          <m:e>
            <m:r>
              <m:rPr>
                <m:sty m:val="p"/>
              </m:rPr>
              <m:t>min</m:t>
            </m:r>
          </m:e>
          <m:sub>
            <m:r>
              <m:t>j</m:t>
            </m:r>
          </m:sub>
        </m:sSub>
        <m:sSubSup>
          <m:e>
            <m:r>
              <m:t>q</m:t>
            </m:r>
          </m:e>
          <m:sub>
            <m:r>
              <m:t>j</m:t>
            </m:r>
          </m:sub>
          <m:sup>
            <m:r>
              <m:t>I</m:t>
            </m:r>
          </m:sup>
        </m:sSubSup>
      </m:oMath>
      <w:r>
        <w:rPr>
          <w:rFonts w:ascii="Times New Roman" w:hAnsi="Times New Roman" w:eastAsia="Times New Roman"/>
          <w:sz w:val="24"/>
        </w:rPr>
        <w:t xml:space="preserve">, and the observed</w:t>
      </w:r>
      <w:r>
        <w:rPr>
          <w:rFonts w:ascii="Times New Roman" w:hAnsi="Times New Roman" w:eastAsia="Times New Roman"/>
          <w:sz w:val="24"/>
        </w:rPr>
        <w:t xml:space="preserve"> </w:t>
      </w:r>
      <w:r>
        <w:rPr>
          <w:rFonts w:ascii="Times New Roman" w:hAnsi="Times New Roman" w:eastAsia="Times New Roman"/>
          <w:sz w:val="24"/>
        </w:rPr>
        <w:t xml:space="preserve">binding service is</w:t>
      </w:r>
      <w:r>
        <w:rPr>
          <w:rFonts w:ascii="Times New Roman" w:hAnsi="Times New Roman" w:eastAsia="Times New Roman"/>
          <w:sz w:val="24"/>
        </w:rPr>
        <w:t xml:space="preserve"> </w:t>
      </w:r>
      <m:oMath>
        <m:r>
          <m:t>B</m:t>
        </m:r>
        <m:r>
          <m:rPr>
            <m:sty m:val="p"/>
          </m:rPr>
          <m:t>=</m:t>
        </m:r>
        <m:r>
          <m:rPr>
            <m:sty m:val="p"/>
          </m:rPr>
          <m:t>arg</m:t>
        </m:r>
        <m:sSub>
          <m:e>
            <m:r>
              <m:rPr>
                <m:sty m:val="p"/>
              </m:rPr>
              <m:t>min</m:t>
            </m:r>
          </m:e>
          <m:sub>
            <m:r>
              <m:t>j</m:t>
            </m:r>
          </m:sub>
        </m:sSub>
        <m:sSubSup>
          <m:e>
            <m:r>
              <m:t>q</m:t>
            </m:r>
          </m:e>
          <m:sub>
            <m:r>
              <m:t>j</m:t>
            </m:r>
          </m:sub>
          <m:sup>
            <m:r>
              <m:t>I</m:t>
            </m:r>
          </m:sup>
        </m:sSubSup>
      </m:oMath>
      <w:r>
        <w:rPr>
          <w:rFonts w:ascii="Times New Roman" w:hAnsi="Times New Roman" w:eastAsia="Times New Roman"/>
          <w:sz w:val="24"/>
        </w:rPr>
        <w:t xml:space="preserve">. Coverage is deliberately kept</w:t>
      </w:r>
      <w:r>
        <w:rPr>
          <w:rFonts w:ascii="Times New Roman" w:hAnsi="Times New Roman" w:eastAsia="Times New Roman"/>
          <w:sz w:val="24"/>
        </w:rPr>
        <w:t xml:space="preserve"> </w:t>
      </w:r>
      <w:r>
        <w:rPr>
          <w:rFonts w:ascii="Times New Roman" w:hAnsi="Times New Roman" w:eastAsia="Times New Roman"/>
          <w:sz w:val="24"/>
        </w:rPr>
        <w:t xml:space="preserve">distinct from absolute capability. A lower</w:t>
      </w:r>
      <w:r>
        <w:rPr>
          <w:rFonts w:ascii="Times New Roman" w:hAnsi="Times New Roman" w:eastAsia="Times New Roman"/>
          <w:sz w:val="24"/>
        </w:rPr>
        <w:t xml:space="preserve"> </w:t>
      </w:r>
      <m:oMath>
        <m:r>
          <m:t>I</m:t>
        </m:r>
        <m:r>
          <m:rPr>
            <m:sty m:val="p"/>
          </m:rPr>
          <m:t>/</m:t>
        </m:r>
        <m:r>
          <m:t>D</m:t>
        </m:r>
      </m:oMath>
      <w:r>
        <w:rPr>
          <w:rFonts w:ascii="Times New Roman" w:hAnsi="Times New Roman" w:eastAsia="Times New Roman"/>
          <w:sz w:val="24"/>
        </w:rPr>
        <w:t xml:space="preserve"> </w:t>
      </w:r>
      <w:r>
        <w:rPr>
          <w:rFonts w:ascii="Times New Roman" w:hAnsi="Times New Roman" w:eastAsia="Times New Roman"/>
          <w:sz w:val="24"/>
        </w:rPr>
        <w:t xml:space="preserve">ratio can reflect lower</w:t>
      </w:r>
      <w:r>
        <w:rPr>
          <w:rFonts w:ascii="Times New Roman" w:hAnsi="Times New Roman" w:eastAsia="Times New Roman"/>
          <w:sz w:val="24"/>
        </w:rPr>
        <w:t xml:space="preserve"> </w:t>
      </w:r>
      <w:r>
        <w:rPr>
          <w:rFonts w:ascii="Times New Roman" w:hAnsi="Times New Roman" w:eastAsia="Times New Roman"/>
          <w:sz w:val="24"/>
        </w:rPr>
        <w:t xml:space="preserve">indigenous service, a larger requirement, or both. It should not be described</w:t>
      </w:r>
      <w:r>
        <w:rPr>
          <w:rFonts w:ascii="Times New Roman" w:hAnsi="Times New Roman" w:eastAsia="Times New Roman"/>
          <w:sz w:val="24"/>
        </w:rPr>
        <w:t xml:space="preserve"> </w:t>
      </w:r>
      <w:r>
        <w:rPr>
          <w:rFonts w:ascii="Times New Roman" w:hAnsi="Times New Roman" w:eastAsia="Times New Roman"/>
          <w:sz w:val="24"/>
        </w:rPr>
        <w:t xml:space="preserve">as indigenous capability loss without decomposing its numerator and</w:t>
      </w:r>
      <w:r>
        <w:rPr>
          <w:rFonts w:ascii="Times New Roman" w:hAnsi="Times New Roman" w:eastAsia="Times New Roman"/>
          <w:sz w:val="24"/>
        </w:rPr>
        <w:t xml:space="preserve"> </w:t>
      </w:r>
      <w:r>
        <w:rPr>
          <w:rFonts w:ascii="Times New Roman" w:hAnsi="Times New Roman" w:eastAsia="Times New Roman"/>
          <w:sz w:val="24"/>
        </w:rPr>
        <w:t xml:space="preserve">denominator.</w:t>
      </w:r>
    </w:p>
    <w:bookmarkEnd w:id="66"/>
    <w:bookmarkStart w:id="67" w:name="relief-yield-and-retention"/>
    <w:p>
      <w:pPr>
        <w:pStyle w:val="Heading2"/>
        <w:keepNext/>
        <w:spacing w:line="480" w:lineRule="auto" w:after="0" w:before="120"/>
        <w:ind w:firstLine="0" w:left="0"/>
      </w:pPr>
      <w:r>
        <w:rPr>
          <w:rFonts w:ascii="Times New Roman" w:hAnsi="Times New Roman" w:eastAsia="Times New Roman"/>
          <w:b/>
          <w:i/>
          <w:sz w:val="24"/>
        </w:rPr>
        <w:t xml:space="preserve">3.2 Relief, yield, and retention</w:t>
      </w:r>
    </w:p>
    <w:p>
      <w:pPr>
        <w:pStyle w:val="FirstParagraph"/>
        <w:spacing w:line="480" w:lineRule="auto" w:before="0" w:after="0"/>
        <w:ind w:firstLine="720" w:left="0"/>
      </w:pPr>
      <w:r>
        <w:rPr>
          <w:rFonts w:ascii="Times New Roman" w:hAnsi="Times New Roman" w:eastAsia="Times New Roman"/>
          <w:sz w:val="24"/>
        </w:rPr>
        <w:t xml:space="preserve">Security-assistance performance is decomposed into three outcomes.</w:t>
      </w:r>
    </w:p>
    <w:p>
      <w:pPr>
        <w:pStyle w:val="BodyText"/>
        <w:spacing w:line="480" w:lineRule="auto" w:before="0" w:after="0"/>
        <w:ind w:firstLine="720" w:left="0"/>
      </w:pPr>
      <w:r>
        <w:rPr>
          <w:rFonts w:ascii="Times New Roman" w:hAnsi="Times New Roman" w:eastAsia="Times New Roman"/>
          <w:b/>
          <w:bCs/>
          <w:sz w:val="24"/>
        </w:rPr>
        <w:t xml:space="preserve">Relief</w:t>
      </w:r>
      <w:r>
        <w:rPr>
          <w:rFonts w:ascii="Times New Roman" w:hAnsi="Times New Roman" w:eastAsia="Times New Roman"/>
          <w:sz w:val="24"/>
        </w:rPr>
        <w:t xml:space="preserve"> </w:t>
      </w:r>
      <w:r>
        <w:rPr>
          <w:rFonts w:ascii="Times New Roman" w:hAnsi="Times New Roman" w:eastAsia="Times New Roman"/>
          <w:sz w:val="24"/>
        </w:rPr>
        <w:t xml:space="preserve">asks whether an intervention improves or removes the service that was</w:t>
      </w:r>
      <w:r>
        <w:rPr>
          <w:rFonts w:ascii="Times New Roman" w:hAnsi="Times New Roman" w:eastAsia="Times New Roman"/>
          <w:sz w:val="24"/>
        </w:rPr>
        <w:t xml:space="preserve"> </w:t>
      </w:r>
      <w:r>
        <w:rPr>
          <w:rFonts w:ascii="Times New Roman" w:hAnsi="Times New Roman" w:eastAsia="Times New Roman"/>
          <w:sz w:val="24"/>
        </w:rPr>
        <w:t xml:space="preserve">limiting the system.</w:t>
      </w:r>
      <w:r>
        <w:rPr>
          <w:rFonts w:ascii="Times New Roman" w:hAnsi="Times New Roman" w:eastAsia="Times New Roman"/>
          <w:sz w:val="24"/>
        </w:rPr>
        <w:t xml:space="preserve"> </w:t>
      </w:r>
      <w:r>
        <w:rPr>
          <w:rFonts w:ascii="Times New Roman" w:hAnsi="Times New Roman" w:eastAsia="Times New Roman"/>
          <w:b/>
          <w:bCs/>
          <w:sz w:val="24"/>
        </w:rPr>
        <w:t xml:space="preserve">Yield</w:t>
      </w:r>
      <w:r>
        <w:rPr>
          <w:rFonts w:ascii="Times New Roman" w:hAnsi="Times New Roman" w:eastAsia="Times New Roman"/>
          <w:sz w:val="24"/>
        </w:rPr>
        <w:t xml:space="preserve"> </w:t>
      </w:r>
      <w:r>
        <w:rPr>
          <w:rFonts w:ascii="Times New Roman" w:hAnsi="Times New Roman" w:eastAsia="Times New Roman"/>
          <w:sz w:val="24"/>
        </w:rPr>
        <w:t xml:space="preserve">asks how much whole-force capability the</w:t>
      </w:r>
      <w:r>
        <w:rPr>
          <w:rFonts w:ascii="Times New Roman" w:hAnsi="Times New Roman" w:eastAsia="Times New Roman"/>
          <w:sz w:val="24"/>
        </w:rPr>
        <w:t xml:space="preserve"> </w:t>
      </w:r>
      <w:r>
        <w:rPr>
          <w:rFonts w:ascii="Times New Roman" w:hAnsi="Times New Roman" w:eastAsia="Times New Roman"/>
          <w:sz w:val="24"/>
        </w:rPr>
        <w:t xml:space="preserve">intervention produces.</w:t>
      </w:r>
      <w:r>
        <w:rPr>
          <w:rFonts w:ascii="Times New Roman" w:hAnsi="Times New Roman" w:eastAsia="Times New Roman"/>
          <w:sz w:val="24"/>
        </w:rPr>
        <w:t xml:space="preserve"> </w:t>
      </w:r>
      <w:r>
        <w:rPr>
          <w:rFonts w:ascii="Times New Roman" w:hAnsi="Times New Roman" w:eastAsia="Times New Roman"/>
          <w:b/>
          <w:bCs/>
          <w:sz w:val="24"/>
        </w:rPr>
        <w:t xml:space="preserve">Retention</w:t>
      </w:r>
      <w:r>
        <w:rPr>
          <w:rFonts w:ascii="Times New Roman" w:hAnsi="Times New Roman" w:eastAsia="Times New Roman"/>
          <w:sz w:val="24"/>
        </w:rPr>
        <w:t xml:space="preserve"> </w:t>
      </w:r>
      <w:r>
        <w:rPr>
          <w:rFonts w:ascii="Times New Roman" w:hAnsi="Times New Roman" w:eastAsia="Times New Roman"/>
          <w:sz w:val="24"/>
        </w:rPr>
        <w:t xml:space="preserve">asks how much of that capability remains</w:t>
      </w:r>
      <w:r>
        <w:rPr>
          <w:rFonts w:ascii="Times New Roman" w:hAnsi="Times New Roman" w:eastAsia="Times New Roman"/>
          <w:sz w:val="24"/>
        </w:rPr>
        <w:t xml:space="preserve"> </w:t>
      </w:r>
      <w:r>
        <w:rPr>
          <w:rFonts w:ascii="Times New Roman" w:hAnsi="Times New Roman" w:eastAsia="Times New Roman"/>
          <w:sz w:val="24"/>
        </w:rPr>
        <w:t xml:space="preserve">after the additional external service stops.</w:t>
      </w:r>
    </w:p>
    <w:p>
      <w:pPr>
        <w:pStyle w:val="BodyText"/>
        <w:spacing w:line="480" w:lineRule="auto" w:before="0" w:after="0"/>
        <w:ind w:firstLine="720" w:left="0"/>
      </w:pPr>
      <w:r>
        <w:rPr>
          <w:rFonts w:ascii="Times New Roman" w:hAnsi="Times New Roman" w:eastAsia="Times New Roman"/>
          <w:sz w:val="24"/>
        </w:rPr>
        <w:t xml:space="preserve">These quantities can be represented against a common no-aid benchmark. Let</w:t>
      </w:r>
      <w:r>
        <w:rPr>
          <w:rFonts w:ascii="Times New Roman" w:hAnsi="Times New Roman" w:eastAsia="Times New Roman"/>
          <w:sz w:val="24"/>
        </w:rPr>
        <w:t xml:space="preserve"> </w:t>
      </w:r>
      <m:oMath>
        <m:sSubSup>
          <m:e>
            <m:r>
              <m:t>C</m:t>
            </m:r>
          </m:e>
          <m:sub>
            <m:r>
              <m:t>h</m:t>
            </m:r>
          </m:sub>
          <m:sup>
            <m:r>
              <m:t>0</m:t>
            </m:r>
          </m:sup>
        </m:sSubSup>
      </m:oMath>
      <w:r>
        <w:rPr>
          <w:rFonts w:ascii="Times New Roman" w:hAnsi="Times New Roman" w:eastAsia="Times New Roman"/>
          <w:sz w:val="24"/>
        </w:rPr>
        <w:t xml:space="preserve"> </w:t>
      </w:r>
      <w:r>
        <w:rPr>
          <w:rFonts w:ascii="Times New Roman" w:hAnsi="Times New Roman" w:eastAsia="Times New Roman"/>
          <w:sz w:val="24"/>
        </w:rPr>
        <w:t xml:space="preserve">be capability at horizon</w:t>
      </w:r>
      <w:r>
        <w:rPr>
          <w:rFonts w:ascii="Times New Roman" w:hAnsi="Times New Roman" w:eastAsia="Times New Roman"/>
          <w:sz w:val="24"/>
        </w:rPr>
        <w:t xml:space="preserve"> </w:t>
      </w:r>
      <m:oMath>
        <m:r>
          <m:t>h</m:t>
        </m:r>
      </m:oMath>
      <w:r>
        <w:rPr>
          <w:rFonts w:ascii="Times New Roman" w:hAnsi="Times New Roman" w:eastAsia="Times New Roman"/>
          <w:sz w:val="24"/>
        </w:rPr>
        <w:t xml:space="preserve"> </w:t>
      </w:r>
      <w:r>
        <w:rPr>
          <w:rFonts w:ascii="Times New Roman" w:hAnsi="Times New Roman" w:eastAsia="Times New Roman"/>
          <w:sz w:val="24"/>
        </w:rPr>
        <w:t xml:space="preserve">under matched no aid,</w:t>
      </w:r>
      <w:r>
        <w:rPr>
          <w:rFonts w:ascii="Times New Roman" w:hAnsi="Times New Roman" w:eastAsia="Times New Roman"/>
          <w:sz w:val="24"/>
        </w:rPr>
        <w:t xml:space="preserve"> </w:t>
      </w:r>
      <m:oMath>
        <m:sSubSup>
          <m:e>
            <m:r>
              <m:t>C</m:t>
            </m:r>
          </m:e>
          <m:sub>
            <m:r>
              <m:t>h</m:t>
            </m:r>
          </m:sub>
          <m:sup>
            <m:r>
              <m:t>O</m:t>
            </m:r>
            <m:r>
              <m:t>N</m:t>
            </m:r>
          </m:sup>
        </m:sSubSup>
      </m:oMath>
      <w:r>
        <w:rPr>
          <w:rFonts w:ascii="Times New Roman" w:hAnsi="Times New Roman" w:eastAsia="Times New Roman"/>
          <w:sz w:val="24"/>
        </w:rPr>
        <w:t xml:space="preserve"> </w:t>
      </w:r>
      <w:r>
        <w:rPr>
          <w:rFonts w:ascii="Times New Roman" w:hAnsi="Times New Roman" w:eastAsia="Times New Roman"/>
          <w:sz w:val="24"/>
        </w:rPr>
        <w:t xml:space="preserve">capability with continued support after the split, and</w:t>
      </w:r>
      <w:r>
        <w:rPr>
          <w:rFonts w:ascii="Times New Roman" w:hAnsi="Times New Roman" w:eastAsia="Times New Roman"/>
          <w:sz w:val="24"/>
        </w:rPr>
        <w:t xml:space="preserve"> </w:t>
      </w:r>
      <m:oMath>
        <m:sSubSup>
          <m:e>
            <m:r>
              <m:t>C</m:t>
            </m:r>
          </m:e>
          <m:sub>
            <m:r>
              <m:t>h</m:t>
            </m:r>
          </m:sub>
          <m:sup>
            <m:r>
              <m:t>O</m:t>
            </m:r>
            <m:r>
              <m:t>F</m:t>
            </m:r>
            <m:r>
              <m:t>F</m:t>
            </m:r>
          </m:sup>
        </m:sSubSup>
      </m:oMath>
      <w:r>
        <w:rPr>
          <w:rFonts w:ascii="Times New Roman" w:hAnsi="Times New Roman" w:eastAsia="Times New Roman"/>
          <w:sz w:val="24"/>
        </w:rPr>
        <w:t xml:space="preserve"> </w:t>
      </w:r>
      <w:r>
        <w:rPr>
          <w:rFonts w:ascii="Times New Roman" w:hAnsi="Times New Roman" w:eastAsia="Times New Roman"/>
          <w:sz w:val="24"/>
        </w:rPr>
        <w:t xml:space="preserve">capability</w:t>
      </w:r>
      <w:r>
        <w:rPr>
          <w:rFonts w:ascii="Times New Roman" w:hAnsi="Times New Roman" w:eastAsia="Times New Roman"/>
          <w:sz w:val="24"/>
        </w:rPr>
        <w:t xml:space="preserve"> </w:t>
      </w:r>
      <w:r>
        <w:rPr>
          <w:rFonts w:ascii="Times New Roman" w:hAnsi="Times New Roman" w:eastAsia="Times New Roman"/>
          <w:sz w:val="24"/>
        </w:rPr>
        <w:t xml:space="preserve">after the same supported prehistory followed by withdrawal. Then</w:t>
      </w:r>
    </w:p>
    <w:p>
      <w:pPr>
        <w:pStyle w:val="BodyText"/>
      </w:pPr>
      <m:oMathPara>
        <m:oMathParaPr>
          <m:jc m:val="center"/>
        </m:oMathParaPr>
        <m:oMath>
          <m:sSub>
            <m:e>
              <m:r>
                <m:t>S</m:t>
              </m:r>
            </m:e>
            <m:sub>
              <m:r>
                <m:t>h</m:t>
              </m:r>
            </m:sub>
          </m:sSub>
          <m:r>
            <m:rPr>
              <m:sty m:val="p"/>
            </m:rPr>
            <m:t>=</m:t>
          </m:r>
          <m:sSubSup>
            <m:e>
              <m:r>
                <m:t>C</m:t>
              </m:r>
            </m:e>
            <m:sub>
              <m:r>
                <m:t>h</m:t>
              </m:r>
            </m:sub>
            <m:sup>
              <m:r>
                <m:t>O</m:t>
              </m:r>
              <m:r>
                <m:t>N</m:t>
              </m:r>
            </m:sup>
          </m:sSubSup>
          <m:r>
            <m:rPr>
              <m:sty m:val="p"/>
            </m:rPr>
            <m:t>−</m:t>
          </m:r>
          <m:sSubSup>
            <m:e>
              <m:r>
                <m:t>C</m:t>
              </m:r>
            </m:e>
            <m:sub>
              <m:r>
                <m:t>h</m:t>
              </m:r>
            </m:sub>
            <m:sup>
              <m:r>
                <m:t>0</m:t>
              </m:r>
            </m:sup>
          </m:sSubSup>
        </m:oMath>
      </m:oMathPara>
    </w:p>
    <w:p>
      <w:pPr>
        <w:pStyle w:val="FirstParagraph"/>
        <w:spacing w:line="480" w:lineRule="auto" w:before="0" w:after="0"/>
        <w:ind w:firstLine="720" w:left="0"/>
      </w:pPr>
      <w:r>
        <w:rPr>
          <w:rFonts w:ascii="Times New Roman" w:hAnsi="Times New Roman" w:eastAsia="Times New Roman"/>
          <w:sz w:val="24"/>
        </w:rPr>
        <w:t xml:space="preserve">is the supported effect,</w:t>
      </w:r>
    </w:p>
    <w:p>
      <w:pPr>
        <w:pStyle w:val="BodyText"/>
      </w:pPr>
      <m:oMathPara>
        <m:oMathParaPr>
          <m:jc m:val="center"/>
        </m:oMathParaPr>
        <m:oMath>
          <m:sSub>
            <m:e>
              <m:r>
                <m:t>R</m:t>
              </m:r>
            </m:e>
            <m:sub>
              <m:r>
                <m:t>h</m:t>
              </m:r>
            </m:sub>
          </m:sSub>
          <m:r>
            <m:rPr>
              <m:sty m:val="p"/>
            </m:rPr>
            <m:t>=</m:t>
          </m:r>
          <m:sSubSup>
            <m:e>
              <m:r>
                <m:t>C</m:t>
              </m:r>
            </m:e>
            <m:sub>
              <m:r>
                <m:t>h</m:t>
              </m:r>
            </m:sub>
            <m:sup>
              <m:r>
                <m:t>O</m:t>
              </m:r>
              <m:r>
                <m:t>F</m:t>
              </m:r>
              <m:r>
                <m:t>F</m:t>
              </m:r>
            </m:sup>
          </m:sSubSup>
          <m:r>
            <m:rPr>
              <m:sty m:val="p"/>
            </m:rPr>
            <m:t>−</m:t>
          </m:r>
          <m:sSubSup>
            <m:e>
              <m:r>
                <m:t>C</m:t>
              </m:r>
            </m:e>
            <m:sub>
              <m:r>
                <m:t>h</m:t>
              </m:r>
            </m:sub>
            <m:sup>
              <m:r>
                <m:t>0</m:t>
              </m:r>
            </m:sup>
          </m:sSubSup>
        </m:oMath>
      </m:oMathPara>
    </w:p>
    <w:p>
      <w:pPr>
        <w:pStyle w:val="FirstParagraph"/>
        <w:spacing w:line="480" w:lineRule="auto" w:before="0" w:after="0"/>
        <w:ind w:firstLine="720" w:left="0"/>
      </w:pPr>
      <w:r>
        <w:rPr>
          <w:rFonts w:ascii="Times New Roman" w:hAnsi="Times New Roman" w:eastAsia="Times New Roman"/>
          <w:sz w:val="24"/>
        </w:rPr>
        <w:t xml:space="preserve">is the retained effect, and</w:t>
      </w:r>
    </w:p>
    <w:p>
      <w:pPr>
        <w:pStyle w:val="BodyText"/>
      </w:pPr>
      <m:oMathPara>
        <m:oMathParaPr>
          <m:jc m:val="center"/>
        </m:oMathParaPr>
        <m:oMath>
          <m:sSub>
            <m:e>
              <m:r>
                <m:t>G</m:t>
              </m:r>
            </m:e>
            <m:sub>
              <m:r>
                <m:t>h</m:t>
              </m:r>
            </m:sub>
          </m:sSub>
          <m:r>
            <m:rPr>
              <m:sty m:val="p"/>
            </m:rPr>
            <m:t>=</m:t>
          </m:r>
          <m:sSubSup>
            <m:e>
              <m:r>
                <m:t>C</m:t>
              </m:r>
            </m:e>
            <m:sub>
              <m:r>
                <m:t>h</m:t>
              </m:r>
            </m:sub>
            <m:sup>
              <m:r>
                <m:t>O</m:t>
              </m:r>
              <m:r>
                <m:t>N</m:t>
              </m:r>
            </m:sup>
          </m:sSubSup>
          <m:r>
            <m:rPr>
              <m:sty m:val="p"/>
            </m:rPr>
            <m:t>−</m:t>
          </m:r>
          <m:sSubSup>
            <m:e>
              <m:r>
                <m:t>C</m:t>
              </m:r>
            </m:e>
            <m:sub>
              <m:r>
                <m:t>h</m:t>
              </m:r>
            </m:sub>
            <m:sup>
              <m:r>
                <m:t>O</m:t>
              </m:r>
              <m:r>
                <m:t>F</m:t>
              </m:r>
              <m:r>
                <m:t>F</m:t>
              </m:r>
            </m:sup>
          </m:sSubSup>
          <m:r>
            <m:rPr>
              <m:sty m:val="p"/>
            </m:rPr>
            <m:t>=</m:t>
          </m:r>
          <m:sSub>
            <m:e>
              <m:r>
                <m:t>S</m:t>
              </m:r>
            </m:e>
            <m:sub>
              <m:r>
                <m:t>h</m:t>
              </m:r>
            </m:sub>
          </m:sSub>
          <m:r>
            <m:rPr>
              <m:sty m:val="p"/>
            </m:rPr>
            <m:t>−</m:t>
          </m:r>
          <m:sSub>
            <m:e>
              <m:r>
                <m:t>R</m:t>
              </m:r>
            </m:e>
            <m:sub>
              <m:r>
                <m:t>h</m:t>
              </m:r>
            </m:sub>
          </m:sSub>
        </m:oMath>
      </m:oMathPara>
    </w:p>
    <w:p>
      <w:pPr>
        <w:pStyle w:val="FirstParagraph"/>
        <w:spacing w:line="480" w:lineRule="auto" w:before="0" w:after="0"/>
        <w:ind w:firstLine="720" w:left="0"/>
      </w:pPr>
      <w:r>
        <w:rPr>
          <w:rFonts w:ascii="Times New Roman" w:hAnsi="Times New Roman" w:eastAsia="Times New Roman"/>
          <w:sz w:val="24"/>
        </w:rPr>
        <w:t xml:space="preserve">is the dependency gap between continued support and withdrawal. A strong</w:t>
      </w:r>
      <w:r>
        <w:rPr>
          <w:rFonts w:ascii="Times New Roman" w:hAnsi="Times New Roman" w:eastAsia="Times New Roman"/>
          <w:sz w:val="24"/>
        </w:rPr>
        <w:t xml:space="preserve"> </w:t>
      </w:r>
      <w:r>
        <w:rPr>
          <w:rFonts w:ascii="Times New Roman" w:hAnsi="Times New Roman" w:eastAsia="Times New Roman"/>
          <w:sz w:val="24"/>
        </w:rPr>
        <w:t xml:space="preserve">success-without-retention case requires</w:t>
      </w:r>
      <w:r>
        <w:rPr>
          <w:rFonts w:ascii="Times New Roman" w:hAnsi="Times New Roman" w:eastAsia="Times New Roman"/>
          <w:sz w:val="24"/>
        </w:rPr>
        <w:t xml:space="preserve"> </w:t>
      </w:r>
      <m:oMath>
        <m:sSub>
          <m:e>
            <m:r>
              <m:t>S</m:t>
            </m:r>
          </m:e>
          <m:sub>
            <m:r>
              <m:t>h</m:t>
            </m:r>
          </m:sub>
        </m:sSub>
        <m:r>
          <m:rPr>
            <m:sty m:val="p"/>
          </m:rPr>
          <m:t>&gt;</m:t>
        </m:r>
        <m:r>
          <m:t>0</m:t>
        </m:r>
      </m:oMath>
      <w:r>
        <w:rPr>
          <w:rFonts w:ascii="Times New Roman" w:hAnsi="Times New Roman" w:eastAsia="Times New Roman"/>
          <w:sz w:val="24"/>
        </w:rPr>
        <w:t xml:space="preserve"> </w:t>
      </w:r>
      <w:r>
        <w:rPr>
          <w:rFonts w:ascii="Times New Roman" w:hAnsi="Times New Roman" w:eastAsia="Times New Roman"/>
          <w:sz w:val="24"/>
        </w:rPr>
        <w:t xml:space="preserve">and</w:t>
      </w:r>
      <w:r>
        <w:rPr>
          <w:rFonts w:ascii="Times New Roman" w:hAnsi="Times New Roman" w:eastAsia="Times New Roman"/>
          <w:sz w:val="24"/>
        </w:rPr>
        <w:t xml:space="preserve"> </w:t>
      </w:r>
      <m:oMath>
        <m:sSub>
          <m:e>
            <m:r>
              <m:t>R</m:t>
            </m:r>
          </m:e>
          <m:sub>
            <m:r>
              <m:t>h</m:t>
            </m:r>
          </m:sub>
        </m:sSub>
        <m:r>
          <m:rPr>
            <m:sty m:val="p"/>
          </m:rPr>
          <m:t>&lt;</m:t>
        </m:r>
        <m:r>
          <m:t>0</m:t>
        </m:r>
      </m:oMath>
      <w:r>
        <w:rPr>
          <w:rFonts w:ascii="Times New Roman" w:hAnsi="Times New Roman" w:eastAsia="Times New Roman"/>
          <w:sz w:val="24"/>
        </w:rPr>
        <w:t xml:space="preserve">. This is a</w:t>
      </w:r>
      <w:r>
        <w:rPr>
          <w:rFonts w:ascii="Times New Roman" w:hAnsi="Times New Roman" w:eastAsia="Times New Roman"/>
          <w:sz w:val="24"/>
        </w:rPr>
        <w:t xml:space="preserve"> </w:t>
      </w:r>
      <w:r>
        <w:rPr>
          <w:rFonts w:ascii="Times New Roman" w:hAnsi="Times New Roman" w:eastAsia="Times New Roman"/>
          <w:sz w:val="24"/>
        </w:rPr>
        <w:t xml:space="preserve">stricter condition than simply observing</w:t>
      </w:r>
      <w:r>
        <w:rPr>
          <w:rFonts w:ascii="Times New Roman" w:hAnsi="Times New Roman" w:eastAsia="Times New Roman"/>
          <w:sz w:val="24"/>
        </w:rPr>
        <w:t xml:space="preserve"> </w:t>
      </w:r>
      <m:oMath>
        <m:sSubSup>
          <m:e>
            <m:r>
              <m:t>C</m:t>
            </m:r>
          </m:e>
          <m:sub>
            <m:r>
              <m:t>h</m:t>
            </m:r>
          </m:sub>
          <m:sup>
            <m:r>
              <m:t>O</m:t>
            </m:r>
            <m:r>
              <m:t>N</m:t>
            </m:r>
          </m:sup>
        </m:sSubSup>
        <m:r>
          <m:rPr>
            <m:sty m:val="p"/>
          </m:rPr>
          <m:t>&gt;</m:t>
        </m:r>
        <m:sSubSup>
          <m:e>
            <m:r>
              <m:t>C</m:t>
            </m:r>
          </m:e>
          <m:sub>
            <m:r>
              <m:t>h</m:t>
            </m:r>
          </m:sub>
          <m:sup>
            <m:r>
              <m:t>O</m:t>
            </m:r>
            <m:r>
              <m:t>F</m:t>
            </m:r>
            <m:r>
              <m:t>F</m:t>
            </m:r>
          </m:sup>
        </m:sSubSup>
      </m:oMath>
      <w:r>
        <w:rPr>
          <w:rFonts w:ascii="Times New Roman" w:hAnsi="Times New Roman" w:eastAsia="Times New Roman"/>
          <w:sz w:val="24"/>
        </w:rPr>
        <w:t xml:space="preserve">, because the</w:t>
      </w:r>
      <w:r>
        <w:rPr>
          <w:rFonts w:ascii="Times New Roman" w:hAnsi="Times New Roman" w:eastAsia="Times New Roman"/>
          <w:sz w:val="24"/>
        </w:rPr>
        <w:t xml:space="preserve"> </w:t>
      </w:r>
      <w:r>
        <w:rPr>
          <w:rFonts w:ascii="Times New Roman" w:hAnsi="Times New Roman" w:eastAsia="Times New Roman"/>
          <w:sz w:val="24"/>
        </w:rPr>
        <w:t xml:space="preserve">latter can arise when withdrawal harms a force that was not outperforming the</w:t>
      </w:r>
      <w:r>
        <w:rPr>
          <w:rFonts w:ascii="Times New Roman" w:hAnsi="Times New Roman" w:eastAsia="Times New Roman"/>
          <w:sz w:val="24"/>
        </w:rPr>
        <w:t xml:space="preserve"> </w:t>
      </w:r>
      <w:r>
        <w:rPr>
          <w:rFonts w:ascii="Times New Roman" w:hAnsi="Times New Roman" w:eastAsia="Times New Roman"/>
          <w:sz w:val="24"/>
        </w:rPr>
        <w:t xml:space="preserve">matched no-aid trajectory.</w:t>
      </w:r>
    </w:p>
    <w:p>
      <w:pPr>
        <w:pStyle w:val="BodyText"/>
        <w:spacing w:line="480" w:lineRule="auto" w:before="0" w:after="0"/>
        <w:ind w:firstLine="720" w:left="0"/>
      </w:pPr>
      <w:r>
        <w:rPr>
          <w:rFonts w:ascii="Times New Roman" w:hAnsi="Times New Roman" w:eastAsia="Times New Roman"/>
          <w:sz w:val="24"/>
        </w:rPr>
        <w:t xml:space="preserve">The three-part framework also separates two system dynamics that the original</w:t>
      </w:r>
      <w:r>
        <w:rPr>
          <w:rFonts w:ascii="Times New Roman" w:hAnsi="Times New Roman" w:eastAsia="Times New Roman"/>
          <w:sz w:val="24"/>
        </w:rPr>
        <w:t xml:space="preserve"> </w:t>
      </w:r>
      <w:r>
        <w:rPr>
          <w:rFonts w:ascii="Times New Roman" w:hAnsi="Times New Roman" w:eastAsia="Times New Roman"/>
          <w:sz w:val="24"/>
        </w:rPr>
        <w:t xml:space="preserve">draft treated as one.</w:t>
      </w:r>
      <w:r>
        <w:rPr>
          <w:rFonts w:ascii="Times New Roman" w:hAnsi="Times New Roman" w:eastAsia="Times New Roman"/>
          <w:sz w:val="24"/>
        </w:rPr>
        <w:t xml:space="preserve"> </w:t>
      </w:r>
      <w:r>
        <w:rPr>
          <w:rFonts w:ascii="Times New Roman" w:hAnsi="Times New Roman" w:eastAsia="Times New Roman"/>
          <w:b/>
          <w:bCs/>
          <w:sz w:val="24"/>
        </w:rPr>
        <w:t xml:space="preserve">Requirement expansion</w:t>
      </w:r>
      <w:r>
        <w:rPr>
          <w:rFonts w:ascii="Times New Roman" w:hAnsi="Times New Roman" w:eastAsia="Times New Roman"/>
          <w:sz w:val="24"/>
        </w:rPr>
        <w:t xml:space="preserve"> </w:t>
      </w:r>
      <w:r>
        <w:rPr>
          <w:rFonts w:ascii="Times New Roman" w:hAnsi="Times New Roman" w:eastAsia="Times New Roman"/>
          <w:sz w:val="24"/>
        </w:rPr>
        <w:t xml:space="preserve">can create yield without</w:t>
      </w:r>
      <w:r>
        <w:rPr>
          <w:rFonts w:ascii="Times New Roman" w:hAnsi="Times New Roman" w:eastAsia="Times New Roman"/>
          <w:sz w:val="24"/>
        </w:rPr>
        <w:t xml:space="preserve"> </w:t>
      </w:r>
      <w:r>
        <w:rPr>
          <w:rFonts w:ascii="Times New Roman" w:hAnsi="Times New Roman" w:eastAsia="Times New Roman"/>
          <w:sz w:val="24"/>
        </w:rPr>
        <w:t xml:space="preserve">retention.</w:t>
      </w:r>
      <w:r>
        <w:rPr>
          <w:rFonts w:ascii="Times New Roman" w:hAnsi="Times New Roman" w:eastAsia="Times New Roman"/>
          <w:sz w:val="24"/>
        </w:rPr>
        <w:t xml:space="preserve"> </w:t>
      </w:r>
      <w:r>
        <w:rPr>
          <w:rFonts w:ascii="Times New Roman" w:hAnsi="Times New Roman" w:eastAsia="Times New Roman"/>
          <w:b/>
          <w:bCs/>
          <w:sz w:val="24"/>
        </w:rPr>
        <w:t xml:space="preserve">Constraint displacement</w:t>
      </w:r>
      <w:r>
        <w:rPr>
          <w:rFonts w:ascii="Times New Roman" w:hAnsi="Times New Roman" w:eastAsia="Times New Roman"/>
          <w:sz w:val="24"/>
        </w:rPr>
        <w:t xml:space="preserve"> </w:t>
      </w:r>
      <w:r>
        <w:rPr>
          <w:rFonts w:ascii="Times New Roman" w:hAnsi="Times New Roman" w:eastAsia="Times New Roman"/>
          <w:sz w:val="24"/>
        </w:rPr>
        <w:t xml:space="preserve">can create relief without much yield.</w:t>
      </w:r>
      <w:r>
        <w:rPr>
          <w:rFonts w:ascii="Times New Roman" w:hAnsi="Times New Roman" w:eastAsia="Times New Roman"/>
          <w:sz w:val="24"/>
        </w:rPr>
        <w:t xml:space="preserve"> </w:t>
      </w:r>
      <w:r>
        <w:rPr>
          <w:rFonts w:ascii="Times New Roman" w:hAnsi="Times New Roman" w:eastAsia="Times New Roman"/>
          <w:sz w:val="24"/>
        </w:rPr>
        <w:t xml:space="preserve">Neither mechanism logically requires the other.</w:t>
      </w:r>
    </w:p>
    <w:bookmarkEnd w:id="67"/>
    <w:bookmarkStart w:id="68" w:name="Xb6ffb0f02f0858234f9509ee2269dd9dd7a1f0f"/>
    <w:p>
      <w:pPr>
        <w:pStyle w:val="Heading2"/>
        <w:keepNext/>
        <w:spacing w:line="480" w:lineRule="auto" w:after="0" w:before="120"/>
        <w:ind w:firstLine="0" w:left="0"/>
      </w:pPr>
      <w:r>
        <w:rPr>
          <w:rFonts w:ascii="Times New Roman" w:hAnsi="Times New Roman" w:eastAsia="Times New Roman"/>
          <w:b/>
          <w:i/>
          <w:sz w:val="24"/>
        </w:rPr>
        <w:t xml:space="preserve">3.3 Requirement expansion and indigenous coverage</w:t>
      </w:r>
    </w:p>
    <w:p>
      <w:pPr>
        <w:pStyle w:val="FirstParagraph"/>
        <w:spacing w:line="480" w:lineRule="auto" w:before="0" w:after="0"/>
        <w:ind w:firstLine="720" w:left="0"/>
      </w:pPr>
      <w:r>
        <w:rPr>
          <w:rFonts w:ascii="Times New Roman" w:hAnsi="Times New Roman" w:eastAsia="Times New Roman"/>
          <w:sz w:val="24"/>
        </w:rPr>
        <w:t xml:space="preserve">Suppose assistance allows the force to operate at a higher supported scale</w:t>
      </w:r>
      <w:r>
        <w:rPr>
          <w:rFonts w:ascii="Times New Roman" w:hAnsi="Times New Roman" w:eastAsia="Times New Roman"/>
          <w:sz w:val="24"/>
        </w:rPr>
        <w:t xml:space="preserve"> </w:t>
      </w:r>
      <m:oMath>
        <m:sSup>
          <m:e>
            <m:r>
              <m:t>C</m:t>
            </m:r>
          </m:e>
          <m:sup>
            <m:r>
              <m:t>S</m:t>
            </m:r>
          </m:sup>
        </m:sSup>
      </m:oMath>
      <w:r>
        <w:rPr>
          <w:rFonts w:ascii="Times New Roman" w:hAnsi="Times New Roman" w:eastAsia="Times New Roman"/>
          <w:sz w:val="24"/>
        </w:rPr>
        <w:t xml:space="preserve">. Service demand may then rise with that operating scale. Write the</w:t>
      </w:r>
      <w:r>
        <w:rPr>
          <w:rFonts w:ascii="Times New Roman" w:hAnsi="Times New Roman" w:eastAsia="Times New Roman"/>
          <w:sz w:val="24"/>
        </w:rPr>
        <w:t xml:space="preserve"> </w:t>
      </w:r>
      <w:r>
        <w:rPr>
          <w:rFonts w:ascii="Times New Roman" w:hAnsi="Times New Roman" w:eastAsia="Times New Roman"/>
          <w:sz w:val="24"/>
        </w:rPr>
        <w:t xml:space="preserve">requirement for service</w:t>
      </w:r>
      <w:r>
        <w:rPr>
          <w:rFonts w:ascii="Times New Roman" w:hAnsi="Times New Roman" w:eastAsia="Times New Roman"/>
          <w:sz w:val="24"/>
        </w:rPr>
        <w:t xml:space="preserve"> </w:t>
      </w:r>
      <m:oMath>
        <m:r>
          <m:t>j</m:t>
        </m:r>
      </m:oMath>
      <w:r>
        <w:rPr>
          <w:rFonts w:ascii="Times New Roman" w:hAnsi="Times New Roman" w:eastAsia="Times New Roman"/>
          <w:sz w:val="24"/>
        </w:rPr>
        <w:t xml:space="preserve"> </w:t>
      </w:r>
      <w:r>
        <w:rPr>
          <w:rFonts w:ascii="Times New Roman" w:hAnsi="Times New Roman" w:eastAsia="Times New Roman"/>
          <w:sz w:val="24"/>
        </w:rPr>
        <w:t xml:space="preserve">as</w:t>
      </w:r>
      <w:r>
        <w:rPr>
          <w:rFonts w:ascii="Times New Roman" w:hAnsi="Times New Roman" w:eastAsia="Times New Roman"/>
          <w:sz w:val="24"/>
        </w:rPr>
        <w:t xml:space="preserve"> </w:t>
      </w:r>
      <m:oMath>
        <m:sSub>
          <m:e>
            <m:r>
              <m:t>D</m:t>
            </m:r>
          </m:e>
          <m:sub>
            <m:r>
              <m:t>j</m:t>
            </m:r>
          </m:sub>
        </m:sSub>
        <m:r>
          <m:rPr>
            <m:sty m:val="p"/>
          </m:rPr>
          <m:t>=</m:t>
        </m:r>
        <m:sSub>
          <m:e>
            <m:r>
              <m:t>g</m:t>
            </m:r>
          </m:e>
          <m:sub>
            <m:r>
              <m:t>j</m:t>
            </m:r>
          </m:sub>
        </m:sSub>
        <m:r>
          <m:rPr>
            <m:sty m:val="p"/>
          </m:rPr>
          <m:t>(</m:t>
        </m:r>
        <m:sSup>
          <m:e>
            <m:r>
              <m:t>C</m:t>
            </m:r>
          </m:e>
          <m:sup>
            <m:r>
              <m:t>S</m:t>
            </m:r>
          </m:sup>
        </m:sSup>
        <m:r>
          <m:rPr>
            <m:sty m:val="p"/>
          </m:rPr>
          <m:t>)</m:t>
        </m:r>
      </m:oMath>
      <w:r>
        <w:rPr>
          <w:rFonts w:ascii="Times New Roman" w:hAnsi="Times New Roman" w:eastAsia="Times New Roman"/>
          <w:sz w:val="24"/>
        </w:rPr>
        <w:t xml:space="preserve">, with</w:t>
      </w:r>
      <w:r>
        <w:rPr>
          <w:rFonts w:ascii="Times New Roman" w:hAnsi="Times New Roman" w:eastAsia="Times New Roman"/>
          <w:sz w:val="24"/>
        </w:rPr>
        <w:t xml:space="preserve"> </w:t>
      </w:r>
      <m:oMath>
        <m:sSubSup>
          <m:e>
            <m:r>
              <m:t>g</m:t>
            </m:r>
          </m:e>
          <m:sub>
            <m:r>
              <m:t>j</m:t>
            </m:r>
          </m:sub>
          <m:sup>
            <m:r>
              <m:rPr>
                <m:sty m:val="p"/>
              </m:rPr>
              <m:t>′</m:t>
            </m:r>
          </m:sup>
        </m:sSubSup>
        <m:r>
          <m:rPr>
            <m:sty m:val="p"/>
          </m:rPr>
          <m:t>≥</m:t>
        </m:r>
        <m:r>
          <m:t>0</m:t>
        </m:r>
      </m:oMath>
      <w:r>
        <w:rPr>
          <w:rFonts w:ascii="Times New Roman" w:hAnsi="Times New Roman" w:eastAsia="Times New Roman"/>
          <w:sz w:val="24"/>
        </w:rPr>
        <w:t xml:space="preserve">. Indigenous</w:t>
      </w:r>
      <w:r>
        <w:rPr>
          <w:rFonts w:ascii="Times New Roman" w:hAnsi="Times New Roman" w:eastAsia="Times New Roman"/>
          <w:sz w:val="24"/>
        </w:rPr>
        <w:t xml:space="preserve"> </w:t>
      </w:r>
      <w:r>
        <w:rPr>
          <w:rFonts w:ascii="Times New Roman" w:hAnsi="Times New Roman" w:eastAsia="Times New Roman"/>
          <w:sz w:val="24"/>
        </w:rPr>
        <w:t xml:space="preserve">coverage is</w:t>
      </w:r>
    </w:p>
    <w:p>
      <w:pPr>
        <w:pStyle w:val="BodyText"/>
      </w:pPr>
      <m:oMathPara>
        <m:oMathParaPr>
          <m:jc m:val="center"/>
        </m:oMathParaPr>
        <m:oMath>
          <m:sSubSup>
            <m:e>
              <m:r>
                <m:t>q</m:t>
              </m:r>
            </m:e>
            <m:sub>
              <m:r>
                <m:t>j</m:t>
              </m:r>
            </m:sub>
            <m:sup>
              <m:r>
                <m:t>I</m:t>
              </m:r>
            </m:sup>
          </m:sSubSup>
          <m:r>
            <m:rPr>
              <m:sty m:val="p"/>
            </m:rPr>
            <m:t>=</m:t>
          </m:r>
          <m:f>
            <m:fPr>
              <m:type m:val="bar"/>
            </m:fPr>
            <m:num>
              <m:sSub>
                <m:e>
                  <m:r>
                    <m:t>I</m:t>
                  </m:r>
                </m:e>
                <m:sub>
                  <m:r>
                    <m:t>j</m:t>
                  </m:r>
                </m:sub>
              </m:sSub>
            </m:num>
            <m:den>
              <m:sSub>
                <m:e>
                  <m:r>
                    <m:t>g</m:t>
                  </m:r>
                </m:e>
                <m:sub>
                  <m:r>
                    <m:t>j</m:t>
                  </m:r>
                </m:sub>
              </m:sSub>
              <m:r>
                <m:rPr>
                  <m:sty m:val="p"/>
                </m:rPr>
                <m:t>(</m:t>
              </m:r>
              <m:sSup>
                <m:e>
                  <m:r>
                    <m:t>C</m:t>
                  </m:r>
                </m:e>
                <m:sup>
                  <m:r>
                    <m:t>S</m:t>
                  </m:r>
                </m:sup>
              </m:sSup>
              <m:r>
                <m:rPr>
                  <m:sty m:val="p"/>
                </m:rPr>
                <m:t>)</m:t>
              </m:r>
            </m:den>
          </m:f>
          <m:r>
            <m:rPr>
              <m:sty m:val="p"/>
            </m:rPr>
            <m:t>.</m:t>
          </m:r>
        </m:oMath>
      </m:oMathPara>
    </w:p>
    <w:p>
      <w:pPr>
        <w:pStyle w:val="FirstParagraph"/>
        <w:spacing w:line="480" w:lineRule="auto" w:before="0" w:after="0"/>
        <w:ind w:firstLine="720" w:left="0"/>
      </w:pPr>
      <w:r>
        <w:rPr>
          <w:rFonts w:ascii="Times New Roman" w:hAnsi="Times New Roman" w:eastAsia="Times New Roman"/>
          <w:sz w:val="24"/>
        </w:rPr>
        <w:t xml:space="preserve">For positive values, the change in log coverage decomposes exactly as</w:t>
      </w:r>
    </w:p>
    <w:p>
      <w:pPr>
        <w:pStyle w:val="BodyText"/>
      </w:pPr>
      <m:oMathPara>
        <m:oMathParaPr>
          <m:jc m:val="center"/>
        </m:oMathParaPr>
        <m:oMath>
          <m:r>
            <m:rPr>
              <m:sty m:val="p"/>
            </m:rPr>
            <m:t>Δ</m:t>
          </m:r>
          <m:r>
            <m:rPr>
              <m:sty m:val="p"/>
            </m:rPr>
            <m:t>ln</m:t>
          </m:r>
          <m:sSubSup>
            <m:e>
              <m:r>
                <m:t>q</m:t>
              </m:r>
            </m:e>
            <m:sub>
              <m:r>
                <m:t>j</m:t>
              </m:r>
            </m:sub>
            <m:sup>
              <m:r>
                <m:t>I</m:t>
              </m:r>
            </m:sup>
          </m:sSubSup>
          <m:r>
            <m:rPr>
              <m:sty m:val="p"/>
            </m:rPr>
            <m:t>=</m:t>
          </m:r>
          <m:r>
            <m:rPr>
              <m:sty m:val="p"/>
            </m:rPr>
            <m:t>Δ</m:t>
          </m:r>
          <m:r>
            <m:rPr>
              <m:sty m:val="p"/>
            </m:rPr>
            <m:t>ln</m:t>
          </m:r>
          <m:sSub>
            <m:e>
              <m:r>
                <m:t>I</m:t>
              </m:r>
            </m:e>
            <m:sub>
              <m:r>
                <m:t>j</m:t>
              </m:r>
            </m:sub>
          </m:sSub>
          <m:r>
            <m:rPr>
              <m:sty m:val="p"/>
            </m:rPr>
            <m:t>−</m:t>
          </m:r>
          <m:r>
            <m:rPr>
              <m:sty m:val="p"/>
            </m:rPr>
            <m:t>Δ</m:t>
          </m:r>
          <m:r>
            <m:rPr>
              <m:sty m:val="p"/>
            </m:rPr>
            <m:t>ln</m:t>
          </m:r>
          <m:sSub>
            <m:e>
              <m:r>
                <m:t>D</m:t>
              </m:r>
            </m:e>
            <m:sub>
              <m:r>
                <m:t>j</m:t>
              </m:r>
            </m:sub>
          </m:sSub>
          <m:r>
            <m:rPr>
              <m:sty m:val="p"/>
            </m:rPr>
            <m:t>.</m:t>
          </m:r>
        </m:oMath>
      </m:oMathPara>
    </w:p>
    <w:p>
      <w:pPr>
        <w:pStyle w:val="FirstParagraph"/>
        <w:spacing w:line="480" w:lineRule="auto" w:before="0" w:after="0"/>
        <w:ind w:firstLine="720" w:left="0"/>
      </w:pPr>
      <w:r>
        <w:rPr>
          <w:rFonts w:ascii="Times New Roman" w:hAnsi="Times New Roman" w:eastAsia="Times New Roman"/>
          <w:sz w:val="24"/>
        </w:rPr>
        <w:t xml:space="preserve">Coverage therefore falls whenever proportional growth in the service</w:t>
      </w:r>
      <w:r>
        <w:rPr>
          <w:rFonts w:ascii="Times New Roman" w:hAnsi="Times New Roman" w:eastAsia="Times New Roman"/>
          <w:sz w:val="24"/>
        </w:rPr>
        <w:t xml:space="preserve"> </w:t>
      </w:r>
      <w:r>
        <w:rPr>
          <w:rFonts w:ascii="Times New Roman" w:hAnsi="Times New Roman" w:eastAsia="Times New Roman"/>
          <w:sz w:val="24"/>
        </w:rPr>
        <w:t xml:space="preserve">requirement exceeds proportional growth in indigenous service. This can occur</w:t>
      </w:r>
      <w:r>
        <w:rPr>
          <w:rFonts w:ascii="Times New Roman" w:hAnsi="Times New Roman" w:eastAsia="Times New Roman"/>
          <w:sz w:val="24"/>
        </w:rPr>
        <w:t xml:space="preserve"> </w:t>
      </w:r>
      <w:r>
        <w:rPr>
          <w:rFonts w:ascii="Times New Roman" w:hAnsi="Times New Roman" w:eastAsia="Times New Roman"/>
          <w:sz w:val="24"/>
        </w:rPr>
        <w:t xml:space="preserve">even when</w:t>
      </w:r>
      <w:r>
        <w:rPr>
          <w:rFonts w:ascii="Times New Roman" w:hAnsi="Times New Roman" w:eastAsia="Times New Roman"/>
          <w:sz w:val="24"/>
        </w:rPr>
        <w:t xml:space="preserve"> </w:t>
      </w:r>
      <m:oMath>
        <m:sSub>
          <m:e>
            <m:r>
              <m:t>I</m:t>
            </m:r>
          </m:e>
          <m:sub>
            <m:r>
              <m:t>j</m:t>
            </m:r>
          </m:sub>
        </m:sSub>
      </m:oMath>
      <w:r>
        <w:rPr>
          <w:rFonts w:ascii="Times New Roman" w:hAnsi="Times New Roman" w:eastAsia="Times New Roman"/>
          <w:sz w:val="24"/>
        </w:rPr>
        <w:t xml:space="preserve"> </w:t>
      </w:r>
      <w:r>
        <w:rPr>
          <w:rFonts w:ascii="Times New Roman" w:hAnsi="Times New Roman" w:eastAsia="Times New Roman"/>
          <w:sz w:val="24"/>
        </w:rPr>
        <w:t xml:space="preserve">increases in absolute terms. It can also occur while the same</w:t>
      </w:r>
      <w:r>
        <w:rPr>
          <w:rFonts w:ascii="Times New Roman" w:hAnsi="Times New Roman" w:eastAsia="Times New Roman"/>
          <w:sz w:val="24"/>
        </w:rPr>
        <w:t xml:space="preserve"> </w:t>
      </w:r>
      <w:r>
        <w:rPr>
          <w:rFonts w:ascii="Times New Roman" w:hAnsi="Times New Roman" w:eastAsia="Times New Roman"/>
          <w:sz w:val="24"/>
        </w:rPr>
        <w:t xml:space="preserve">service remains binding throughout. Requirement expansion is therefore a</w:t>
      </w:r>
      <w:r>
        <w:rPr>
          <w:rFonts w:ascii="Times New Roman" w:hAnsi="Times New Roman" w:eastAsia="Times New Roman"/>
          <w:sz w:val="24"/>
        </w:rPr>
        <w:t xml:space="preserve"> </w:t>
      </w:r>
      <w:r>
        <w:rPr>
          <w:rFonts w:ascii="Times New Roman" w:hAnsi="Times New Roman" w:eastAsia="Times New Roman"/>
          <w:sz w:val="24"/>
        </w:rPr>
        <w:t xml:space="preserve">distinct mechanism from bottleneck migration.</w:t>
      </w:r>
    </w:p>
    <w:p>
      <w:pPr>
        <w:pStyle w:val="BodyText"/>
        <w:spacing w:line="480" w:lineRule="auto" w:before="0" w:after="0"/>
        <w:ind w:firstLine="720" w:left="0"/>
      </w:pPr>
      <w:r>
        <w:rPr>
          <w:rFonts w:ascii="Times New Roman" w:hAnsi="Times New Roman" w:eastAsia="Times New Roman"/>
          <w:b/>
          <w:bCs/>
          <w:sz w:val="24"/>
        </w:rPr>
        <w:t xml:space="preserve">Proposition 1, Requirement Expansion.</w:t>
      </w:r>
      <w:r>
        <w:rPr>
          <w:rFonts w:ascii="Times New Roman" w:hAnsi="Times New Roman" w:eastAsia="Times New Roman"/>
          <w:sz w:val="24"/>
        </w:rPr>
        <w:t xml:space="preserve"> </w:t>
      </w:r>
      <w:r>
        <w:rPr>
          <w:rFonts w:ascii="Times New Roman" w:hAnsi="Times New Roman" w:eastAsia="Times New Roman"/>
          <w:sz w:val="24"/>
        </w:rPr>
        <w:t xml:space="preserve">Conditional on an assistance-induced</w:t>
      </w:r>
      <w:r>
        <w:rPr>
          <w:rFonts w:ascii="Times New Roman" w:hAnsi="Times New Roman" w:eastAsia="Times New Roman"/>
          <w:sz w:val="24"/>
        </w:rPr>
        <w:t xml:space="preserve"> </w:t>
      </w:r>
      <w:r>
        <w:rPr>
          <w:rFonts w:ascii="Times New Roman" w:hAnsi="Times New Roman" w:eastAsia="Times New Roman"/>
          <w:sz w:val="24"/>
        </w:rPr>
        <w:t xml:space="preserve">increase in operating requirements, indigenous coverage of service</w:t>
      </w:r>
      <w:r>
        <w:rPr>
          <w:rFonts w:ascii="Times New Roman" w:hAnsi="Times New Roman" w:eastAsia="Times New Roman"/>
          <w:sz w:val="24"/>
        </w:rPr>
        <w:t xml:space="preserve"> </w:t>
      </w:r>
      <m:oMath>
        <m:r>
          <m:t>j</m:t>
        </m:r>
      </m:oMath>
      <w:r>
        <w:rPr>
          <w:rFonts w:ascii="Times New Roman" w:hAnsi="Times New Roman" w:eastAsia="Times New Roman"/>
          <w:sz w:val="24"/>
        </w:rPr>
        <w:t xml:space="preserve"> </w:t>
      </w:r>
      <w:r>
        <w:rPr>
          <w:rFonts w:ascii="Times New Roman" w:hAnsi="Times New Roman" w:eastAsia="Times New Roman"/>
          <w:sz w:val="24"/>
        </w:rPr>
        <w:t xml:space="preserve">falls</w:t>
      </w:r>
      <w:r>
        <w:rPr>
          <w:rFonts w:ascii="Times New Roman" w:hAnsi="Times New Roman" w:eastAsia="Times New Roman"/>
          <w:sz w:val="24"/>
        </w:rPr>
        <w:t xml:space="preserve"> </w:t>
      </w:r>
      <w:r>
        <w:rPr>
          <w:rFonts w:ascii="Times New Roman" w:hAnsi="Times New Roman" w:eastAsia="Times New Roman"/>
          <w:sz w:val="24"/>
        </w:rPr>
        <w:t xml:space="preserve">when</w:t>
      </w:r>
      <w:r>
        <w:rPr>
          <w:rFonts w:ascii="Times New Roman" w:hAnsi="Times New Roman" w:eastAsia="Times New Roman"/>
          <w:sz w:val="24"/>
        </w:rPr>
        <w:t xml:space="preserve"> </w:t>
      </w:r>
      <m:oMath>
        <m:sSub>
          <m:e>
            <m:r>
              <m:t>D</m:t>
            </m:r>
          </m:e>
          <m:sub>
            <m:r>
              <m:t>j</m:t>
            </m:r>
          </m:sub>
        </m:sSub>
      </m:oMath>
      <w:r>
        <w:rPr>
          <w:rFonts w:ascii="Times New Roman" w:hAnsi="Times New Roman" w:eastAsia="Times New Roman"/>
          <w:sz w:val="24"/>
        </w:rPr>
        <w:t xml:space="preserve"> </w:t>
      </w:r>
      <w:r>
        <w:rPr>
          <w:rFonts w:ascii="Times New Roman" w:hAnsi="Times New Roman" w:eastAsia="Times New Roman"/>
          <w:sz w:val="24"/>
        </w:rPr>
        <w:t xml:space="preserve">grows faster than</w:t>
      </w:r>
      <w:r>
        <w:rPr>
          <w:rFonts w:ascii="Times New Roman" w:hAnsi="Times New Roman" w:eastAsia="Times New Roman"/>
          <w:sz w:val="24"/>
        </w:rPr>
        <w:t xml:space="preserve"> </w:t>
      </w:r>
      <m:oMath>
        <m:sSub>
          <m:e>
            <m:r>
              <m:t>I</m:t>
            </m:r>
          </m:e>
          <m:sub>
            <m:r>
              <m:t>j</m:t>
            </m:r>
          </m:sub>
        </m:sSub>
      </m:oMath>
      <w:r>
        <w:rPr>
          <w:rFonts w:ascii="Times New Roman" w:hAnsi="Times New Roman" w:eastAsia="Times New Roman"/>
          <w:sz w:val="24"/>
        </w:rPr>
        <w:t xml:space="preserve">.</w:t>
      </w:r>
    </w:p>
    <w:p>
      <w:pPr>
        <w:pStyle w:val="BodyText"/>
        <w:spacing w:line="480" w:lineRule="auto" w:before="0" w:after="0"/>
        <w:ind w:firstLine="720" w:left="0"/>
      </w:pPr>
      <w:r>
        <w:rPr>
          <w:rFonts w:ascii="Times New Roman" w:hAnsi="Times New Roman" w:eastAsia="Times New Roman"/>
          <w:b/>
          <w:bCs/>
          <w:sz w:val="24"/>
        </w:rPr>
        <w:t xml:space="preserve">Proposition 2, Supported-Retained Divergence.</w:t>
      </w:r>
      <w:r>
        <w:rPr>
          <w:rFonts w:ascii="Times New Roman" w:hAnsi="Times New Roman" w:eastAsia="Times New Roman"/>
          <w:sz w:val="24"/>
        </w:rPr>
        <w:t xml:space="preserve"> </w:t>
      </w:r>
      <w:r>
        <w:rPr>
          <w:rFonts w:ascii="Times New Roman" w:hAnsi="Times New Roman" w:eastAsia="Times New Roman"/>
          <w:sz w:val="24"/>
        </w:rPr>
        <w:t xml:space="preserve">Assistance can generate a</w:t>
      </w:r>
      <w:r>
        <w:rPr>
          <w:rFonts w:ascii="Times New Roman" w:hAnsi="Times New Roman" w:eastAsia="Times New Roman"/>
          <w:sz w:val="24"/>
        </w:rPr>
        <w:t xml:space="preserve"> </w:t>
      </w:r>
      <w:r>
        <w:rPr>
          <w:rFonts w:ascii="Times New Roman" w:hAnsi="Times New Roman" w:eastAsia="Times New Roman"/>
          <w:sz w:val="24"/>
        </w:rPr>
        <w:t xml:space="preserve">positive supported effect</w:t>
      </w:r>
      <w:r>
        <w:rPr>
          <w:rFonts w:ascii="Times New Roman" w:hAnsi="Times New Roman" w:eastAsia="Times New Roman"/>
          <w:sz w:val="24"/>
        </w:rPr>
        <w:t xml:space="preserve"> </w:t>
      </w:r>
      <m:oMath>
        <m:sSub>
          <m:e>
            <m:r>
              <m:t>S</m:t>
            </m:r>
          </m:e>
          <m:sub>
            <m:r>
              <m:t>h</m:t>
            </m:r>
          </m:sub>
        </m:sSub>
      </m:oMath>
      <w:r>
        <w:rPr>
          <w:rFonts w:ascii="Times New Roman" w:hAnsi="Times New Roman" w:eastAsia="Times New Roman"/>
          <w:sz w:val="24"/>
        </w:rPr>
        <w:t xml:space="preserve"> </w:t>
      </w:r>
      <w:r>
        <w:rPr>
          <w:rFonts w:ascii="Times New Roman" w:hAnsi="Times New Roman" w:eastAsia="Times New Roman"/>
          <w:sz w:val="24"/>
        </w:rPr>
        <w:t xml:space="preserve">while producing a smaller or negative retained</w:t>
      </w:r>
      <w:r>
        <w:rPr>
          <w:rFonts w:ascii="Times New Roman" w:hAnsi="Times New Roman" w:eastAsia="Times New Roman"/>
          <w:sz w:val="24"/>
        </w:rPr>
        <w:t xml:space="preserve"> </w:t>
      </w:r>
      <w:r>
        <w:rPr>
          <w:rFonts w:ascii="Times New Roman" w:hAnsi="Times New Roman" w:eastAsia="Times New Roman"/>
          <w:sz w:val="24"/>
        </w:rPr>
        <w:t xml:space="preserve">effect</w:t>
      </w:r>
      <w:r>
        <w:rPr>
          <w:rFonts w:ascii="Times New Roman" w:hAnsi="Times New Roman" w:eastAsia="Times New Roman"/>
          <w:sz w:val="24"/>
        </w:rPr>
        <w:t xml:space="preserve"> </w:t>
      </w:r>
      <m:oMath>
        <m:sSub>
          <m:e>
            <m:r>
              <m:t>R</m:t>
            </m:r>
          </m:e>
          <m:sub>
            <m:r>
              <m:t>h</m:t>
            </m:r>
          </m:sub>
        </m:sSub>
      </m:oMath>
      <w:r>
        <w:rPr>
          <w:rFonts w:ascii="Times New Roman" w:hAnsi="Times New Roman" w:eastAsia="Times New Roman"/>
          <w:sz w:val="24"/>
        </w:rPr>
        <w:t xml:space="preserve"> </w:t>
      </w:r>
      <w:r>
        <w:rPr>
          <w:rFonts w:ascii="Times New Roman" w:hAnsi="Times New Roman" w:eastAsia="Times New Roman"/>
          <w:sz w:val="24"/>
        </w:rPr>
        <w:t xml:space="preserve">when the supported system depends on service production that the</w:t>
      </w:r>
      <w:r>
        <w:rPr>
          <w:rFonts w:ascii="Times New Roman" w:hAnsi="Times New Roman" w:eastAsia="Times New Roman"/>
          <w:sz w:val="24"/>
        </w:rPr>
        <w:t xml:space="preserve"> </w:t>
      </w:r>
      <w:r>
        <w:rPr>
          <w:rFonts w:ascii="Times New Roman" w:hAnsi="Times New Roman" w:eastAsia="Times New Roman"/>
          <w:sz w:val="24"/>
        </w:rPr>
        <w:t xml:space="preserve">partner does not reproduce after withdrawal.</w:t>
      </w:r>
    </w:p>
    <w:bookmarkEnd w:id="68"/>
    <w:bookmarkStart w:id="69" w:name="constraint-displacement-and-system-yield"/>
    <w:p>
      <w:pPr>
        <w:pStyle w:val="Heading2"/>
        <w:keepNext/>
        <w:spacing w:line="480" w:lineRule="auto" w:after="0" w:before="120"/>
        <w:ind w:firstLine="0" w:left="0"/>
      </w:pPr>
      <w:r>
        <w:rPr>
          <w:rFonts w:ascii="Times New Roman" w:hAnsi="Times New Roman" w:eastAsia="Times New Roman"/>
          <w:b/>
          <w:i/>
          <w:sz w:val="24"/>
        </w:rPr>
        <w:t xml:space="preserve">3.4 Constraint displacement and system yield</w:t>
      </w:r>
    </w:p>
    <w:p>
      <w:pPr>
        <w:pStyle w:val="FirstParagraph"/>
        <w:spacing w:line="480" w:lineRule="auto" w:before="0" w:after="0"/>
        <w:ind w:firstLine="720" w:left="0"/>
      </w:pPr>
      <w:r>
        <w:rPr>
          <w:rFonts w:ascii="Times New Roman" w:hAnsi="Times New Roman" w:eastAsia="Times New Roman"/>
          <w:sz w:val="24"/>
        </w:rPr>
        <w:t xml:space="preserve">Requirement expansion is not the only reason local improvement can fail to</w:t>
      </w:r>
      <w:r>
        <w:rPr>
          <w:rFonts w:ascii="Times New Roman" w:hAnsi="Times New Roman" w:eastAsia="Times New Roman"/>
          <w:sz w:val="24"/>
        </w:rPr>
        <w:t xml:space="preserve"> </w:t>
      </w:r>
      <w:r>
        <w:rPr>
          <w:rFonts w:ascii="Times New Roman" w:hAnsi="Times New Roman" w:eastAsia="Times New Roman"/>
          <w:sz w:val="24"/>
        </w:rPr>
        <w:t xml:space="preserve">translate into system performance. In the linear special case, suppose service</w:t>
      </w:r>
      <w:r>
        <w:rPr>
          <w:rFonts w:ascii="Times New Roman" w:hAnsi="Times New Roman" w:eastAsia="Times New Roman"/>
          <w:sz w:val="24"/>
        </w:rPr>
        <w:t xml:space="preserve"> </w:t>
      </w:r>
      <m:oMath>
        <m:r>
          <m:t>k</m:t>
        </m:r>
      </m:oMath>
      <w:r>
        <w:rPr>
          <w:rFonts w:ascii="Times New Roman" w:hAnsi="Times New Roman" w:eastAsia="Times New Roman"/>
          <w:sz w:val="24"/>
        </w:rPr>
        <w:t xml:space="preserve"> </w:t>
      </w:r>
      <w:r>
        <w:rPr>
          <w:rFonts w:ascii="Times New Roman" w:hAnsi="Times New Roman" w:eastAsia="Times New Roman"/>
          <w:sz w:val="24"/>
        </w:rPr>
        <w:t xml:space="preserve">is the unique supported bottleneck. Increasing external service</w:t>
      </w:r>
      <w:r>
        <w:rPr>
          <w:rFonts w:ascii="Times New Roman" w:hAnsi="Times New Roman" w:eastAsia="Times New Roman"/>
          <w:sz w:val="24"/>
        </w:rPr>
        <w:t xml:space="preserve"> </w:t>
      </w:r>
      <m:oMath>
        <m:sSub>
          <m:e>
            <m:r>
              <m:t>E</m:t>
            </m:r>
          </m:e>
          <m:sub>
            <m:r>
              <m:t>k</m:t>
            </m:r>
          </m:sub>
        </m:sSub>
      </m:oMath>
      <w:r>
        <w:rPr>
          <w:rFonts w:ascii="Times New Roman" w:hAnsi="Times New Roman" w:eastAsia="Times New Roman"/>
          <w:sz w:val="24"/>
        </w:rPr>
        <w:t xml:space="preserve"> </w:t>
      </w:r>
      <w:r>
        <w:rPr>
          <w:rFonts w:ascii="Times New Roman" w:hAnsi="Times New Roman" w:eastAsia="Times New Roman"/>
          <w:sz w:val="24"/>
        </w:rPr>
        <w:t xml:space="preserve">raises</w:t>
      </w:r>
      <w:r>
        <w:rPr>
          <w:rFonts w:ascii="Times New Roman" w:hAnsi="Times New Roman" w:eastAsia="Times New Roman"/>
          <w:sz w:val="24"/>
        </w:rPr>
        <w:t xml:space="preserve"> </w:t>
      </w:r>
      <m:oMath>
        <m:sSup>
          <m:e>
            <m:r>
              <m:t>C</m:t>
            </m:r>
          </m:e>
          <m:sup>
            <m:r>
              <m:t>S</m:t>
            </m:r>
          </m:sup>
        </m:sSup>
      </m:oMath>
      <w:r>
        <w:rPr>
          <w:rFonts w:ascii="Times New Roman" w:hAnsi="Times New Roman" w:eastAsia="Times New Roman"/>
          <w:sz w:val="24"/>
        </w:rPr>
        <w:t xml:space="preserve"> </w:t>
      </w:r>
      <w:r>
        <w:rPr>
          <w:rFonts w:ascii="Times New Roman" w:hAnsi="Times New Roman" w:eastAsia="Times New Roman"/>
          <w:sz w:val="24"/>
        </w:rPr>
        <w:t xml:space="preserve">only until</w:t>
      </w:r>
    </w:p>
    <w:p>
      <w:pPr>
        <w:pStyle w:val="BodyText"/>
      </w:pPr>
      <m:oMathPara>
        <m:oMathParaPr>
          <m:jc m:val="center"/>
        </m:oMathParaPr>
        <m:oMath>
          <m:f>
            <m:fPr>
              <m:type m:val="bar"/>
            </m:fPr>
            <m:num>
              <m:sSub>
                <m:e>
                  <m:r>
                    <m:t>I</m:t>
                  </m:r>
                </m:e>
                <m:sub>
                  <m:r>
                    <m:t>k</m:t>
                  </m:r>
                </m:sub>
              </m:sSub>
              <m:r>
                <m:rPr>
                  <m:sty m:val="p"/>
                </m:rPr>
                <m:t>+</m:t>
              </m:r>
              <m:sSub>
                <m:e>
                  <m:r>
                    <m:t>E</m:t>
                  </m:r>
                </m:e>
                <m:sub>
                  <m:r>
                    <m:t>k</m:t>
                  </m:r>
                </m:sub>
              </m:sSub>
            </m:num>
            <m:den>
              <m:sSub>
                <m:e>
                  <m:r>
                    <m:t>a</m:t>
                  </m:r>
                </m:e>
                <m:sub>
                  <m:r>
                    <m:t>k</m:t>
                  </m:r>
                </m:sub>
              </m:sSub>
            </m:den>
          </m:f>
          <m:r>
            <m:rPr>
              <m:sty m:val="p"/>
            </m:rPr>
            <m:t>=</m:t>
          </m:r>
          <m:limLow>
            <m:e>
              <m:r>
                <m:rPr>
                  <m:sty m:val="p"/>
                </m:rPr>
                <m:t>min</m:t>
              </m:r>
            </m:e>
            <m:lim>
              <m:r>
                <m:t>j</m:t>
              </m:r>
              <m:r>
                <m:rPr>
                  <m:sty m:val="p"/>
                </m:rPr>
                <m:t>≠</m:t>
              </m:r>
              <m:r>
                <m:t>k</m:t>
              </m:r>
            </m:lim>
          </m:limLow>
          <m:f>
            <m:fPr>
              <m:type m:val="bar"/>
            </m:fPr>
            <m:num>
              <m:sSub>
                <m:e>
                  <m:r>
                    <m:t>I</m:t>
                  </m:r>
                </m:e>
                <m:sub>
                  <m:r>
                    <m:t>j</m:t>
                  </m:r>
                </m:sub>
              </m:sSub>
              <m:r>
                <m:rPr>
                  <m:sty m:val="p"/>
                </m:rPr>
                <m:t>+</m:t>
              </m:r>
              <m:sSub>
                <m:e>
                  <m:r>
                    <m:t>E</m:t>
                  </m:r>
                </m:e>
                <m:sub>
                  <m:r>
                    <m:t>j</m:t>
                  </m:r>
                </m:sub>
              </m:sSub>
            </m:num>
            <m:den>
              <m:sSub>
                <m:e>
                  <m:r>
                    <m:t>a</m:t>
                  </m:r>
                </m:e>
                <m:sub>
                  <m:r>
                    <m:t>j</m:t>
                  </m:r>
                </m:sub>
              </m:sSub>
            </m:den>
          </m:f>
          <m:r>
            <m:rPr>
              <m:sty m:val="p"/>
            </m:rPr>
            <m:t>.</m:t>
          </m:r>
        </m:oMath>
      </m:oMathPara>
    </w:p>
    <w:p>
      <w:pPr>
        <w:pStyle w:val="FirstParagraph"/>
        <w:spacing w:line="480" w:lineRule="auto" w:before="0" w:after="0"/>
        <w:ind w:firstLine="720" w:left="0"/>
      </w:pPr>
      <w:r>
        <w:rPr>
          <w:rFonts w:ascii="Times New Roman" w:hAnsi="Times New Roman" w:eastAsia="Times New Roman"/>
          <w:sz w:val="24"/>
        </w:rPr>
        <w:t xml:space="preserve">Beyond that threshold, another service binds and the marginal system return to</w:t>
      </w:r>
      <w:r>
        <w:rPr>
          <w:rFonts w:ascii="Times New Roman" w:hAnsi="Times New Roman" w:eastAsia="Times New Roman"/>
          <w:sz w:val="24"/>
        </w:rPr>
        <w:t xml:space="preserve"> </w:t>
      </w:r>
      <w:r>
        <w:rPr>
          <w:rFonts w:ascii="Times New Roman" w:hAnsi="Times New Roman" w:eastAsia="Times New Roman"/>
          <w:sz w:val="24"/>
        </w:rPr>
        <w:t xml:space="preserve">additional service</w:t>
      </w:r>
      <w:r>
        <w:rPr>
          <w:rFonts w:ascii="Times New Roman" w:hAnsi="Times New Roman" w:eastAsia="Times New Roman"/>
          <w:sz w:val="24"/>
        </w:rPr>
        <w:t xml:space="preserve"> </w:t>
      </w:r>
      <m:oMath>
        <m:r>
          <m:t>k</m:t>
        </m:r>
      </m:oMath>
      <w:r>
        <w:rPr>
          <w:rFonts w:ascii="Times New Roman" w:hAnsi="Times New Roman" w:eastAsia="Times New Roman"/>
          <w:sz w:val="24"/>
        </w:rPr>
        <w:t xml:space="preserve"> </w:t>
      </w:r>
      <w:r>
        <w:rPr>
          <w:rFonts w:ascii="Times New Roman" w:hAnsi="Times New Roman" w:eastAsia="Times New Roman"/>
          <w:sz w:val="24"/>
        </w:rPr>
        <w:t xml:space="preserve">is zero unless the new constraint is also relieved.</w:t>
      </w:r>
      <w:r>
        <w:rPr>
          <w:rFonts w:ascii="Times New Roman" w:hAnsi="Times New Roman" w:eastAsia="Times New Roman"/>
          <w:sz w:val="24"/>
        </w:rPr>
        <w:t xml:space="preserve"> </w:t>
      </w:r>
      <w:r>
        <w:rPr>
          <w:rFonts w:ascii="Times New Roman" w:hAnsi="Times New Roman" w:eastAsia="Times New Roman"/>
          <w:sz w:val="24"/>
        </w:rPr>
        <w:t xml:space="preserve">This is</w:t>
      </w:r>
      <w:r>
        <w:rPr>
          <w:rFonts w:ascii="Times New Roman" w:hAnsi="Times New Roman" w:eastAsia="Times New Roman"/>
          <w:sz w:val="24"/>
        </w:rPr>
        <w:t xml:space="preserve"> </w:t>
      </w:r>
      <w:r>
        <w:rPr>
          <w:rFonts w:ascii="Times New Roman" w:hAnsi="Times New Roman" w:eastAsia="Times New Roman"/>
          <w:b/>
          <w:bCs/>
          <w:sz w:val="24"/>
        </w:rPr>
        <w:t xml:space="preserve">constraint displacement</w:t>
      </w:r>
      <w:r>
        <w:rPr>
          <w:rFonts w:ascii="Times New Roman" w:hAnsi="Times New Roman" w:eastAsia="Times New Roman"/>
          <w:sz w:val="24"/>
        </w:rPr>
        <w:t xml:space="preserve">. It is the standard bottleneck logic applied</w:t>
      </w:r>
      <w:r>
        <w:rPr>
          <w:rFonts w:ascii="Times New Roman" w:hAnsi="Times New Roman" w:eastAsia="Times New Roman"/>
          <w:sz w:val="24"/>
        </w:rPr>
        <w:t xml:space="preserve"> </w:t>
      </w:r>
      <w:r>
        <w:rPr>
          <w:rFonts w:ascii="Times New Roman" w:hAnsi="Times New Roman" w:eastAsia="Times New Roman"/>
          <w:sz w:val="24"/>
        </w:rPr>
        <w:t xml:space="preserve">to a partner force whose service levels can be altered selectively by external</w:t>
      </w:r>
      <w:r>
        <w:rPr>
          <w:rFonts w:ascii="Times New Roman" w:hAnsi="Times New Roman" w:eastAsia="Times New Roman"/>
          <w:sz w:val="24"/>
        </w:rPr>
        <w:t xml:space="preserve"> </w:t>
      </w:r>
      <w:r>
        <w:rPr>
          <w:rFonts w:ascii="Times New Roman" w:hAnsi="Times New Roman" w:eastAsia="Times New Roman"/>
          <w:sz w:val="24"/>
        </w:rPr>
        <w:t xml:space="preserve">assistance.</w:t>
      </w:r>
    </w:p>
    <w:p>
      <w:pPr>
        <w:pStyle w:val="BodyText"/>
        <w:spacing w:line="480" w:lineRule="auto" w:before="0" w:after="0"/>
        <w:ind w:firstLine="720" w:left="0"/>
      </w:pPr>
      <w:r>
        <w:rPr>
          <w:rFonts w:ascii="Times New Roman" w:hAnsi="Times New Roman" w:eastAsia="Times New Roman"/>
          <w:sz w:val="24"/>
        </w:rPr>
        <w:t xml:space="preserve">The distance between the lowest and second-lowest service coverage levels can</w:t>
      </w:r>
      <w:r>
        <w:rPr>
          <w:rFonts w:ascii="Times New Roman" w:hAnsi="Times New Roman" w:eastAsia="Times New Roman"/>
          <w:sz w:val="24"/>
        </w:rPr>
        <w:t xml:space="preserve"> </w:t>
      </w:r>
      <w:r>
        <w:rPr>
          <w:rFonts w:ascii="Times New Roman" w:hAnsi="Times New Roman" w:eastAsia="Times New Roman"/>
          <w:sz w:val="24"/>
        </w:rPr>
        <w:t xml:space="preserve">describe the initial spacing of constraints, but it does not determine realized</w:t>
      </w:r>
      <w:r>
        <w:rPr>
          <w:rFonts w:ascii="Times New Roman" w:hAnsi="Times New Roman" w:eastAsia="Times New Roman"/>
          <w:sz w:val="24"/>
        </w:rPr>
        <w:t xml:space="preserve"> </w:t>
      </w:r>
      <w:r>
        <w:rPr>
          <w:rFonts w:ascii="Times New Roman" w:hAnsi="Times New Roman" w:eastAsia="Times New Roman"/>
          <w:sz w:val="24"/>
        </w:rPr>
        <w:t xml:space="preserve">yield once assistance changes operations and demand. The paper therefore treats</w:t>
      </w:r>
      <w:r>
        <w:rPr>
          <w:rFonts w:ascii="Times New Roman" w:hAnsi="Times New Roman" w:eastAsia="Times New Roman"/>
          <w:sz w:val="24"/>
        </w:rPr>
        <w:t xml:space="preserve"> </w:t>
      </w:r>
      <w:r>
        <w:rPr>
          <w:rFonts w:ascii="Times New Roman" w:hAnsi="Times New Roman" w:eastAsia="Times New Roman"/>
          <w:sz w:val="24"/>
        </w:rPr>
        <w:t xml:space="preserve">static headroom as a descriptive diagnostic rather than a causal predictor.</w:t>
      </w:r>
    </w:p>
    <w:p>
      <w:pPr>
        <w:pStyle w:val="BodyText"/>
        <w:spacing w:line="480" w:lineRule="auto" w:before="0" w:after="0"/>
        <w:ind w:firstLine="720" w:left="0"/>
      </w:pPr>
      <w:r>
        <w:rPr>
          <w:rFonts w:ascii="Times New Roman" w:hAnsi="Times New Roman" w:eastAsia="Times New Roman"/>
          <w:b/>
          <w:bCs/>
          <w:sz w:val="24"/>
        </w:rPr>
        <w:t xml:space="preserve">Proposition 3, Constraint Displacement.</w:t>
      </w:r>
      <w:r>
        <w:rPr>
          <w:rFonts w:ascii="Times New Roman" w:hAnsi="Times New Roman" w:eastAsia="Times New Roman"/>
          <w:sz w:val="24"/>
        </w:rPr>
        <w:t xml:space="preserve"> </w:t>
      </w:r>
      <w:r>
        <w:rPr>
          <w:rFonts w:ascii="Times New Roman" w:hAnsi="Times New Roman" w:eastAsia="Times New Roman"/>
          <w:sz w:val="24"/>
        </w:rPr>
        <w:t xml:space="preserve">Assistance that relieves a binding</w:t>
      </w:r>
      <w:r>
        <w:rPr>
          <w:rFonts w:ascii="Times New Roman" w:hAnsi="Times New Roman" w:eastAsia="Times New Roman"/>
          <w:sz w:val="24"/>
        </w:rPr>
        <w:t xml:space="preserve"> </w:t>
      </w:r>
      <w:r>
        <w:rPr>
          <w:rFonts w:ascii="Times New Roman" w:hAnsi="Times New Roman" w:eastAsia="Times New Roman"/>
          <w:sz w:val="24"/>
        </w:rPr>
        <w:t xml:space="preserve">service can shift the limiting constraint to another service; once displaced,</w:t>
      </w:r>
      <w:r>
        <w:rPr>
          <w:rFonts w:ascii="Times New Roman" w:hAnsi="Times New Roman" w:eastAsia="Times New Roman"/>
          <w:sz w:val="24"/>
        </w:rPr>
        <w:t xml:space="preserve"> </w:t>
      </w:r>
      <w:r>
        <w:rPr>
          <w:rFonts w:ascii="Times New Roman" w:hAnsi="Times New Roman" w:eastAsia="Times New Roman"/>
          <w:sz w:val="24"/>
        </w:rPr>
        <w:t xml:space="preserve">additional improvement of the relieved service can have little or no</w:t>
      </w:r>
      <w:r>
        <w:rPr>
          <w:rFonts w:ascii="Times New Roman" w:hAnsi="Times New Roman" w:eastAsia="Times New Roman"/>
          <w:sz w:val="24"/>
        </w:rPr>
        <w:t xml:space="preserve"> </w:t>
      </w:r>
      <w:r>
        <w:rPr>
          <w:rFonts w:ascii="Times New Roman" w:hAnsi="Times New Roman" w:eastAsia="Times New Roman"/>
          <w:sz w:val="24"/>
        </w:rPr>
        <w:t xml:space="preserve">whole-system yield.</w:t>
      </w:r>
    </w:p>
    <w:p>
      <w:pPr>
        <w:pStyle w:val="BodyText"/>
        <w:spacing w:line="480" w:lineRule="auto" w:before="0" w:after="0"/>
        <w:ind w:firstLine="720" w:left="0"/>
      </w:pPr>
      <w:r>
        <w:rPr>
          <w:rFonts w:ascii="Times New Roman" w:hAnsi="Times New Roman" w:eastAsia="Times New Roman"/>
          <w:sz w:val="24"/>
        </w:rPr>
        <w:t xml:space="preserve">This proposition does not predict a retention penalty. Migration can accompany</w:t>
      </w:r>
      <w:r>
        <w:rPr>
          <w:rFonts w:ascii="Times New Roman" w:hAnsi="Times New Roman" w:eastAsia="Times New Roman"/>
          <w:sz w:val="24"/>
        </w:rPr>
        <w:t xml:space="preserve"> </w:t>
      </w:r>
      <w:r>
        <w:rPr>
          <w:rFonts w:ascii="Times New Roman" w:hAnsi="Times New Roman" w:eastAsia="Times New Roman"/>
          <w:sz w:val="24"/>
        </w:rPr>
        <w:t xml:space="preserve">positive, zero, or negative retained outcomes.</w:t>
      </w:r>
    </w:p>
    <w:bookmarkEnd w:id="69"/>
    <w:bookmarkStart w:id="73" w:name="Xbbb3f2b576c20251b63364bd5a5d342ed1d0979"/>
    <w:p>
      <w:pPr>
        <w:pStyle w:val="Heading2"/>
        <w:keepNext/>
        <w:spacing w:line="480" w:lineRule="auto" w:after="0" w:before="120"/>
        <w:ind w:firstLine="0" w:left="0"/>
      </w:pPr>
      <w:r>
        <w:rPr>
          <w:rFonts w:ascii="Times New Roman" w:hAnsi="Times New Roman" w:eastAsia="Times New Roman"/>
          <w:b/>
          <w:i/>
          <w:sz w:val="24"/>
        </w:rPr>
        <w:t xml:space="preserve">3.5 Substitution, development, and coordinated growth</w:t>
      </w:r>
    </w:p>
    <w:p>
      <w:pPr>
        <w:pStyle w:val="FirstParagraph"/>
        <w:spacing w:line="480" w:lineRule="auto" w:before="0" w:after="0"/>
        <w:ind w:firstLine="720" w:left="0"/>
      </w:pPr>
      <w:r>
        <w:rPr>
          <w:rFonts w:ascii="Times New Roman" w:hAnsi="Times New Roman" w:eastAsia="Times New Roman"/>
          <w:sz w:val="24"/>
        </w:rPr>
        <w:t xml:space="preserve">Direct substitution increases</w:t>
      </w:r>
      <w:r>
        <w:rPr>
          <w:rFonts w:ascii="Times New Roman" w:hAnsi="Times New Roman" w:eastAsia="Times New Roman"/>
          <w:sz w:val="24"/>
        </w:rPr>
        <w:t xml:space="preserve"> </w:t>
      </w:r>
      <m:oMath>
        <m:sSub>
          <m:e>
            <m:r>
              <m:t>E</m:t>
            </m:r>
          </m:e>
          <m:sub>
            <m:r>
              <m:t>j</m:t>
            </m:r>
          </m:sub>
        </m:sSub>
      </m:oMath>
      <w:r>
        <w:rPr>
          <w:rFonts w:ascii="Times New Roman" w:hAnsi="Times New Roman" w:eastAsia="Times New Roman"/>
          <w:sz w:val="24"/>
        </w:rPr>
        <w:t xml:space="preserve">. Developmental assistance seeks to raise</w:t>
      </w:r>
      <w:r>
        <w:rPr>
          <w:rFonts w:ascii="Times New Roman" w:hAnsi="Times New Roman" w:eastAsia="Times New Roman"/>
          <w:sz w:val="24"/>
        </w:rPr>
        <w:t xml:space="preserve"> </w:t>
      </w:r>
      <m:oMath>
        <m:sSub>
          <m:e>
            <m:r>
              <m:t>I</m:t>
            </m:r>
          </m:e>
          <m:sub>
            <m:r>
              <m:t>j</m:t>
            </m:r>
          </m:sub>
        </m:sSub>
      </m:oMath>
      <w:r>
        <w:rPr>
          <w:rFonts w:ascii="Times New Roman" w:hAnsi="Times New Roman" w:eastAsia="Times New Roman"/>
          <w:sz w:val="24"/>
        </w:rPr>
        <w:t xml:space="preserve">. Development at a persistently binding service can therefore improve</w:t>
      </w:r>
      <w:r>
        <w:rPr>
          <w:rFonts w:ascii="Times New Roman" w:hAnsi="Times New Roman" w:eastAsia="Times New Roman"/>
          <w:sz w:val="24"/>
        </w:rPr>
        <w:t xml:space="preserve"> </w:t>
      </w:r>
      <w:r>
        <w:rPr>
          <w:rFonts w:ascii="Times New Roman" w:hAnsi="Times New Roman" w:eastAsia="Times New Roman"/>
          <w:sz w:val="24"/>
        </w:rPr>
        <w:t xml:space="preserve">indigenous coverage, but it need not dominate substitution on near-term</w:t>
      </w:r>
      <w:r>
        <w:rPr>
          <w:rFonts w:ascii="Times New Roman" w:hAnsi="Times New Roman" w:eastAsia="Times New Roman"/>
          <w:sz w:val="24"/>
        </w:rPr>
        <w:t xml:space="preserve"> </w:t>
      </w:r>
      <w:r>
        <w:rPr>
          <w:rFonts w:ascii="Times New Roman" w:hAnsi="Times New Roman" w:eastAsia="Times New Roman"/>
          <w:sz w:val="24"/>
        </w:rPr>
        <w:t xml:space="preserve">capability or modeled donor cost. The relevant policy object is a frontier among</w:t>
      </w:r>
      <w:r>
        <w:rPr>
          <w:rFonts w:ascii="Times New Roman" w:hAnsi="Times New Roman" w:eastAsia="Times New Roman"/>
          <w:sz w:val="24"/>
        </w:rPr>
        <w:t xml:space="preserve"> </w:t>
      </w:r>
      <w:r>
        <w:rPr>
          <w:rFonts w:ascii="Times New Roman" w:hAnsi="Times New Roman" w:eastAsia="Times New Roman"/>
          <w:sz w:val="24"/>
        </w:rPr>
        <w:t xml:space="preserve">supported capability, retained capability, indigenous service, time, and cost,</w:t>
      </w:r>
      <w:r>
        <w:rPr>
          <w:rFonts w:ascii="Times New Roman" w:hAnsi="Times New Roman" w:eastAsia="Times New Roman"/>
          <w:sz w:val="24"/>
        </w:rPr>
        <w:t xml:space="preserve"> </w:t>
      </w:r>
      <w:r>
        <w:rPr>
          <w:rFonts w:ascii="Times New Roman" w:hAnsi="Times New Roman" w:eastAsia="Times New Roman"/>
          <w:sz w:val="24"/>
        </w:rPr>
        <w:t xml:space="preserve">not a single ranking of assistance modes.</w:t>
      </w:r>
    </w:p>
    <w:p>
      <w:pPr>
        <w:pStyle w:val="BodyText"/>
        <w:spacing w:line="480" w:lineRule="auto" w:before="0" w:after="0"/>
        <w:ind w:firstLine="720" w:left="0"/>
      </w:pPr>
      <w:r>
        <w:rPr>
          <w:rFonts w:ascii="Times New Roman" w:hAnsi="Times New Roman" w:eastAsia="Times New Roman"/>
          <w:sz w:val="24"/>
        </w:rPr>
        <w:t xml:space="preserve">If several services are genuinely near binding, coordinated development may</w:t>
      </w:r>
      <w:r>
        <w:rPr>
          <w:rFonts w:ascii="Times New Roman" w:hAnsi="Times New Roman" w:eastAsia="Times New Roman"/>
          <w:sz w:val="24"/>
        </w:rPr>
        <w:t xml:space="preserve"> </w:t>
      </w:r>
      <w:r>
        <w:rPr>
          <w:rFonts w:ascii="Times New Roman" w:hAnsi="Times New Roman" w:eastAsia="Times New Roman"/>
          <w:sz w:val="24"/>
        </w:rPr>
        <w:t xml:space="preserve">generate technical complementarity. For two services, the equal-dose factorial</w:t>
      </w:r>
      <w:r>
        <w:rPr>
          <w:rFonts w:ascii="Times New Roman" w:hAnsi="Times New Roman" w:eastAsia="Times New Roman"/>
          <w:sz w:val="24"/>
        </w:rPr>
        <w:t xml:space="preserve"> </w:t>
      </w:r>
      <w:r>
        <w:rPr>
          <w:rFonts w:ascii="Times New Roman" w:hAnsi="Times New Roman" w:eastAsia="Times New Roman"/>
          <w:sz w:val="24"/>
        </w:rPr>
        <w:t xml:space="preserve">interaction is</w:t>
      </w:r>
    </w:p>
    <w:p>
      <w:pPr>
        <w:pStyle w:val="BodyText"/>
      </w:pPr>
      <m:oMathPara>
        <m:oMathParaPr>
          <m:jc m:val="center"/>
        </m:oMathParaPr>
        <m:oMath>
          <m:sSub>
            <m:e>
              <m:r>
                <m:t>I</m:t>
              </m:r>
            </m:e>
            <m:sub>
              <m:r>
                <m:t>A</m:t>
              </m:r>
              <m:r>
                <m:t>B</m:t>
              </m:r>
            </m:sub>
          </m:sSub>
          <m:r>
            <m:rPr>
              <m:sty m:val="p"/>
            </m:rPr>
            <m:t>=</m:t>
          </m:r>
          <m:sSub>
            <m:e>
              <m:r>
                <m:t>Q</m:t>
              </m:r>
            </m:e>
            <m:sub>
              <m:r>
                <m:t>A</m:t>
              </m:r>
              <m:r>
                <m:t>B</m:t>
              </m:r>
            </m:sub>
          </m:sSub>
          <m:r>
            <m:rPr>
              <m:sty m:val="p"/>
            </m:rPr>
            <m:t>−</m:t>
          </m:r>
          <m:sSub>
            <m:e>
              <m:r>
                <m:t>Q</m:t>
              </m:r>
            </m:e>
            <m:sub>
              <m:r>
                <m:t>A</m:t>
              </m:r>
            </m:sub>
          </m:sSub>
          <m:r>
            <m:rPr>
              <m:sty m:val="p"/>
            </m:rPr>
            <m:t>−</m:t>
          </m:r>
          <m:sSub>
            <m:e>
              <m:r>
                <m:t>Q</m:t>
              </m:r>
            </m:e>
            <m:sub>
              <m:r>
                <m:t>B</m:t>
              </m:r>
            </m:sub>
          </m:sSub>
          <m:r>
            <m:rPr>
              <m:sty m:val="p"/>
            </m:rPr>
            <m:t>+</m:t>
          </m:r>
          <m:sSub>
            <m:e>
              <m:r>
                <m:t>Q</m:t>
              </m:r>
            </m:e>
            <m:sub>
              <m:r>
                <m:t>0</m:t>
              </m:r>
            </m:sub>
          </m:sSub>
          <m:r>
            <m:rPr>
              <m:sty m:val="p"/>
            </m:rPr>
            <m:t>,</m:t>
          </m:r>
        </m:oMath>
      </m:oMathPara>
    </w:p>
    <w:p>
      <w:pPr>
        <w:pStyle w:val="FirstParagraph"/>
        <w:spacing w:line="480" w:lineRule="auto" w:before="0" w:after="0"/>
        <w:ind w:firstLine="720" w:left="0"/>
      </w:pPr>
      <w:r>
        <w:rPr>
          <w:rFonts w:ascii="Times New Roman" w:hAnsi="Times New Roman" w:eastAsia="Times New Roman"/>
          <w:sz w:val="24"/>
        </w:rPr>
        <w:t xml:space="preserve">where</w:t>
      </w:r>
      <w:r>
        <w:rPr>
          <w:rFonts w:ascii="Times New Roman" w:hAnsi="Times New Roman" w:eastAsia="Times New Roman"/>
          <w:sz w:val="24"/>
        </w:rPr>
        <w:t xml:space="preserve"> </w:t>
      </w:r>
      <m:oMath>
        <m:r>
          <m:t>Q</m:t>
        </m:r>
      </m:oMath>
      <w:r>
        <w:rPr>
          <w:rFonts w:ascii="Times New Roman" w:hAnsi="Times New Roman" w:eastAsia="Times New Roman"/>
          <w:sz w:val="24"/>
        </w:rPr>
        <w:t xml:space="preserve"> </w:t>
      </w:r>
      <w:r>
        <w:rPr>
          <w:rFonts w:ascii="Times New Roman" w:hAnsi="Times New Roman" w:eastAsia="Times New Roman"/>
          <w:sz w:val="24"/>
        </w:rPr>
        <w:t xml:space="preserve">is the prespecified terminal system coordinate. A positive</w:t>
      </w:r>
      <w:r>
        <w:rPr>
          <w:rFonts w:ascii="Times New Roman" w:hAnsi="Times New Roman" w:eastAsia="Times New Roman"/>
          <w:sz w:val="24"/>
        </w:rPr>
        <w:t xml:space="preserve"> </w:t>
      </w:r>
      <w:r>
        <w:rPr>
          <w:rFonts w:ascii="Times New Roman" w:hAnsi="Times New Roman" w:eastAsia="Times New Roman"/>
          <w:sz w:val="24"/>
        </w:rPr>
        <w:t xml:space="preserve">interaction identifies complementarity on that outcome. A different question</w:t>
      </w:r>
      <w:r>
        <w:rPr>
          <w:rFonts w:ascii="Times New Roman" w:hAnsi="Times New Roman" w:eastAsia="Times New Roman"/>
          <w:sz w:val="24"/>
        </w:rPr>
        <w:t xml:space="preserve"> </w:t>
      </w:r>
      <w:r>
        <w:rPr>
          <w:rFonts w:ascii="Times New Roman" w:hAnsi="Times New Roman" w:eastAsia="Times New Roman"/>
          <w:sz w:val="24"/>
        </w:rPr>
        <w:t xml:space="preserve">is whether spreading a fixed total developmental dose across services beats</w:t>
      </w:r>
      <w:r>
        <w:rPr>
          <w:rFonts w:ascii="Times New Roman" w:hAnsi="Times New Roman" w:eastAsia="Times New Roman"/>
          <w:sz w:val="24"/>
        </w:rPr>
        <w:t xml:space="preserve"> </w:t>
      </w:r>
      <w:r>
        <w:rPr>
          <w:rFonts w:ascii="Times New Roman" w:hAnsi="Times New Roman" w:eastAsia="Times New Roman"/>
          <w:sz w:val="24"/>
        </w:rPr>
        <w:t xml:space="preserve">concentrating it on the best single channel. The latter requires a valid</w:t>
      </w:r>
      <w:r>
        <w:rPr>
          <w:rFonts w:ascii="Times New Roman" w:hAnsi="Times New Roman" w:eastAsia="Times New Roman"/>
          <w:sz w:val="24"/>
        </w:rPr>
        <w:t xml:space="preserve"> </w:t>
      </w:r>
      <w:r>
        <w:rPr>
          <w:rFonts w:ascii="Times New Roman" w:hAnsi="Times New Roman" w:eastAsia="Times New Roman"/>
          <w:sz w:val="24"/>
        </w:rPr>
        <w:t xml:space="preserve">near-tie manipulation and cannot be inferred from complementarity alone.</w:t>
      </w:r>
    </w:p>
    <w:p>
      <w:pPr>
        <w:pStyle w:val="CaptionedFigure"/>
        <w:keepNext/>
        <w:spacing w:before="240" w:after="120"/>
        <w:ind w:firstLine="0" w:left="0"/>
        <w:jc w:val="center"/>
      </w:pPr>
      <w:r>
        <w:rPr/>
        <w:drawing>
          <wp:inline>
            <wp:extent cx="5434497" cy="3285123"/>
            <wp:effectExtent b="0" l="0" r="0" t="0"/>
            <wp:docPr descr="Figure 1. Security assistance can separate relief, yield, and retention. Requirement expansion affects the transition from supported yield to retained capability when service demand grows faster than indigenous production. Constraint displacement affects the transition from local relief to system yield when another complementary service becomes binding." title="" id="71" name="Picture"/>
            <a:graphic>
              <a:graphicData uri="http://schemas.openxmlformats.org/drawingml/2006/picture">
                <pic:pic>
                  <pic:nvPicPr>
                    <pic:cNvPr descr="figures/figure1_conceptual.png" id="72" name="Picture"/>
                    <pic:cNvPicPr>
                      <a:picLocks noChangeArrowheads="1" noChangeAspect="1"/>
                    </pic:cNvPicPr>
                  </pic:nvPicPr>
                  <pic:blipFill>
                    <a:blip r:embed="rId70"/>
                    <a:stretch>
                      <a:fillRect/>
                    </a:stretch>
                  </pic:blipFill>
                  <pic:spPr bwMode="auto">
                    <a:xfrm>
                      <a:off x="0" y="0"/>
                      <a:ext cx="5434497" cy="3285123"/>
                    </a:xfrm>
                    <a:prstGeom prst="rect">
                      <a:avLst/>
                    </a:prstGeom>
                    <a:noFill/>
                    <a:ln w="9525">
                      <a:noFill/>
                      <a:headEnd/>
                      <a:tailEnd/>
                    </a:ln>
                  </pic:spPr>
                </pic:pic>
              </a:graphicData>
            </a:graphic>
          </wp:inline>
        </w:drawing>
      </w:r>
    </w:p>
    <w:p>
      <w:pPr>
        <w:pStyle w:val="ImageCaption"/>
        <w:keepNext w:val="0"/>
        <w:spacing w:line="276" w:lineRule="auto" w:before="120" w:after="240"/>
        <w:ind w:firstLine="0" w:left="0"/>
      </w:pPr>
      <w:r>
        <w:rPr>
          <w:rFonts w:ascii="Times New Roman" w:hAnsi="Times New Roman" w:eastAsia="Times New Roman"/>
          <w:sz w:val="20"/>
        </w:rPr>
        <w:t xml:space="preserve">Figure 1. Security assistance can separate relief, yield, and retention.</w:t>
      </w:r>
      <w:r>
        <w:rPr>
          <w:rFonts w:ascii="Times New Roman" w:hAnsi="Times New Roman" w:eastAsia="Times New Roman"/>
          <w:sz w:val="20"/>
        </w:rPr>
        <w:t xml:space="preserve"> </w:t>
      </w:r>
      <w:r>
        <w:rPr>
          <w:rFonts w:ascii="Times New Roman" w:hAnsi="Times New Roman" w:eastAsia="Times New Roman"/>
          <w:sz w:val="20"/>
        </w:rPr>
        <w:t xml:space="preserve">Requirement expansion affects the transition from supported yield to retained</w:t>
      </w:r>
      <w:r>
        <w:rPr>
          <w:rFonts w:ascii="Times New Roman" w:hAnsi="Times New Roman" w:eastAsia="Times New Roman"/>
          <w:sz w:val="20"/>
        </w:rPr>
        <w:t xml:space="preserve"> </w:t>
      </w:r>
      <w:r>
        <w:rPr>
          <w:rFonts w:ascii="Times New Roman" w:hAnsi="Times New Roman" w:eastAsia="Times New Roman"/>
          <w:sz w:val="20"/>
        </w:rPr>
        <w:t xml:space="preserve">capability when service demand grows faster than indigenous production.</w:t>
      </w:r>
      <w:r>
        <w:rPr>
          <w:rFonts w:ascii="Times New Roman" w:hAnsi="Times New Roman" w:eastAsia="Times New Roman"/>
          <w:sz w:val="20"/>
        </w:rPr>
        <w:t xml:space="preserve"> </w:t>
      </w:r>
      <w:r>
        <w:rPr>
          <w:rFonts w:ascii="Times New Roman" w:hAnsi="Times New Roman" w:eastAsia="Times New Roman"/>
          <w:sz w:val="20"/>
        </w:rPr>
        <w:t xml:space="preserve">Constraint displacement affects the transition from local relief to system</w:t>
      </w:r>
      <w:r>
        <w:rPr>
          <w:rFonts w:ascii="Times New Roman" w:hAnsi="Times New Roman" w:eastAsia="Times New Roman"/>
          <w:sz w:val="20"/>
        </w:rPr>
        <w:t xml:space="preserve"> </w:t>
      </w:r>
      <w:r>
        <w:rPr>
          <w:rFonts w:ascii="Times New Roman" w:hAnsi="Times New Roman" w:eastAsia="Times New Roman"/>
          <w:sz w:val="20"/>
        </w:rPr>
        <w:t xml:space="preserve">yield when another complementary service becomes binding.</w:t>
      </w:r>
    </w:p>
    <w:bookmarkEnd w:id="73"/>
    <w:bookmarkStart w:id="74" w:name="empirical-implications"/>
    <w:p>
      <w:pPr>
        <w:pStyle w:val="Heading2"/>
        <w:keepNext/>
        <w:spacing w:line="480" w:lineRule="auto" w:after="0" w:before="120"/>
        <w:ind w:firstLine="0" w:left="0"/>
      </w:pPr>
      <w:r>
        <w:rPr>
          <w:rFonts w:ascii="Times New Roman" w:hAnsi="Times New Roman" w:eastAsia="Times New Roman"/>
          <w:b/>
          <w:i/>
          <w:sz w:val="24"/>
        </w:rPr>
        <w:t xml:space="preserve">3.6 Empirical implications</w:t>
      </w:r>
    </w:p>
    <w:p>
      <w:pPr>
        <w:pStyle w:val="FirstParagraph"/>
        <w:spacing w:line="480" w:lineRule="auto" w:before="0" w:after="0"/>
        <w:ind w:firstLine="720" w:left="0"/>
      </w:pPr>
      <w:r>
        <w:rPr>
          <w:rFonts w:ascii="Times New Roman" w:hAnsi="Times New Roman" w:eastAsia="Times New Roman"/>
          <w:sz w:val="24"/>
        </w:rPr>
        <w:t xml:space="preserve">The two mechanisms imply different observable patterns. Requirement expansion</w:t>
      </w:r>
      <w:r>
        <w:rPr>
          <w:rFonts w:ascii="Times New Roman" w:hAnsi="Times New Roman" w:eastAsia="Times New Roman"/>
          <w:sz w:val="24"/>
        </w:rPr>
        <w:t xml:space="preserve"> </w:t>
      </w:r>
      <w:r>
        <w:rPr>
          <w:rFonts w:ascii="Times New Roman" w:hAnsi="Times New Roman" w:eastAsia="Times New Roman"/>
          <w:sz w:val="24"/>
        </w:rPr>
        <w:t xml:space="preserve">is supported when the continued-support branch generates a larger service</w:t>
      </w:r>
      <w:r>
        <w:rPr>
          <w:rFonts w:ascii="Times New Roman" w:hAnsi="Times New Roman" w:eastAsia="Times New Roman"/>
          <w:sz w:val="24"/>
        </w:rPr>
        <w:t xml:space="preserve"> </w:t>
      </w:r>
      <w:r>
        <w:rPr>
          <w:rFonts w:ascii="Times New Roman" w:hAnsi="Times New Roman" w:eastAsia="Times New Roman"/>
          <w:sz w:val="24"/>
        </w:rPr>
        <w:t xml:space="preserve">requirement than its matched withdrawal branch and clamping that excess demand</w:t>
      </w:r>
      <w:r>
        <w:rPr>
          <w:rFonts w:ascii="Times New Roman" w:hAnsi="Times New Roman" w:eastAsia="Times New Roman"/>
          <w:sz w:val="24"/>
        </w:rPr>
        <w:t xml:space="preserve"> </w:t>
      </w:r>
      <w:r>
        <w:rPr>
          <w:rFonts w:ascii="Times New Roman" w:hAnsi="Times New Roman" w:eastAsia="Times New Roman"/>
          <w:sz w:val="24"/>
        </w:rPr>
        <w:t xml:space="preserve">attenuates the terminal coverage gap. Constraint displacement is supported when</w:t>
      </w:r>
      <w:r>
        <w:rPr>
          <w:rFonts w:ascii="Times New Roman" w:hAnsi="Times New Roman" w:eastAsia="Times New Roman"/>
          <w:sz w:val="24"/>
        </w:rPr>
        <w:t xml:space="preserve"> </w:t>
      </w:r>
      <w:r>
        <w:rPr>
          <w:rFonts w:ascii="Times New Roman" w:hAnsi="Times New Roman" w:eastAsia="Times New Roman"/>
          <w:sz w:val="24"/>
        </w:rPr>
        <w:t xml:space="preserve">the targeted service ceases to bind but system yield remains limited by a</w:t>
      </w:r>
      <w:r>
        <w:rPr>
          <w:rFonts w:ascii="Times New Roman" w:hAnsi="Times New Roman" w:eastAsia="Times New Roman"/>
          <w:sz w:val="24"/>
        </w:rPr>
        <w:t xml:space="preserve"> </w:t>
      </w:r>
      <w:r>
        <w:rPr>
          <w:rFonts w:ascii="Times New Roman" w:hAnsi="Times New Roman" w:eastAsia="Times New Roman"/>
          <w:sz w:val="24"/>
        </w:rPr>
        <w:t xml:space="preserve">different service. Neither pattern is sufficient evidence for the other.</w:t>
      </w:r>
    </w:p>
    <w:p>
      <w:pPr>
        <w:pStyle w:val="BodyText"/>
        <w:spacing w:line="480" w:lineRule="auto" w:before="0" w:after="0"/>
        <w:ind w:firstLine="720" w:left="0"/>
      </w:pPr>
      <w:r>
        <w:rPr>
          <w:rFonts w:ascii="Times New Roman" w:hAnsi="Times New Roman" w:eastAsia="Times New Roman"/>
          <w:sz w:val="24"/>
        </w:rPr>
        <w:t xml:space="preserve">The framework is weakened if continued support does not enlarge relevant</w:t>
      </w:r>
      <w:r>
        <w:rPr>
          <w:rFonts w:ascii="Times New Roman" w:hAnsi="Times New Roman" w:eastAsia="Times New Roman"/>
          <w:sz w:val="24"/>
        </w:rPr>
        <w:t xml:space="preserve"> </w:t>
      </w:r>
      <w:r>
        <w:rPr>
          <w:rFonts w:ascii="Times New Roman" w:hAnsi="Times New Roman" w:eastAsia="Times New Roman"/>
          <w:sz w:val="24"/>
        </w:rPr>
        <w:t xml:space="preserve">requirements, if clamping the requirement leaves the coverage gap unchanged,</w:t>
      </w:r>
      <w:r>
        <w:rPr>
          <w:rFonts w:ascii="Times New Roman" w:hAnsi="Times New Roman" w:eastAsia="Times New Roman"/>
          <w:sz w:val="24"/>
        </w:rPr>
        <w:t xml:space="preserve"> </w:t>
      </w:r>
      <w:r>
        <w:rPr>
          <w:rFonts w:ascii="Times New Roman" w:hAnsi="Times New Roman" w:eastAsia="Times New Roman"/>
          <w:sz w:val="24"/>
        </w:rPr>
        <w:t xml:space="preserve">or if the reportedly displaced service remains the marginal determinant of</w:t>
      </w:r>
      <w:r>
        <w:rPr>
          <w:rFonts w:ascii="Times New Roman" w:hAnsi="Times New Roman" w:eastAsia="Times New Roman"/>
          <w:sz w:val="24"/>
        </w:rPr>
        <w:t xml:space="preserve"> </w:t>
      </w:r>
      <w:r>
        <w:rPr>
          <w:rFonts w:ascii="Times New Roman" w:hAnsi="Times New Roman" w:eastAsia="Times New Roman"/>
          <w:sz w:val="24"/>
        </w:rPr>
        <w:t xml:space="preserve">whole-system output. These tests are reported separately rather than combining</w:t>
      </w:r>
      <w:r>
        <w:rPr>
          <w:rFonts w:ascii="Times New Roman" w:hAnsi="Times New Roman" w:eastAsia="Times New Roman"/>
          <w:sz w:val="24"/>
        </w:rPr>
        <w:t xml:space="preserve"> </w:t>
      </w:r>
      <w:r>
        <w:rPr>
          <w:rFonts w:ascii="Times New Roman" w:hAnsi="Times New Roman" w:eastAsia="Times New Roman"/>
          <w:sz w:val="24"/>
        </w:rPr>
        <w:t xml:space="preserve">them into a single migration-mediated theory of dependence.</w:t>
      </w:r>
    </w:p>
    <w:bookmarkEnd w:id="74"/>
    <w:bookmarkEnd w:id="75"/>
    <w:bookmarkStart w:id="85" w:name="research-design"/>
    <w:p>
      <w:pPr>
        <w:pStyle w:val="Heading1"/>
        <w:keepNext/>
        <w:spacing w:line="480" w:lineRule="auto" w:after="0" w:before="240"/>
        <w:ind w:firstLine="0" w:left="0"/>
      </w:pPr>
      <w:r>
        <w:rPr>
          <w:rFonts w:ascii="Times New Roman" w:hAnsi="Times New Roman" w:eastAsia="Times New Roman"/>
          <w:b/>
          <w:i w:val="0"/>
          <w:sz w:val="24"/>
        </w:rPr>
        <w:t xml:space="preserve">4. Research Design</w:t>
      </w:r>
    </w:p>
    <w:bookmarkStart w:id="76" w:name="why-use-a-synthetic-experiment"/>
    <w:p>
      <w:pPr>
        <w:pStyle w:val="Heading2"/>
        <w:keepNext/>
        <w:spacing w:line="480" w:lineRule="auto" w:after="0" w:before="120"/>
        <w:ind w:firstLine="0" w:left="0"/>
      </w:pPr>
      <w:r>
        <w:rPr>
          <w:rFonts w:ascii="Times New Roman" w:hAnsi="Times New Roman" w:eastAsia="Times New Roman"/>
          <w:b/>
          <w:i/>
          <w:sz w:val="24"/>
        </w:rPr>
        <w:t xml:space="preserve">4.1 Why use a synthetic experiment?</w:t>
      </w:r>
    </w:p>
    <w:p>
      <w:pPr>
        <w:pStyle w:val="FirstParagraph"/>
        <w:spacing w:line="480" w:lineRule="auto" w:before="0" w:after="0"/>
        <w:ind w:firstLine="720" w:left="0"/>
      </w:pPr>
      <w:r>
        <w:rPr>
          <w:rFonts w:ascii="Times New Roman" w:hAnsi="Times New Roman" w:eastAsia="Times New Roman"/>
          <w:sz w:val="24"/>
        </w:rPr>
        <w:t xml:space="preserve">The primary variables in the theory are difficult to isolate observationally. External inputs, indigenous outputs, operational requirements, and counterfactual trajectories following withdrawal are rarely observed at comparable temporal and functional granularity. Partner forces also select into foreign assistance non-randomly, donor packages fluctuate with tactical conditions, and withdrawal decisions reflect political calculations.</w:t>
      </w:r>
    </w:p>
    <w:p>
      <w:pPr>
        <w:pStyle w:val="BodyText"/>
        <w:spacing w:line="480" w:lineRule="auto" w:before="0" w:after="0"/>
        <w:ind w:firstLine="720" w:left="0"/>
      </w:pPr>
      <w:r>
        <w:rPr>
          <w:rFonts w:ascii="Times New Roman" w:hAnsi="Times New Roman" w:eastAsia="Times New Roman"/>
          <w:sz w:val="24"/>
        </w:rPr>
        <w:t xml:space="preserve">Pineland functions as a causal laboratory rather than an empirical forecasting engine. It explicitly tracks service flows, enables exact cloning of world states at withdrawal, and allows researchers to manipulate individual assistance components while holding background environments and stochastic sequences constant. This design provides causal identification of mechanisms that remain unobservable in historical records, though it does not directly estimate historical effect magnitudes.</w:t>
      </w:r>
    </w:p>
    <w:bookmarkEnd w:id="76"/>
    <w:bookmarkStart w:id="79" w:name="pineland-partner-force-architecture"/>
    <w:p>
      <w:pPr>
        <w:pStyle w:val="Heading2"/>
        <w:keepNext/>
        <w:spacing w:line="480" w:lineRule="auto" w:after="0" w:before="120"/>
        <w:ind w:firstLine="0" w:left="0"/>
      </w:pPr>
      <w:r>
        <w:rPr>
          <w:rFonts w:ascii="Times New Roman" w:hAnsi="Times New Roman" w:eastAsia="Times New Roman"/>
          <w:b/>
          <w:i/>
          <w:sz w:val="24"/>
        </w:rPr>
        <w:t xml:space="preserve">4.2 Pineland partner-force architecture</w:t>
      </w:r>
    </w:p>
    <w:p>
      <w:pPr>
        <w:pStyle w:val="FirstParagraph"/>
        <w:spacing w:line="480" w:lineRule="auto" w:before="0" w:after="0"/>
        <w:ind w:firstLine="720" w:left="0"/>
      </w:pPr>
      <w:r>
        <w:rPr>
          <w:rFonts w:ascii="Times New Roman" w:hAnsi="Times New Roman" w:eastAsia="Times New Roman"/>
          <w:sz w:val="24"/>
        </w:rPr>
        <w:t xml:space="preserve">Pineland is a partially observed agent-based simulation of insurgency, governance, logistics, command, and foreign assistance, documented under the ODD protocol.</w:t>
      </w:r>
      <w:r>
        <w:rPr>
          <w:rStyle w:val="FootnoteReference"/>
          <w:rFonts w:ascii="Times New Roman" w:hAnsi="Times New Roman" w:eastAsia="Times New Roman"/>
          <w:sz w:val="24"/>
        </w:rPr>
        <w:footnoteReference w:id="77"/>
      </w:r>
      <w:r>
        <w:rPr>
          <w:rFonts w:ascii="Times New Roman" w:hAnsi="Times New Roman" w:eastAsia="Times New Roman"/>
          <w:sz w:val="24"/>
        </w:rPr>
        <w:t xml:space="preserve"> This paper analyzes an embedded partner-force production layer comprising three complementary service channels: force generation, logistics, and command. Each channel tracks demand, indigenous capacity, and external provision in common units.</w:t>
      </w:r>
    </w:p>
    <w:tbl>
      <w:tblPr>
        <w:tblStyle w:val="Table"/>
        <w:tblW w:type="pct" w:w="5000"/>
        <w:tblLayout w:type="fixed"/>
        <w:tblLook w:firstRow="1" w:lastRow="0" w:firstColumn="0" w:lastColumn="0" w:noHBand="0" w:noVBand="0" w:val="0020"/>
        <w:jc w:val="center"/>
        <w:tblBorders>
          <w:top w:val="single" w:sz="12" w:space="0" w:color="000000"/>
          <w:left w:val="none"/>
          <w:bottom w:val="single" w:sz="12" w:space="0" w:color="000000"/>
          <w:right w:val="none"/>
          <w:insideH w:val="none"/>
          <w:insideV w:val="none"/>
        </w:tblBorders>
        <w:tblCellMar>
          <w:top w:w="120" w:type="dxa"/>
          <w:bottom w:w="120" w:type="dxa"/>
          <w:left w:w="160" w:type="dxa"/>
          <w:right w:w="160" w:type="dxa"/>
        </w:tblCellMar>
      </w:tblPr>
      <w:tblGrid>
        <w:gridCol w:w="1980"/>
        <w:gridCol w:w="1980"/>
        <w:gridCol w:w="1980"/>
        <w:gridCol w:w="1980"/>
      </w:tblGrid>
      <w:tr>
        <w:trPr>
          <w:tblHeader w:val="on"/>
          <w:cantSplit/>
          <w:tblHeader/>
        </w:trPr>
        <w:tc>
          <w:tcPr>
            <w:tcBorders>
              <w:bottom w:val="single" w:sz="6" w:space="0" w:color="000000"/>
              <w:top w:val="none"/>
              <w:left w:val="none"/>
              <w:right w:val="none"/>
            </w:tcBorders>
          </w:tcPr>
          <w:p>
            <w:pPr>
              <w:pStyle w:val="Compact"/>
              <w:keepNext/>
              <w:spacing w:line="252" w:lineRule="auto" w:after="40" w:before="40"/>
              <w:ind w:firstLine="0" w:left="0"/>
            </w:pPr>
            <w:r>
              <w:rPr>
                <w:rFonts w:ascii="Times New Roman" w:hAnsi="Times New Roman" w:eastAsia="Times New Roman"/>
                <w:b/>
                <w:sz w:val="19"/>
              </w:rPr>
              <w:t xml:space="preserve">Channel</w:t>
            </w:r>
          </w:p>
        </w:tc>
        <w:tc>
          <w:tcPr>
            <w:tcBorders>
              <w:bottom w:val="single" w:sz="6" w:space="0" w:color="000000"/>
              <w:top w:val="none"/>
              <w:left w:val="none"/>
              <w:right w:val="none"/>
            </w:tcBorders>
          </w:tcPr>
          <w:p>
            <w:pPr>
              <w:pStyle w:val="Compact"/>
              <w:keepNext/>
              <w:spacing w:line="252" w:lineRule="auto" w:after="40" w:before="40"/>
              <w:ind w:firstLine="0" w:left="0"/>
            </w:pPr>
            <w:r>
              <w:rPr>
                <w:rFonts w:ascii="Times New Roman" w:hAnsi="Times New Roman" w:eastAsia="Times New Roman"/>
                <w:b/>
                <w:sz w:val="19"/>
              </w:rPr>
              <w:t xml:space="preserve">Demand Functional Form</w:t>
            </w:r>
          </w:p>
        </w:tc>
        <w:tc>
          <w:tcPr>
            <w:tcBorders>
              <w:bottom w:val="single" w:sz="6" w:space="0" w:color="000000"/>
              <w:top w:val="none"/>
              <w:left w:val="none"/>
              <w:right w:val="none"/>
            </w:tcBorders>
          </w:tcPr>
          <w:p>
            <w:pPr>
              <w:pStyle w:val="Compact"/>
              <w:keepNext/>
              <w:spacing w:line="252" w:lineRule="auto" w:after="40" w:before="40"/>
              <w:ind w:firstLine="0" w:left="0"/>
            </w:pPr>
            <w:r>
              <w:rPr>
                <w:rFonts w:ascii="Times New Roman" w:hAnsi="Times New Roman" w:eastAsia="Times New Roman"/>
                <w:b/>
                <w:sz w:val="19"/>
              </w:rPr>
              <w:t xml:space="preserve">Indigenous Service Form</w:t>
            </w:r>
          </w:p>
        </w:tc>
        <w:tc>
          <w:tcPr>
            <w:tcBorders>
              <w:bottom w:val="single" w:sz="6" w:space="0" w:color="000000"/>
              <w:top w:val="none"/>
              <w:left w:val="none"/>
              <w:right w:val="none"/>
            </w:tcBorders>
          </w:tcPr>
          <w:p>
            <w:pPr>
              <w:pStyle w:val="Compact"/>
              <w:keepNext/>
              <w:spacing w:line="252" w:lineRule="auto" w:after="40" w:before="40"/>
              <w:ind w:firstLine="0" w:left="0"/>
            </w:pPr>
            <w:r>
              <w:rPr>
                <w:rFonts w:ascii="Times New Roman" w:hAnsi="Times New Roman" w:eastAsia="Times New Roman"/>
                <w:b/>
                <w:sz w:val="19"/>
              </w:rPr>
              <w:t xml:space="preserve">External Service Form</w:t>
            </w:r>
          </w:p>
        </w:tc>
      </w:tr>
      <w:tr>
        <w:trPr>
          <w:cantSplit/>
        </w:trPr>
        <w:tc>
          <w:tcPr/>
          <w:p>
            <w:pPr>
              <w:pStyle w:val="Compact"/>
              <w:keepNext/>
              <w:spacing w:line="252" w:lineRule="auto" w:after="40" w:before="40"/>
              <w:ind w:firstLine="0" w:left="0"/>
            </w:pPr>
            <w:r>
              <w:rPr>
                <w:rFonts w:ascii="Times New Roman" w:hAnsi="Times New Roman" w:eastAsia="Times New Roman"/>
                <w:sz w:val="19"/>
              </w:rPr>
              <w:t xml:space="preserve">Force generation</w:t>
            </w:r>
          </w:p>
        </w:tc>
        <w:tc>
          <w:tcPr/>
          <w:p>
            <w:pPr>
              <w:pStyle w:val="Compact"/>
              <w:keepNext/>
              <w:spacing w:line="252" w:lineRule="auto" w:after="40" w:before="40"/>
              <w:ind w:firstLine="0" w:left="0"/>
            </w:pPr>
            <m:oMath>
              <m:sSub>
                <m:e>
                  <m:r>
                    <m:t>D</m:t>
                  </m:r>
                </m:e>
                <m:sub>
                  <m:r>
                    <m:rPr>
                      <m:nor/>
                      <m:sty m:val="p"/>
                    </m:rPr>
                    <m:t>fg</m:t>
                  </m:r>
                </m:sub>
              </m:sSub>
              <m:r>
                <m:rPr>
                  <m:sty m:val="p"/>
                </m:rPr>
                <m:t>=</m:t>
              </m:r>
              <m:sSub>
                <m:e>
                  <m:r>
                    <m:t>L</m:t>
                  </m:r>
                </m:e>
                <m:sub>
                  <m:r>
                    <m:rPr>
                      <m:sty m:val="p"/>
                    </m:rPr>
                    <m:t>Δ</m:t>
                  </m:r>
                  <m:r>
                    <m:t>t</m:t>
                  </m:r>
                </m:sub>
              </m:sSub>
            </m:oMath>
            <w:r>
              <w:rPr>
                <w:rFonts w:ascii="Times New Roman" w:hAnsi="Times New Roman" w:eastAsia="Times New Roman"/>
                <w:sz w:val="19"/>
              </w:rPr>
              <w:t xml:space="preserve"> </w:t>
            </w:r>
            <w:r>
              <w:rPr>
                <w:rFonts w:ascii="Times New Roman" w:hAnsi="Times New Roman" w:eastAsia="Times New Roman"/>
                <w:sz w:val="19"/>
              </w:rPr>
              <w:t xml:space="preserve">(realized military losses)</w:t>
            </w:r>
          </w:p>
        </w:tc>
        <w:tc>
          <w:tcPr/>
          <w:p>
            <w:pPr>
              <w:pStyle w:val="Compact"/>
              <w:keepNext/>
              <w:spacing w:line="252" w:lineRule="auto" w:after="40" w:before="40"/>
              <w:ind w:firstLine="0" w:left="0"/>
            </w:pPr>
            <m:oMath>
              <m:sSub>
                <m:e>
                  <m:r>
                    <m:t>I</m:t>
                  </m:r>
                </m:e>
                <m:sub>
                  <m:r>
                    <m:rPr>
                      <m:nor/>
                      <m:sty m:val="p"/>
                    </m:rPr>
                    <m:t>fg</m:t>
                  </m:r>
                </m:sub>
              </m:sSub>
              <m:r>
                <m:rPr>
                  <m:sty m:val="p"/>
                </m:rPr>
                <m:t>=</m:t>
              </m:r>
              <m:sSub>
                <m:e>
                  <m:r>
                    <m:t>μ</m:t>
                  </m:r>
                </m:e>
                <m:sub>
                  <m:r>
                    <m:rPr>
                      <m:nor/>
                      <m:sty m:val="p"/>
                    </m:rPr>
                    <m:t>fg</m:t>
                  </m:r>
                </m:sub>
              </m:sSub>
              <m:sSub>
                <m:e>
                  <m:r>
                    <m:t>K</m:t>
                  </m:r>
                </m:e>
                <m:sub>
                  <m:r>
                    <m:rPr>
                      <m:nor/>
                      <m:sty m:val="p"/>
                    </m:rPr>
                    <m:t>fg</m:t>
                  </m:r>
                </m:sub>
              </m:sSub>
            </m:oMath>
            <w:r>
              <w:rPr>
                <w:rFonts w:ascii="Times New Roman" w:hAnsi="Times New Roman" w:eastAsia="Times New Roman"/>
                <w:sz w:val="19"/>
              </w:rPr>
              <w:t xml:space="preserve"> </w:t>
            </w:r>
            <w:r>
              <w:rPr>
                <w:rFonts w:ascii="Times New Roman" w:hAnsi="Times New Roman" w:eastAsia="Times New Roman"/>
                <w:sz w:val="19"/>
              </w:rPr>
              <w:t xml:space="preserve">(training pipeline throughput)</w:t>
            </w:r>
          </w:p>
        </w:tc>
        <w:tc>
          <w:tcPr/>
          <w:p>
            <w:pPr>
              <w:pStyle w:val="Compact"/>
              <w:keepNext/>
              <w:spacing w:line="252" w:lineRule="auto" w:after="40" w:before="40"/>
              <w:ind w:firstLine="0" w:left="0"/>
            </w:pPr>
            <m:oMath>
              <m:sSub>
                <m:e>
                  <m:r>
                    <m:t>E</m:t>
                  </m:r>
                </m:e>
                <m:sub>
                  <m:r>
                    <m:rPr>
                      <m:nor/>
                      <m:sty m:val="p"/>
                    </m:rPr>
                    <m:t>fg</m:t>
                  </m:r>
                </m:sub>
              </m:sSub>
            </m:oMath>
            <w:r>
              <w:rPr>
                <w:rFonts w:ascii="Times New Roman" w:hAnsi="Times New Roman" w:eastAsia="Times New Roman"/>
                <w:sz w:val="19"/>
              </w:rPr>
              <w:t xml:space="preserve"> </w:t>
            </w:r>
            <w:r>
              <w:rPr>
                <w:rFonts w:ascii="Times New Roman" w:hAnsi="Times New Roman" w:eastAsia="Times New Roman"/>
                <w:sz w:val="19"/>
              </w:rPr>
              <w:t xml:space="preserve">(externally enabled incremental graduates)</w:t>
            </w:r>
          </w:p>
        </w:tc>
      </w:tr>
      <w:tr>
        <w:trPr>
          <w:cantSplit/>
        </w:trPr>
        <w:tc>
          <w:tcPr/>
          <w:p>
            <w:pPr>
              <w:pStyle w:val="Compact"/>
              <w:keepNext/>
              <w:spacing w:line="252" w:lineRule="auto" w:after="40" w:before="40"/>
              <w:ind w:firstLine="0" w:left="0"/>
            </w:pPr>
            <w:r>
              <w:rPr>
                <w:rFonts w:ascii="Times New Roman" w:hAnsi="Times New Roman" w:eastAsia="Times New Roman"/>
                <w:sz w:val="19"/>
              </w:rPr>
              <w:t xml:space="preserve">Logistics</w:t>
            </w:r>
          </w:p>
        </w:tc>
        <w:tc>
          <w:tcPr/>
          <w:p>
            <w:pPr>
              <w:pStyle w:val="Compact"/>
              <w:keepNext/>
              <w:spacing w:line="252" w:lineRule="auto" w:after="40" w:before="40"/>
              <w:ind w:firstLine="0" w:left="0"/>
            </w:pPr>
            <m:oMath>
              <m:sSub>
                <m:e>
                  <m:r>
                    <m:t>D</m:t>
                  </m:r>
                </m:e>
                <m:sub>
                  <m:r>
                    <m:rPr>
                      <m:nor/>
                      <m:sty m:val="p"/>
                    </m:rPr>
                    <m:t>log</m:t>
                  </m:r>
                </m:sub>
              </m:sSub>
              <m:r>
                <m:rPr>
                  <m:sty m:val="p"/>
                </m:rPr>
                <m:t>=</m:t>
              </m:r>
              <m:nary>
                <m:naryPr>
                  <m:chr m:val="∑"/>
                  <m:limLoc m:val="undOvr"/>
                  <m:subHide m:val="off"/>
                  <m:supHide m:val="on"/>
                </m:naryPr>
                <m:sub>
                  <m:r>
                    <m:t>t</m:t>
                  </m:r>
                </m:sub>
                <m:sup>
                  <m:r>
                    <m:t>​</m:t>
                  </m:r>
                </m:sup>
                <m:e>
                  <m:r>
                    <m:rPr>
                      <m:sty m:val="p"/>
                    </m:rPr>
                    <m:t>(</m:t>
                  </m:r>
                </m:e>
              </m:nary>
              <m:sSub>
                <m:e>
                  <m:r>
                    <m:t>c</m:t>
                  </m:r>
                </m:e>
                <m:sub>
                  <m:r>
                    <m:rPr>
                      <m:nor/>
                      <m:sty m:val="p"/>
                    </m:rPr>
                    <m:t>pres</m:t>
                  </m:r>
                </m:sub>
              </m:sSub>
              <m:sSub>
                <m:e>
                  <m:r>
                    <m:t>P</m:t>
                  </m:r>
                </m:e>
                <m:sub>
                  <m:r>
                    <m:t>t</m:t>
                  </m:r>
                </m:sub>
              </m:sSub>
              <m:r>
                <m:rPr>
                  <m:sty m:val="p"/>
                </m:rPr>
                <m:t>Δ</m:t>
              </m:r>
              <m:r>
                <m:t>t</m:t>
              </m:r>
              <m:r>
                <m:rPr>
                  <m:sty m:val="p"/>
                </m:rPr>
                <m:t>+</m:t>
              </m:r>
              <m:sSub>
                <m:e>
                  <m:r>
                    <m:t>c</m:t>
                  </m:r>
                </m:e>
                <m:sub>
                  <m:r>
                    <m:rPr>
                      <m:nor/>
                      <m:sty m:val="p"/>
                    </m:rPr>
                    <m:t>move</m:t>
                  </m:r>
                </m:sub>
              </m:sSub>
              <m:sSub>
                <m:e>
                  <m:r>
                    <m:t>M</m:t>
                  </m:r>
                </m:e>
                <m:sub>
                  <m:r>
                    <m:t>t</m:t>
                  </m:r>
                </m:sub>
              </m:sSub>
              <m:r>
                <m:rPr>
                  <m:sty m:val="p"/>
                </m:rPr>
                <m:t>+</m:t>
              </m:r>
              <m:sSub>
                <m:e>
                  <m:r>
                    <m:t>c</m:t>
                  </m:r>
                </m:e>
                <m:sub>
                  <m:r>
                    <m:rPr>
                      <m:nor/>
                      <m:sty m:val="p"/>
                    </m:rPr>
                    <m:t>patrol</m:t>
                  </m:r>
                </m:sub>
              </m:sSub>
              <m:sSubSup>
                <m:e>
                  <m:r>
                    <m:t>H</m:t>
                  </m:r>
                </m:e>
                <m:sub>
                  <m:r>
                    <m:t>t</m:t>
                  </m:r>
                </m:sub>
                <m:sup>
                  <m:r>
                    <m:rPr>
                      <m:nor/>
                      <m:sty m:val="p"/>
                    </m:rPr>
                    <m:t>patrol</m:t>
                  </m:r>
                </m:sup>
              </m:sSubSup>
              <m:r>
                <m:rPr>
                  <m:sty m:val="p"/>
                </m:rPr>
                <m:t>+</m:t>
              </m:r>
              <m:sSub>
                <m:e>
                  <m:r>
                    <m:t>c</m:t>
                  </m:r>
                </m:e>
                <m:sub>
                  <m:r>
                    <m:rPr>
                      <m:nor/>
                      <m:sty m:val="p"/>
                    </m:rPr>
                    <m:t>combat</m:t>
                  </m:r>
                </m:sub>
              </m:sSub>
              <m:sSubSup>
                <m:e>
                  <m:r>
                    <m:t>H</m:t>
                  </m:r>
                </m:e>
                <m:sub>
                  <m:r>
                    <m:t>t</m:t>
                  </m:r>
                </m:sub>
                <m:sup>
                  <m:r>
                    <m:rPr>
                      <m:nor/>
                      <m:sty m:val="p"/>
                    </m:rPr>
                    <m:t>combat</m:t>
                  </m:r>
                </m:sup>
              </m:sSubSup>
              <m:r>
                <m:rPr>
                  <m:sty m:val="p"/>
                </m:rPr>
                <m:t>)</m:t>
              </m:r>
            </m:oMath>
          </w:p>
        </w:tc>
        <w:tc>
          <w:tcPr/>
          <w:p>
            <w:pPr>
              <w:pStyle w:val="Compact"/>
              <w:keepNext/>
              <w:spacing w:line="252" w:lineRule="auto" w:after="40" w:before="40"/>
              <w:ind w:firstLine="0" w:left="0"/>
            </w:pPr>
            <m:oMath>
              <m:sSub>
                <m:e>
                  <m:r>
                    <m:t>I</m:t>
                  </m:r>
                </m:e>
                <m:sub>
                  <m:r>
                    <m:rPr>
                      <m:nor/>
                      <m:sty m:val="p"/>
                    </m:rPr>
                    <m:t>log</m:t>
                  </m:r>
                </m:sub>
              </m:sSub>
              <m:r>
                <m:rPr>
                  <m:sty m:val="p"/>
                </m:rPr>
                <m:t>=</m:t>
              </m:r>
              <m:r>
                <m:rPr>
                  <m:sty m:val="p"/>
                </m:rPr>
                <m:t>min</m:t>
              </m:r>
              <m:r>
                <m:rPr>
                  <m:sty m:val="p"/>
                </m:rPr>
                <m:t>(</m:t>
              </m:r>
              <m:sSubSup>
                <m:e>
                  <m:r>
                    <m:t>S</m:t>
                  </m:r>
                </m:e>
                <m:sub>
                  <m:r>
                    <m:t>t</m:t>
                  </m:r>
                </m:sub>
                <m:sup>
                  <m:r>
                    <m:rPr>
                      <m:nor/>
                      <m:sty m:val="p"/>
                    </m:rPr>
                    <m:t>depot</m:t>
                  </m:r>
                </m:sup>
              </m:sSubSup>
              <m:r>
                <m:rPr>
                  <m:sty m:val="p"/>
                </m:rPr>
                <m:t>,</m:t>
              </m:r>
              <m:sSub>
                <m:e>
                  <m:r>
                    <m:t>μ</m:t>
                  </m:r>
                </m:e>
                <m:sub>
                  <m:r>
                    <m:rPr>
                      <m:nor/>
                      <m:sty m:val="p"/>
                    </m:rPr>
                    <m:t>log</m:t>
                  </m:r>
                </m:sub>
              </m:sSub>
              <m:sSub>
                <m:e>
                  <m:r>
                    <m:t>K</m:t>
                  </m:r>
                </m:e>
                <m:sub>
                  <m:r>
                    <m:rPr>
                      <m:nor/>
                      <m:sty m:val="p"/>
                    </m:rPr>
                    <m:t>log</m:t>
                  </m:r>
                </m:sub>
              </m:sSub>
              <m:r>
                <m:rPr>
                  <m:sty m:val="p"/>
                </m:rPr>
                <m:t>)</m:t>
              </m:r>
            </m:oMath>
            <w:r>
              <w:rPr>
                <w:rFonts w:ascii="Times New Roman" w:hAnsi="Times New Roman" w:eastAsia="Times New Roman"/>
                <w:sz w:val="19"/>
              </w:rPr>
              <w:t xml:space="preserve"> </w:t>
            </w:r>
            <w:r>
              <w:rPr>
                <w:rFonts w:ascii="Times New Roman" w:hAnsi="Times New Roman" w:eastAsia="Times New Roman"/>
                <w:sz w:val="19"/>
              </w:rPr>
              <w:t xml:space="preserve">(depot deliveries)</w:t>
            </w:r>
          </w:p>
        </w:tc>
        <w:tc>
          <w:tcPr/>
          <w:p>
            <w:pPr>
              <w:pStyle w:val="Compact"/>
              <w:keepNext/>
              <w:spacing w:line="252" w:lineRule="auto" w:after="40" w:before="40"/>
              <w:ind w:firstLine="0" w:left="0"/>
            </w:pPr>
            <m:oMath>
              <m:sSub>
                <m:e>
                  <m:r>
                    <m:t>E</m:t>
                  </m:r>
                </m:e>
                <m:sub>
                  <m:r>
                    <m:rPr>
                      <m:nor/>
                      <m:sty m:val="p"/>
                    </m:rPr>
                    <m:t>log</m:t>
                  </m:r>
                </m:sub>
              </m:sSub>
            </m:oMath>
            <w:r>
              <w:rPr>
                <w:rFonts w:ascii="Times New Roman" w:hAnsi="Times New Roman" w:eastAsia="Times New Roman"/>
                <w:sz w:val="19"/>
              </w:rPr>
              <w:t xml:space="preserve"> </w:t>
            </w:r>
            <w:r>
              <w:rPr>
                <w:rFonts w:ascii="Times New Roman" w:hAnsi="Times New Roman" w:eastAsia="Times New Roman"/>
                <w:sz w:val="19"/>
              </w:rPr>
              <w:t xml:space="preserve">(direct external logistics delivered)</w:t>
            </w:r>
          </w:p>
        </w:tc>
      </w:tr>
      <w:tr>
        <w:trPr>
          <w:cantSplit/>
        </w:trPr>
        <w:tc>
          <w:tcPr/>
          <w:p>
            <w:pPr>
              <w:pStyle w:val="Compact"/>
              <w:spacing w:line="252" w:lineRule="auto" w:after="40" w:before="40"/>
              <w:ind w:firstLine="0" w:left="0"/>
            </w:pPr>
            <w:r>
              <w:rPr>
                <w:rFonts w:ascii="Times New Roman" w:hAnsi="Times New Roman" w:eastAsia="Times New Roman"/>
                <w:sz w:val="19"/>
              </w:rPr>
              <w:t xml:space="preserve">Command</w:t>
            </w:r>
          </w:p>
        </w:tc>
        <w:tc>
          <w:tcPr/>
          <w:p>
            <w:pPr>
              <w:pStyle w:val="Compact"/>
              <w:spacing w:line="252" w:lineRule="auto" w:after="40" w:before="40"/>
              <w:ind w:firstLine="0" w:left="0"/>
            </w:pPr>
            <m:oMath>
              <m:sSub>
                <m:e>
                  <m:r>
                    <m:t>D</m:t>
                  </m:r>
                </m:e>
                <m:sub>
                  <m:r>
                    <m:rPr>
                      <m:nor/>
                      <m:sty m:val="p"/>
                    </m:rPr>
                    <m:t>cmd</m:t>
                  </m:r>
                </m:sub>
              </m:sSub>
              <m:r>
                <m:rPr>
                  <m:sty m:val="p"/>
                </m:rPr>
                <m:t>=</m:t>
              </m:r>
              <m:r>
                <m:t>κ</m:t>
              </m:r>
              <m:sSub>
                <m:e>
                  <m:r>
                    <m:t>O</m:t>
                  </m:r>
                </m:e>
                <m:sub>
                  <m:r>
                    <m:rPr>
                      <m:sty m:val="p"/>
                    </m:rPr>
                    <m:t>Δ</m:t>
                  </m:r>
                  <m:r>
                    <m:t>t</m:t>
                  </m:r>
                </m:sub>
              </m:sSub>
            </m:oMath>
            <w:r>
              <w:rPr>
                <w:rFonts w:ascii="Times New Roman" w:hAnsi="Times New Roman" w:eastAsia="Times New Roman"/>
                <w:sz w:val="19"/>
              </w:rPr>
              <w:t xml:space="preserve"> </w:t>
            </w:r>
            <w:r>
              <w:rPr>
                <w:rFonts w:ascii="Times New Roman" w:hAnsi="Times New Roman" w:eastAsia="Times New Roman"/>
                <w:sz w:val="19"/>
              </w:rPr>
              <w:t xml:space="preserve">(</w:t>
            </w:r>
            <m:oMath>
              <m:r>
                <m:t>κ</m:t>
              </m:r>
              <m:r>
                <m:rPr>
                  <m:sty m:val="p"/>
                </m:rPr>
                <m:t>=</m:t>
              </m:r>
              <m:r>
                <m:t>0.5</m:t>
              </m:r>
            </m:oMath>
            <w:r>
              <w:rPr>
                <w:rFonts w:ascii="Times New Roman" w:hAnsi="Times New Roman" w:eastAsia="Times New Roman"/>
                <w:sz w:val="19"/>
              </w:rPr>
              <w:t xml:space="preserve"> </w:t>
            </w:r>
            <w:r>
              <w:rPr>
                <w:rFonts w:ascii="Times New Roman" w:hAnsi="Times New Roman" w:eastAsia="Times New Roman"/>
                <w:sz w:val="19"/>
              </w:rPr>
              <w:t xml:space="preserve">per order opportunity)</w:t>
            </w:r>
          </w:p>
        </w:tc>
        <w:tc>
          <w:tcPr/>
          <w:p>
            <w:pPr>
              <w:pStyle w:val="Compact"/>
              <w:spacing w:line="252" w:lineRule="auto" w:after="40" w:before="40"/>
              <w:ind w:firstLine="0" w:left="0"/>
            </w:pPr>
            <m:oMath>
              <m:sSub>
                <m:e>
                  <m:r>
                    <m:t>I</m:t>
                  </m:r>
                </m:e>
                <m:sub>
                  <m:r>
                    <m:rPr>
                      <m:nor/>
                      <m:sty m:val="p"/>
                    </m:rPr>
                    <m:t>cmd</m:t>
                  </m:r>
                </m:sub>
              </m:sSub>
              <m:r>
                <m:rPr>
                  <m:sty m:val="p"/>
                </m:rPr>
                <m:t>=</m:t>
              </m:r>
              <m:sSub>
                <m:e>
                  <m:r>
                    <m:t>μ</m:t>
                  </m:r>
                </m:e>
                <m:sub>
                  <m:r>
                    <m:rPr>
                      <m:nor/>
                      <m:sty m:val="p"/>
                    </m:rPr>
                    <m:t>cmd</m:t>
                  </m:r>
                </m:sub>
              </m:sSub>
              <m:sSub>
                <m:e>
                  <m:r>
                    <m:t>O</m:t>
                  </m:r>
                </m:e>
                <m:sub>
                  <m:r>
                    <m:rPr>
                      <m:sty m:val="p"/>
                    </m:rPr>
                    <m:t>Δ</m:t>
                  </m:r>
                  <m:r>
                    <m:t>t</m:t>
                  </m:r>
                </m:sub>
              </m:sSub>
            </m:oMath>
            <w:r>
              <w:rPr>
                <w:rFonts w:ascii="Times New Roman" w:hAnsi="Times New Roman" w:eastAsia="Times New Roman"/>
                <w:sz w:val="19"/>
              </w:rPr>
              <w:t xml:space="preserve"> </w:t>
            </w:r>
            <w:r>
              <w:rPr>
                <w:rFonts w:ascii="Times New Roman" w:hAnsi="Times New Roman" w:eastAsia="Times New Roman"/>
                <w:sz w:val="19"/>
              </w:rPr>
              <w:t xml:space="preserve">(indigenous headquarters execution)</w:t>
            </w:r>
          </w:p>
        </w:tc>
        <w:tc>
          <w:tcPr/>
          <w:p>
            <w:pPr>
              <w:pStyle w:val="Compact"/>
              <w:spacing w:line="252" w:lineRule="auto" w:after="40" w:before="40"/>
              <w:ind w:firstLine="0" w:left="0"/>
            </w:pPr>
            <m:oMath>
              <m:sSub>
                <m:e>
                  <m:r>
                    <m:t>E</m:t>
                  </m:r>
                </m:e>
                <m:sub>
                  <m:r>
                    <m:rPr>
                      <m:nor/>
                      <m:sty m:val="p"/>
                    </m:rPr>
                    <m:t>cmd</m:t>
                  </m:r>
                </m:sub>
              </m:sSub>
            </m:oMath>
            <w:r>
              <w:rPr>
                <w:rFonts w:ascii="Times New Roman" w:hAnsi="Times New Roman" w:eastAsia="Times New Roman"/>
                <w:sz w:val="19"/>
              </w:rPr>
              <w:t xml:space="preserve"> </w:t>
            </w:r>
            <w:r>
              <w:rPr>
                <w:rFonts w:ascii="Times New Roman" w:hAnsi="Times New Roman" w:eastAsia="Times New Roman"/>
                <w:sz w:val="19"/>
              </w:rPr>
              <w:t xml:space="preserve">(external advisory / C2 service)</w:t>
            </w:r>
          </w:p>
        </w:tc>
      </w:tr>
    </w:tbl>
    <w:p>
      <w:pPr>
        <w:pStyle w:val="BodyText"/>
        <w:spacing w:line="480" w:lineRule="auto" w:before="0" w:after="0"/>
        <w:ind w:firstLine="720" w:left="0"/>
      </w:pPr>
      <w:r>
        <w:rPr>
          <w:rFonts w:ascii="Times New Roman" w:hAnsi="Times New Roman" w:eastAsia="Times New Roman"/>
          <w:sz w:val="24"/>
        </w:rPr>
        <w:t xml:space="preserve">Structural coverage is evaluated across active channels with positive demand (</w:t>
      </w:r>
      <m:oMath>
        <m:sSub>
          <m:e>
            <m:r>
              <m:t>D</m:t>
            </m:r>
          </m:e>
          <m:sub>
            <m:r>
              <m:t>j</m:t>
            </m:r>
          </m:sub>
        </m:sSub>
        <m:r>
          <m:rPr>
            <m:sty m:val="p"/>
          </m:rPr>
          <m:t>&gt;</m:t>
        </m:r>
        <m:r>
          <m:t>0</m:t>
        </m:r>
      </m:oMath>
      <w:r>
        <w:rPr>
          <w:rFonts w:ascii="Times New Roman" w:hAnsi="Times New Roman" w:eastAsia="Times New Roman"/>
          <w:sz w:val="24"/>
        </w:rPr>
        <w:t xml:space="preserve">). The binding bottleneck is the active channel with the lowest indigenous coverage ratio:</w:t>
      </w:r>
    </w:p>
    <w:p>
      <w:pPr>
        <w:pStyle w:val="BodyText"/>
      </w:pPr>
      <m:oMathPara>
        <m:oMathParaPr>
          <m:jc m:val="center"/>
        </m:oMathParaPr>
        <m:oMath>
          <m:sSup>
            <m:e>
              <m:r>
                <m:t>q</m:t>
              </m:r>
            </m:e>
            <m:sup>
              <m:r>
                <m:t>I</m:t>
              </m:r>
            </m:sup>
          </m:sSup>
          <m:r>
            <m:rPr>
              <m:sty m:val="p"/>
            </m:rPr>
            <m:t>=</m:t>
          </m:r>
          <m:limLow>
            <m:e>
              <m:r>
                <m:rPr>
                  <m:sty m:val="p"/>
                </m:rPr>
                <m:t>min</m:t>
              </m:r>
            </m:e>
            <m:lim>
              <m:r>
                <m:t>j</m:t>
              </m:r>
              <m:r>
                <m:rPr>
                  <m:sty m:val="p"/>
                </m:rPr>
                <m:t>∈</m:t>
              </m:r>
              <m:r>
                <m:rPr>
                  <m:sty m:val="p"/>
                </m:rPr>
                <m:t>{</m:t>
              </m:r>
              <m:r>
                <m:rPr>
                  <m:nor/>
                  <m:sty m:val="p"/>
                </m:rPr>
                <m:t>fg</m:t>
              </m:r>
              <m:r>
                <m:rPr>
                  <m:sty m:val="p"/>
                </m:rPr>
                <m:t>,</m:t>
              </m:r>
              <m:r>
                <m:rPr>
                  <m:nor/>
                  <m:sty m:val="p"/>
                </m:rPr>
                <m:t>log</m:t>
              </m:r>
              <m:r>
                <m:rPr>
                  <m:sty m:val="p"/>
                </m:rPr>
                <m:t>,</m:t>
              </m:r>
              <m:r>
                <m:rPr>
                  <m:nor/>
                  <m:sty m:val="p"/>
                </m:rPr>
                <m:t>cmd</m:t>
              </m:r>
              <m:r>
                <m:rPr>
                  <m:sty m:val="p"/>
                </m:rPr>
                <m:t>}</m:t>
              </m:r>
            </m:lim>
          </m:limLow>
          <m:f>
            <m:fPr>
              <m:type m:val="bar"/>
            </m:fPr>
            <m:num>
              <m:sSub>
                <m:e>
                  <m:r>
                    <m:t>I</m:t>
                  </m:r>
                </m:e>
                <m:sub>
                  <m:r>
                    <m:t>j</m:t>
                  </m:r>
                </m:sub>
              </m:sSub>
            </m:num>
            <m:den>
              <m:sSub>
                <m:e>
                  <m:r>
                    <m:t>D</m:t>
                  </m:r>
                </m:e>
                <m:sub>
                  <m:r>
                    <m:t>j</m:t>
                  </m:r>
                </m:sub>
              </m:sSub>
            </m:den>
          </m:f>
          <m:r>
            <m:rPr>
              <m:sty m:val="p"/>
            </m:rPr>
            <m:t>,</m:t>
          </m:r>
          <m:r>
            <m:t>  </m:t>
          </m:r>
          <m:r>
            <m:t>B</m:t>
          </m:r>
          <m:r>
            <m:rPr>
              <m:sty m:val="p"/>
            </m:rPr>
            <m:t>=</m:t>
          </m:r>
          <m:r>
            <m:rPr>
              <m:sty m:val="p"/>
            </m:rPr>
            <m:t>arg</m:t>
          </m:r>
          <m:limLow>
            <m:e>
              <m:r>
                <m:rPr>
                  <m:sty m:val="p"/>
                </m:rPr>
                <m:t>min</m:t>
              </m:r>
            </m:e>
            <m:lim>
              <m:r>
                <m:t>j</m:t>
              </m:r>
            </m:lim>
          </m:limLow>
          <m:f>
            <m:fPr>
              <m:type m:val="bar"/>
            </m:fPr>
            <m:num>
              <m:sSub>
                <m:e>
                  <m:r>
                    <m:t>I</m:t>
                  </m:r>
                </m:e>
                <m:sub>
                  <m:r>
                    <m:t>j</m:t>
                  </m:r>
                </m:sub>
              </m:sSub>
            </m:num>
            <m:den>
              <m:sSub>
                <m:e>
                  <m:r>
                    <m:t>D</m:t>
                  </m:r>
                </m:e>
                <m:sub>
                  <m:r>
                    <m:t>j</m:t>
                  </m:r>
                </m:sub>
              </m:sSub>
            </m:den>
          </m:f>
          <m:r>
            <m:rPr>
              <m:sty m:val="p"/>
            </m:rPr>
            <m:t>.</m:t>
          </m:r>
        </m:oMath>
      </m:oMathPara>
    </w:p>
    <w:p>
      <w:pPr>
        <w:pStyle w:val="FirstParagraph"/>
        <w:spacing w:line="480" w:lineRule="auto" w:before="0" w:after="0"/>
        <w:ind w:firstLine="720" w:left="0"/>
      </w:pPr>
      <w:r>
        <w:rPr>
          <w:rFonts w:ascii="Times New Roman" w:hAnsi="Times New Roman" w:eastAsia="Times New Roman"/>
          <w:sz w:val="24"/>
        </w:rPr>
        <w:t xml:space="preserve">Logistics demand</w:t>
      </w:r>
      <w:r>
        <w:rPr>
          <w:rFonts w:ascii="Times New Roman" w:hAnsi="Times New Roman" w:eastAsia="Times New Roman"/>
          <w:sz w:val="24"/>
        </w:rPr>
        <w:t xml:space="preserve"> </w:t>
      </w:r>
      <m:oMath>
        <m:sSub>
          <m:e>
            <m:r>
              <m:t>D</m:t>
            </m:r>
          </m:e>
          <m:sub>
            <m:r>
              <m:rPr>
                <m:nor/>
                <m:sty m:val="p"/>
              </m:rPr>
              <m:t>log</m:t>
            </m:r>
          </m:sub>
        </m:sSub>
        <m:r>
          <m:rPr>
            <m:sty m:val="p"/>
          </m:rPr>
          <m:t>=</m:t>
        </m:r>
        <m:sSub>
          <m:e>
            <m:r>
              <m:t>g</m:t>
            </m:r>
          </m:e>
          <m:sub>
            <m:r>
              <m:rPr>
                <m:nor/>
                <m:sty m:val="p"/>
              </m:rPr>
              <m:t>log</m:t>
            </m:r>
          </m:sub>
        </m:sSub>
        <m:r>
          <m:rPr>
            <m:sty m:val="p"/>
          </m:rPr>
          <m:t>(</m:t>
        </m:r>
        <m:sSup>
          <m:e>
            <m:r>
              <m:t>C</m:t>
            </m:r>
          </m:e>
          <m:sup>
            <m:r>
              <m:t>S</m:t>
            </m:r>
          </m:sup>
        </m:sSup>
        <m:r>
          <m:rPr>
            <m:sty m:val="p"/>
          </m:rPr>
          <m:t>)</m:t>
        </m:r>
      </m:oMath>
      <w:r>
        <w:rPr>
          <w:rFonts w:ascii="Times New Roman" w:hAnsi="Times New Roman" w:eastAsia="Times New Roman"/>
          <w:sz w:val="24"/>
        </w:rPr>
        <w:t xml:space="preserve"> </w:t>
      </w:r>
      <w:r>
        <w:rPr>
          <w:rFonts w:ascii="Times New Roman" w:hAnsi="Times New Roman" w:eastAsia="Times New Roman"/>
          <w:sz w:val="24"/>
        </w:rPr>
        <w:t xml:space="preserve">is endogenous, accumulating through presence consumption (</w:t>
      </w:r>
      <m:oMath>
        <m:sSub>
          <m:e>
            <m:r>
              <m:t>c</m:t>
            </m:r>
          </m:e>
          <m:sub>
            <m:r>
              <m:rPr>
                <m:nor/>
                <m:sty m:val="p"/>
              </m:rPr>
              <m:t>pres</m:t>
            </m:r>
          </m:sub>
        </m:sSub>
      </m:oMath>
      <w:r>
        <w:rPr>
          <w:rFonts w:ascii="Times New Roman" w:hAnsi="Times New Roman" w:eastAsia="Times New Roman"/>
          <w:sz w:val="24"/>
        </w:rPr>
        <w:t xml:space="preserve"> </w:t>
      </w:r>
      <w:r>
        <w:rPr>
          <w:rFonts w:ascii="Times New Roman" w:hAnsi="Times New Roman" w:eastAsia="Times New Roman"/>
          <w:sz w:val="24"/>
        </w:rPr>
        <w:t xml:space="preserve">per person-day for active forces</w:t>
      </w:r>
      <w:r>
        <w:rPr>
          <w:rFonts w:ascii="Times New Roman" w:hAnsi="Times New Roman" w:eastAsia="Times New Roman"/>
          <w:sz w:val="24"/>
        </w:rPr>
        <w:t xml:space="preserve"> </w:t>
      </w:r>
      <m:oMath>
        <m:sSub>
          <m:e>
            <m:r>
              <m:t>P</m:t>
            </m:r>
          </m:e>
          <m:sub>
            <m:r>
              <m:t>t</m:t>
            </m:r>
          </m:sub>
        </m:sSub>
      </m:oMath>
      <w:r>
        <w:rPr>
          <w:rFonts w:ascii="Times New Roman" w:hAnsi="Times New Roman" w:eastAsia="Times New Roman"/>
          <w:sz w:val="24"/>
        </w:rPr>
        <w:t xml:space="preserve">), movement (</w:t>
      </w:r>
      <m:oMath>
        <m:sSub>
          <m:e>
            <m:r>
              <m:t>c</m:t>
            </m:r>
          </m:e>
          <m:sub>
            <m:r>
              <m:rPr>
                <m:nor/>
                <m:sty m:val="p"/>
              </m:rPr>
              <m:t>move</m:t>
            </m:r>
          </m:sub>
        </m:sSub>
      </m:oMath>
      <w:r>
        <w:rPr>
          <w:rFonts w:ascii="Times New Roman" w:hAnsi="Times New Roman" w:eastAsia="Times New Roman"/>
          <w:sz w:val="24"/>
        </w:rPr>
        <w:t xml:space="preserve"> </w:t>
      </w:r>
      <w:r>
        <w:rPr>
          <w:rFonts w:ascii="Times New Roman" w:hAnsi="Times New Roman" w:eastAsia="Times New Roman"/>
          <w:sz w:val="24"/>
        </w:rPr>
        <w:t xml:space="preserve">per person-km for maneuvers</w:t>
      </w:r>
      <w:r>
        <w:rPr>
          <w:rFonts w:ascii="Times New Roman" w:hAnsi="Times New Roman" w:eastAsia="Times New Roman"/>
          <w:sz w:val="24"/>
        </w:rPr>
        <w:t xml:space="preserve"> </w:t>
      </w:r>
      <m:oMath>
        <m:sSub>
          <m:e>
            <m:r>
              <m:t>M</m:t>
            </m:r>
          </m:e>
          <m:sub>
            <m:r>
              <m:t>t</m:t>
            </m:r>
          </m:sub>
        </m:sSub>
      </m:oMath>
      <w:r>
        <w:rPr>
          <w:rFonts w:ascii="Times New Roman" w:hAnsi="Times New Roman" w:eastAsia="Times New Roman"/>
          <w:sz w:val="24"/>
        </w:rPr>
        <w:t xml:space="preserve">), patrols (</w:t>
      </w:r>
      <m:oMath>
        <m:sSub>
          <m:e>
            <m:r>
              <m:t>c</m:t>
            </m:r>
          </m:e>
          <m:sub>
            <m:r>
              <m:rPr>
                <m:nor/>
                <m:sty m:val="p"/>
              </m:rPr>
              <m:t>patrol</m:t>
            </m:r>
          </m:sub>
        </m:sSub>
      </m:oMath>
      <w:r>
        <w:rPr>
          <w:rFonts w:ascii="Times New Roman" w:hAnsi="Times New Roman" w:eastAsia="Times New Roman"/>
          <w:sz w:val="24"/>
        </w:rPr>
        <w:t xml:space="preserve"> </w:t>
      </w:r>
      <w:r>
        <w:rPr>
          <w:rFonts w:ascii="Times New Roman" w:hAnsi="Times New Roman" w:eastAsia="Times New Roman"/>
          <w:sz w:val="24"/>
        </w:rPr>
        <w:t xml:space="preserve">per patrol hour</w:t>
      </w:r>
      <w:r>
        <w:rPr>
          <w:rFonts w:ascii="Times New Roman" w:hAnsi="Times New Roman" w:eastAsia="Times New Roman"/>
          <w:sz w:val="24"/>
        </w:rPr>
        <w:t xml:space="preserve"> </w:t>
      </w:r>
      <m:oMath>
        <m:sSubSup>
          <m:e>
            <m:r>
              <m:t>H</m:t>
            </m:r>
          </m:e>
          <m:sub>
            <m:r>
              <m:t>t</m:t>
            </m:r>
          </m:sub>
          <m:sup>
            <m:r>
              <m:rPr>
                <m:nor/>
                <m:sty m:val="p"/>
              </m:rPr>
              <m:t>patrol</m:t>
            </m:r>
          </m:sup>
        </m:sSubSup>
      </m:oMath>
      <w:r>
        <w:rPr>
          <w:rFonts w:ascii="Times New Roman" w:hAnsi="Times New Roman" w:eastAsia="Times New Roman"/>
          <w:sz w:val="24"/>
        </w:rPr>
        <w:t xml:space="preserve">), and combat consumption (</w:t>
      </w:r>
      <m:oMath>
        <m:sSub>
          <m:e>
            <m:r>
              <m:t>c</m:t>
            </m:r>
          </m:e>
          <m:sub>
            <m:r>
              <m:rPr>
                <m:nor/>
                <m:sty m:val="p"/>
              </m:rPr>
              <m:t>combat</m:t>
            </m:r>
          </m:sub>
        </m:sSub>
      </m:oMath>
      <w:r>
        <w:rPr>
          <w:rFonts w:ascii="Times New Roman" w:hAnsi="Times New Roman" w:eastAsia="Times New Roman"/>
          <w:sz w:val="24"/>
        </w:rPr>
        <w:t xml:space="preserve"> </w:t>
      </w:r>
      <w:r>
        <w:rPr>
          <w:rFonts w:ascii="Times New Roman" w:hAnsi="Times New Roman" w:eastAsia="Times New Roman"/>
          <w:sz w:val="24"/>
        </w:rPr>
        <w:t xml:space="preserve">per contact hour</w:t>
      </w:r>
      <w:r>
        <w:rPr>
          <w:rFonts w:ascii="Times New Roman" w:hAnsi="Times New Roman" w:eastAsia="Times New Roman"/>
          <w:sz w:val="24"/>
        </w:rPr>
        <w:t xml:space="preserve"> </w:t>
      </w:r>
      <m:oMath>
        <m:sSubSup>
          <m:e>
            <m:r>
              <m:t>H</m:t>
            </m:r>
          </m:e>
          <m:sub>
            <m:r>
              <m:t>t</m:t>
            </m:r>
          </m:sub>
          <m:sup>
            <m:r>
              <m:rPr>
                <m:nor/>
                <m:sty m:val="p"/>
              </m:rPr>
              <m:t>combat</m:t>
            </m:r>
          </m:sup>
        </m:sSubSup>
      </m:oMath>
      <w:r>
        <w:rPr>
          <w:rFonts w:ascii="Times New Roman" w:hAnsi="Times New Roman" w:eastAsia="Times New Roman"/>
          <w:sz w:val="24"/>
        </w:rPr>
        <w:t xml:space="preserve">). Force generation demand</w:t>
      </w:r>
      <w:r>
        <w:rPr>
          <w:rFonts w:ascii="Times New Roman" w:hAnsi="Times New Roman" w:eastAsia="Times New Roman"/>
          <w:sz w:val="24"/>
        </w:rPr>
        <w:t xml:space="preserve"> </w:t>
      </w:r>
      <m:oMath>
        <m:sSub>
          <m:e>
            <m:r>
              <m:t>D</m:t>
            </m:r>
          </m:e>
          <m:sub>
            <m:r>
              <m:rPr>
                <m:nor/>
                <m:sty m:val="p"/>
              </m:rPr>
              <m:t>fg</m:t>
            </m:r>
          </m:sub>
        </m:sSub>
      </m:oMath>
      <w:r>
        <w:rPr>
          <w:rFonts w:ascii="Times New Roman" w:hAnsi="Times New Roman" w:eastAsia="Times New Roman"/>
          <w:sz w:val="24"/>
        </w:rPr>
        <w:t xml:space="preserve"> </w:t>
      </w:r>
      <w:r>
        <w:rPr>
          <w:rFonts w:ascii="Times New Roman" w:hAnsi="Times New Roman" w:eastAsia="Times New Roman"/>
          <w:sz w:val="24"/>
        </w:rPr>
        <w:t xml:space="preserve">equals realized casualties</w:t>
      </w:r>
      <w:r>
        <w:rPr>
          <w:rFonts w:ascii="Times New Roman" w:hAnsi="Times New Roman" w:eastAsia="Times New Roman"/>
          <w:sz w:val="24"/>
        </w:rPr>
        <w:t xml:space="preserve"> </w:t>
      </w:r>
      <m:oMath>
        <m:sSub>
          <m:e>
            <m:r>
              <m:t>L</m:t>
            </m:r>
          </m:e>
          <m:sub>
            <m:r>
              <m:rPr>
                <m:sty m:val="p"/>
              </m:rPr>
              <m:t>Δ</m:t>
            </m:r>
            <m:r>
              <m:t>t</m:t>
            </m:r>
          </m:sub>
        </m:sSub>
      </m:oMath>
      <w:r>
        <w:rPr>
          <w:rFonts w:ascii="Times New Roman" w:hAnsi="Times New Roman" w:eastAsia="Times New Roman"/>
          <w:sz w:val="24"/>
        </w:rPr>
        <w:t xml:space="preserve">. Command demand</w:t>
      </w:r>
      <w:r>
        <w:rPr>
          <w:rFonts w:ascii="Times New Roman" w:hAnsi="Times New Roman" w:eastAsia="Times New Roman"/>
          <w:sz w:val="24"/>
        </w:rPr>
        <w:t xml:space="preserve"> </w:t>
      </w:r>
      <m:oMath>
        <m:sSub>
          <m:e>
            <m:r>
              <m:t>D</m:t>
            </m:r>
          </m:e>
          <m:sub>
            <m:r>
              <m:rPr>
                <m:nor/>
                <m:sty m:val="p"/>
              </m:rPr>
              <m:t>cmd</m:t>
            </m:r>
          </m:sub>
        </m:sSub>
      </m:oMath>
      <w:r>
        <w:rPr>
          <w:rFonts w:ascii="Times New Roman" w:hAnsi="Times New Roman" w:eastAsia="Times New Roman"/>
          <w:sz w:val="24"/>
        </w:rPr>
        <w:t xml:space="preserve"> </w:t>
      </w:r>
      <w:r>
        <w:rPr>
          <w:rFonts w:ascii="Times New Roman" w:hAnsi="Times New Roman" w:eastAsia="Times New Roman"/>
          <w:sz w:val="24"/>
        </w:rPr>
        <w:t xml:space="preserve">reflects order opportunities</w:t>
      </w:r>
      <w:r>
        <w:rPr>
          <w:rFonts w:ascii="Times New Roman" w:hAnsi="Times New Roman" w:eastAsia="Times New Roman"/>
          <w:sz w:val="24"/>
        </w:rPr>
        <w:t xml:space="preserve"> </w:t>
      </w:r>
      <m:oMath>
        <m:sSub>
          <m:e>
            <m:r>
              <m:t>O</m:t>
            </m:r>
          </m:e>
          <m:sub>
            <m:r>
              <m:rPr>
                <m:sty m:val="p"/>
              </m:rPr>
              <m:t>Δ</m:t>
            </m:r>
            <m:r>
              <m:t>t</m:t>
            </m:r>
          </m:sub>
        </m:sSub>
      </m:oMath>
      <w:r>
        <w:rPr>
          <w:rFonts w:ascii="Times New Roman" w:hAnsi="Times New Roman" w:eastAsia="Times New Roman"/>
          <w:sz w:val="24"/>
        </w:rPr>
        <w:t xml:space="preserve"> </w:t>
      </w:r>
      <w:r>
        <w:rPr>
          <w:rFonts w:ascii="Times New Roman" w:hAnsi="Times New Roman" w:eastAsia="Times New Roman"/>
          <w:sz w:val="24"/>
        </w:rPr>
        <w:t xml:space="preserve">with</w:t>
      </w:r>
      <w:r>
        <w:rPr>
          <w:rFonts w:ascii="Times New Roman" w:hAnsi="Times New Roman" w:eastAsia="Times New Roman"/>
          <w:sz w:val="24"/>
        </w:rPr>
        <w:t xml:space="preserve"> </w:t>
      </w:r>
      <m:oMath>
        <m:r>
          <m:t>κ</m:t>
        </m:r>
        <m:r>
          <m:rPr>
            <m:sty m:val="p"/>
          </m:rPr>
          <m:t>=</m:t>
        </m:r>
        <m:r>
          <m:t>0.5</m:t>
        </m:r>
      </m:oMath>
      <w:r>
        <w:rPr>
          <w:rFonts w:ascii="Times New Roman" w:hAnsi="Times New Roman" w:eastAsia="Times New Roman"/>
          <w:sz w:val="24"/>
        </w:rPr>
        <w:t xml:space="preserve">. Because external aid expands force size, mobility, patrols, and engagements, service demand is an endogenous system outcome.</w:t>
      </w:r>
    </w:p>
    <w:p>
      <w:pPr>
        <w:pStyle w:val="BodyText"/>
        <w:spacing w:line="480" w:lineRule="auto" w:before="0" w:after="0"/>
        <w:ind w:firstLine="720" w:left="0"/>
      </w:pPr>
      <w:r>
        <w:rPr>
          <w:rFonts w:ascii="Times New Roman" w:hAnsi="Times New Roman" w:eastAsia="Times New Roman"/>
          <w:sz w:val="24"/>
        </w:rPr>
        <w:t xml:space="preserve">Whole-force capability is measured separately via composite retention. Let</w:t>
      </w:r>
      <w:r>
        <w:rPr>
          <w:rFonts w:ascii="Times New Roman" w:hAnsi="Times New Roman" w:eastAsia="Times New Roman"/>
          <w:sz w:val="24"/>
        </w:rPr>
        <w:t xml:space="preserve"> </w:t>
      </w:r>
      <m:oMath>
        <m:r>
          <m:t>g</m:t>
        </m:r>
      </m:oMath>
      <w:r>
        <w:rPr>
          <w:rFonts w:ascii="Times New Roman" w:hAnsi="Times New Roman" w:eastAsia="Times New Roman"/>
          <w:sz w:val="24"/>
        </w:rPr>
        <w:t xml:space="preserve">,</w:t>
      </w:r>
      <w:r>
        <w:rPr>
          <w:rFonts w:ascii="Times New Roman" w:hAnsi="Times New Roman" w:eastAsia="Times New Roman"/>
          <w:sz w:val="24"/>
        </w:rPr>
        <w:t xml:space="preserve"> </w:t>
      </w:r>
      <m:oMath>
        <m:r>
          <m:t>p</m:t>
        </m:r>
      </m:oMath>
      <w:r>
        <w:rPr>
          <w:rFonts w:ascii="Times New Roman" w:hAnsi="Times New Roman" w:eastAsia="Times New Roman"/>
          <w:sz w:val="24"/>
        </w:rPr>
        <w:t xml:space="preserve">,</w:t>
      </w:r>
      <w:r>
        <w:rPr>
          <w:rFonts w:ascii="Times New Roman" w:hAnsi="Times New Roman" w:eastAsia="Times New Roman"/>
          <w:sz w:val="24"/>
        </w:rPr>
        <w:t xml:space="preserve"> </w:t>
      </w:r>
      <m:oMath>
        <m:r>
          <m:t>f</m:t>
        </m:r>
      </m:oMath>
      <w:r>
        <w:rPr>
          <w:rFonts w:ascii="Times New Roman" w:hAnsi="Times New Roman" w:eastAsia="Times New Roman"/>
          <w:sz w:val="24"/>
        </w:rPr>
        <w:t xml:space="preserve">,</w:t>
      </w:r>
      <w:r>
        <w:rPr>
          <w:rFonts w:ascii="Times New Roman" w:hAnsi="Times New Roman" w:eastAsia="Times New Roman"/>
          <w:sz w:val="24"/>
        </w:rPr>
        <w:t xml:space="preserve"> </w:t>
      </w:r>
      <m:oMath>
        <m:r>
          <m:t>c</m:t>
        </m:r>
      </m:oMath>
      <w:r>
        <w:rPr>
          <w:rFonts w:ascii="Times New Roman" w:hAnsi="Times New Roman" w:eastAsia="Times New Roman"/>
          <w:sz w:val="24"/>
        </w:rPr>
        <w:t xml:space="preserve">, and</w:t>
      </w:r>
      <w:r>
        <w:rPr>
          <w:rFonts w:ascii="Times New Roman" w:hAnsi="Times New Roman" w:eastAsia="Times New Roman"/>
          <w:sz w:val="24"/>
        </w:rPr>
        <w:t xml:space="preserve"> </w:t>
      </w:r>
      <m:oMath>
        <m:r>
          <m:t>r</m:t>
        </m:r>
      </m:oMath>
      <w:r>
        <w:rPr>
          <w:rFonts w:ascii="Times New Roman" w:hAnsi="Times New Roman" w:eastAsia="Times New Roman"/>
          <w:sz w:val="24"/>
        </w:rPr>
        <w:t xml:space="preserve"> </w:t>
      </w:r>
      <w:r>
        <w:rPr>
          <w:rFonts w:ascii="Times New Roman" w:hAnsi="Times New Roman" w:eastAsia="Times New Roman"/>
          <w:sz w:val="24"/>
        </w:rPr>
        <w:t xml:space="preserve">denote government control, personnel retention, formation survival, geographic coverage, and operational readiness, each bounded to</w:t>
      </w:r>
      <w:r>
        <w:rPr>
          <w:rFonts w:ascii="Times New Roman" w:hAnsi="Times New Roman" w:eastAsia="Times New Roman"/>
          <w:sz w:val="24"/>
        </w:rPr>
        <w:t xml:space="preserve"> </w:t>
      </w:r>
      <m:oMath>
        <m:r>
          <m:rPr>
            <m:sty m:val="p"/>
          </m:rPr>
          <m:t>[</m:t>
        </m:r>
        <m:r>
          <m:t>0</m:t>
        </m:r>
        <m:r>
          <m:rPr>
            <m:sty m:val="p"/>
          </m:rPr>
          <m:t>,</m:t>
        </m:r>
        <m:r>
          <m:t>1</m:t>
        </m:r>
        <m:r>
          <m:rPr>
            <m:sty m:val="p"/>
          </m:rPr>
          <m:t>]</m:t>
        </m:r>
      </m:oMath>
      <w:r>
        <w:rPr>
          <w:rFonts w:ascii="Times New Roman" w:hAnsi="Times New Roman" w:eastAsia="Times New Roman"/>
          <w:sz w:val="24"/>
        </w:rPr>
        <w:t xml:space="preserve"> </w:t>
      </w:r>
      <w:r>
        <w:rPr>
          <w:rFonts w:ascii="Times New Roman" w:hAnsi="Times New Roman" w:eastAsia="Times New Roman"/>
          <w:sz w:val="24"/>
        </w:rPr>
        <w:t xml:space="preserve">relative to the pre-split baseline. The primary composite is</w:t>
      </w:r>
    </w:p>
    <w:p>
      <w:pPr>
        <w:pStyle w:val="BodyText"/>
      </w:pPr>
      <m:oMathPara>
        <m:oMathParaPr>
          <m:jc m:val="center"/>
        </m:oMathParaPr>
        <m:oMath>
          <m:r>
            <m:t>C</m:t>
          </m:r>
          <m:r>
            <m:rPr>
              <m:sty m:val="p"/>
            </m:rPr>
            <m:t>=</m:t>
          </m:r>
          <m:r>
            <m:rPr>
              <m:sty m:val="p"/>
            </m:rPr>
            <m:t>(</m:t>
          </m:r>
          <m:r>
            <m:t>g</m:t>
          </m:r>
          <m:r>
            <m:t>p</m:t>
          </m:r>
          <m:r>
            <m:t>f</m:t>
          </m:r>
          <m:r>
            <m:t>c</m:t>
          </m:r>
          <m:r>
            <m:t>r</m:t>
          </m:r>
          <m:sSup>
            <m:e>
              <m:r>
                <m:rPr>
                  <m:sty m:val="p"/>
                </m:rPr>
                <m:t>)</m:t>
              </m:r>
            </m:e>
            <m:sup>
              <m:r>
                <m:t>1</m:t>
              </m:r>
              <m:r>
                <m:rPr>
                  <m:sty m:val="p"/>
                </m:rPr>
                <m:t>/</m:t>
              </m:r>
              <m:r>
                <m:t>5</m:t>
              </m:r>
            </m:sup>
          </m:sSup>
          <m:r>
            <m:rPr>
              <m:sty m:val="p"/>
            </m:rPr>
            <m:t>.</m:t>
          </m:r>
        </m:oMath>
      </m:oMathPara>
    </w:p>
    <w:p>
      <w:pPr>
        <w:pStyle w:val="FirstParagraph"/>
        <w:spacing w:line="480" w:lineRule="auto" w:before="0" w:after="0"/>
        <w:ind w:firstLine="720" w:left="0"/>
      </w:pPr>
      <w:r>
        <w:rPr>
          <w:rFonts w:ascii="Times New Roman" w:hAnsi="Times New Roman" w:eastAsia="Times New Roman"/>
          <w:sz w:val="24"/>
        </w:rPr>
        <w:t xml:space="preserve">Reported capability differences reflect changes on this unit-scale geometric index rather than percentage changes in combat effectiveness.</w:t>
      </w:r>
    </w:p>
    <w:p>
      <w:pPr>
        <w:pStyle w:val="BodyText"/>
        <w:spacing w:line="480" w:lineRule="auto" w:before="0" w:after="0"/>
        <w:ind w:firstLine="720" w:left="0"/>
      </w:pPr>
      <w:r>
        <w:rPr>
          <w:rFonts w:ascii="Times New Roman" w:hAnsi="Times New Roman" w:eastAsia="Times New Roman"/>
          <w:sz w:val="24"/>
        </w:rPr>
        <w:t xml:space="preserve">Developmental assistance augments partner productive capacity (</w:t>
      </w:r>
      <m:oMath>
        <m:sSub>
          <m:e>
            <m:r>
              <m:t>I</m:t>
            </m:r>
          </m:e>
          <m:sub>
            <m:r>
              <m:t>j</m:t>
            </m:r>
          </m:sub>
        </m:sSub>
      </m:oMath>
      <w:r>
        <w:rPr>
          <w:rFonts w:ascii="Times New Roman" w:hAnsi="Times New Roman" w:eastAsia="Times New Roman"/>
          <w:sz w:val="24"/>
        </w:rPr>
        <w:t xml:space="preserve">) on a weekly schedule; direct substitution supplies removable external service (</w:t>
      </w:r>
      <m:oMath>
        <m:sSub>
          <m:e>
            <m:r>
              <m:t>E</m:t>
            </m:r>
          </m:e>
          <m:sub>
            <m:r>
              <m:t>j</m:t>
            </m:r>
          </m:sub>
        </m:sSub>
      </m:oMath>
      <w:r>
        <w:rPr>
          <w:rFonts w:ascii="Times New Roman" w:hAnsi="Times New Roman" w:eastAsia="Times New Roman"/>
          <w:sz w:val="24"/>
        </w:rPr>
        <w:t xml:space="preserve">). At simulated day 120, each world branches into continued-support (</w:t>
      </w:r>
      <w:r>
        <w:rPr>
          <w:rStyle w:val="VerbatimChar"/>
          <w:rFonts w:ascii="Times New Roman" w:hAnsi="Times New Roman" w:eastAsia="Times New Roman"/>
          <w:sz w:val="24"/>
        </w:rPr>
        <w:t xml:space="preserve">SUPPORT_ON</w:t>
      </w:r>
      <w:r>
        <w:rPr>
          <w:rFonts w:ascii="Times New Roman" w:hAnsi="Times New Roman" w:eastAsia="Times New Roman"/>
          <w:sz w:val="24"/>
        </w:rPr>
        <w:t xml:space="preserve">) and withdrawal (</w:t>
      </w:r>
      <w:r>
        <w:rPr>
          <w:rStyle w:val="VerbatimChar"/>
          <w:rFonts w:ascii="Times New Roman" w:hAnsi="Times New Roman" w:eastAsia="Times New Roman"/>
          <w:sz w:val="24"/>
        </w:rPr>
        <w:t xml:space="preserve">SUPPORT_OFF</w:t>
      </w:r>
      <w:r>
        <w:rPr>
          <w:rFonts w:ascii="Times New Roman" w:hAnsi="Times New Roman" w:eastAsia="Times New Roman"/>
          <w:sz w:val="24"/>
        </w:rPr>
        <w:t xml:space="preserve">) arms. The withdrawal branch removes foreign assistance while preserving accumulated indigenous capacity, stocks, and random seeds. Outcomes are recorded at +7, +30, +90, +180, and +360 days.</w:t>
      </w:r>
    </w:p>
    <w:bookmarkEnd w:id="79"/>
    <w:bookmarkStart w:id="80" w:name="integrated-stage-4-design"/>
    <w:p>
      <w:pPr>
        <w:pStyle w:val="Heading2"/>
        <w:keepNext/>
        <w:spacing w:line="480" w:lineRule="auto" w:after="0" w:before="120"/>
        <w:ind w:firstLine="0" w:left="0"/>
      </w:pPr>
      <w:r>
        <w:rPr>
          <w:rFonts w:ascii="Times New Roman" w:hAnsi="Times New Roman" w:eastAsia="Times New Roman"/>
          <w:b/>
          <w:i/>
          <w:sz w:val="24"/>
        </w:rPr>
        <w:t xml:space="preserve">4.3 Integrated Stage-4 design</w:t>
      </w:r>
    </w:p>
    <w:p>
      <w:pPr>
        <w:pStyle w:val="FirstParagraph"/>
        <w:spacing w:line="480" w:lineRule="auto" w:before="0" w:after="0"/>
        <w:ind w:firstLine="720" w:left="0"/>
      </w:pPr>
      <w:r>
        <w:rPr>
          <w:rFonts w:ascii="Times New Roman" w:hAnsi="Times New Roman" w:eastAsia="Times New Roman"/>
          <w:sz w:val="24"/>
        </w:rPr>
        <w:t xml:space="preserve">Stage 4 comprises 234 cells and 2,808 production worlds (12 seeds per cell).</w:t>
      </w:r>
    </w:p>
    <w:p>
      <w:pPr>
        <w:pStyle w:val="BodyText"/>
        <w:keepNext/>
        <w:spacing w:line="276" w:lineRule="auto" w:before="240" w:after="80"/>
        <w:ind w:firstLine="0" w:left="0"/>
      </w:pPr>
      <w:r>
        <w:rPr>
          <w:rFonts w:ascii="Times New Roman" w:hAnsi="Times New Roman" w:eastAsia="Times New Roman"/>
          <w:b/>
          <w:bCs/>
          <w:sz w:val="20"/>
        </w:rPr>
        <w:t xml:space="preserve">Table 1. Integrated Stage-4 experimental design.</w:t>
      </w:r>
      <w:r>
        <w:rPr>
          <w:rFonts w:ascii="Times New Roman" w:hAnsi="Times New Roman" w:eastAsia="Times New Roman"/>
          <w:sz w:val="20"/>
        </w:rPr>
        <w:t xml:space="preserve"> </w:t>
      </w:r>
      <w:r>
        <w:rPr>
          <w:rFonts w:ascii="Times New Roman" w:hAnsi="Times New Roman" w:eastAsia="Times New Roman"/>
          <w:sz w:val="20"/>
        </w:rPr>
        <w:t xml:space="preserve">Each production world executes one frozen seed in a prospectively frozen cell, separating branch divergence, bottleneck migration, and assistance architecture.</w:t>
      </w:r>
    </w:p>
    <w:tbl>
      <w:tblPr>
        <w:tblStyle w:val="Table"/>
        <w:tblW w:type="pct" w:w="5000"/>
        <w:tblLayout w:type="fixed"/>
        <w:tblLook w:firstRow="1" w:lastRow="0" w:firstColumn="0" w:lastColumn="0" w:noHBand="0" w:noVBand="0" w:val="0020"/>
        <w:jc w:val="center"/>
        <w:tblBorders>
          <w:top w:val="single" w:sz="12" w:space="0" w:color="000000"/>
          <w:left w:val="none"/>
          <w:bottom w:val="single" w:sz="12" w:space="0" w:color="000000"/>
          <w:right w:val="none"/>
          <w:insideH w:val="none"/>
          <w:insideV w:val="none"/>
        </w:tblBorders>
        <w:tblCellMar>
          <w:top w:w="120" w:type="dxa"/>
          <w:bottom w:w="120" w:type="dxa"/>
          <w:left w:w="160" w:type="dxa"/>
          <w:right w:w="160" w:type="dxa"/>
        </w:tblCellMar>
      </w:tblPr>
      <w:tblGrid>
        <w:gridCol w:w="1320"/>
        <w:gridCol w:w="1760"/>
        <w:gridCol w:w="1760"/>
        <w:gridCol w:w="1760"/>
        <w:gridCol w:w="1320"/>
      </w:tblGrid>
      <w:tr>
        <w:trPr>
          <w:tblHeader w:val="on"/>
          <w:cantSplit/>
          <w:tblHeader/>
        </w:trPr>
        <w:tc>
          <w:tcPr>
            <w:tcBorders>
              <w:bottom w:val="single" w:sz="6" w:space="0" w:color="000000"/>
              <w:top w:val="none"/>
              <w:left w:val="none"/>
              <w:right w:val="none"/>
            </w:tcBorders>
          </w:tcPr>
          <w:p>
            <w:pPr>
              <w:pStyle w:val="Compact"/>
              <w:keepNext/>
              <w:spacing w:line="252" w:lineRule="auto" w:after="40" w:before="40"/>
              <w:ind w:firstLine="0" w:left="0"/>
            </w:pPr>
            <w:r>
              <w:rPr>
                <w:rFonts w:ascii="Times New Roman" w:hAnsi="Times New Roman" w:eastAsia="Times New Roman"/>
                <w:b/>
                <w:sz w:val="19"/>
              </w:rPr>
              <w:t xml:space="preserve">Module</w:t>
            </w:r>
          </w:p>
        </w:tc>
        <w:tc>
          <w:tcPr>
            <w:tcBorders>
              <w:bottom w:val="single" w:sz="6" w:space="0" w:color="000000"/>
              <w:top w:val="none"/>
              <w:left w:val="none"/>
              <w:right w:val="none"/>
            </w:tcBorders>
          </w:tcPr>
          <w:p>
            <w:pPr>
              <w:pStyle w:val="Compact"/>
              <w:keepNext/>
              <w:spacing w:line="252" w:lineRule="auto" w:after="40" w:before="40"/>
              <w:ind w:firstLine="0" w:left="0"/>
              <w:jc w:val="right"/>
            </w:pPr>
            <w:r>
              <w:rPr>
                <w:rFonts w:ascii="Times New Roman" w:hAnsi="Times New Roman" w:eastAsia="Times New Roman"/>
                <w:b/>
                <w:sz w:val="19"/>
              </w:rPr>
              <w:t xml:space="preserve">Cells</w:t>
            </w:r>
          </w:p>
        </w:tc>
        <w:tc>
          <w:tcPr>
            <w:tcBorders>
              <w:bottom w:val="single" w:sz="6" w:space="0" w:color="000000"/>
              <w:top w:val="none"/>
              <w:left w:val="none"/>
              <w:right w:val="none"/>
            </w:tcBorders>
          </w:tcPr>
          <w:p>
            <w:pPr>
              <w:pStyle w:val="Compact"/>
              <w:keepNext/>
              <w:spacing w:line="252" w:lineRule="auto" w:after="40" w:before="40"/>
              <w:ind w:firstLine="0" w:left="0"/>
              <w:jc w:val="right"/>
            </w:pPr>
            <w:r>
              <w:rPr>
                <w:rFonts w:ascii="Times New Roman" w:hAnsi="Times New Roman" w:eastAsia="Times New Roman"/>
                <w:b/>
                <w:sz w:val="19"/>
              </w:rPr>
              <w:t xml:space="preserve">Seeds per cell</w:t>
            </w:r>
          </w:p>
        </w:tc>
        <w:tc>
          <w:tcPr>
            <w:tcBorders>
              <w:bottom w:val="single" w:sz="6" w:space="0" w:color="000000"/>
              <w:top w:val="none"/>
              <w:left w:val="none"/>
              <w:right w:val="none"/>
            </w:tcBorders>
          </w:tcPr>
          <w:p>
            <w:pPr>
              <w:pStyle w:val="Compact"/>
              <w:keepNext/>
              <w:spacing w:line="252" w:lineRule="auto" w:after="40" w:before="40"/>
              <w:ind w:firstLine="0" w:left="0"/>
              <w:jc w:val="right"/>
            </w:pPr>
            <w:r>
              <w:rPr>
                <w:rFonts w:ascii="Times New Roman" w:hAnsi="Times New Roman" w:eastAsia="Times New Roman"/>
                <w:b/>
                <w:sz w:val="19"/>
              </w:rPr>
              <w:t xml:space="preserve">Worlds</w:t>
            </w:r>
          </w:p>
        </w:tc>
        <w:tc>
          <w:tcPr>
            <w:tcBorders>
              <w:bottom w:val="single" w:sz="6" w:space="0" w:color="000000"/>
              <w:top w:val="none"/>
              <w:left w:val="none"/>
              <w:right w:val="none"/>
            </w:tcBorders>
          </w:tcPr>
          <w:p>
            <w:pPr>
              <w:pStyle w:val="Compact"/>
              <w:keepNext/>
              <w:spacing w:line="252" w:lineRule="auto" w:after="40" w:before="40"/>
              <w:ind w:firstLine="0" w:left="0"/>
            </w:pPr>
            <w:r>
              <w:rPr>
                <w:rFonts w:ascii="Times New Roman" w:hAnsi="Times New Roman" w:eastAsia="Times New Roman"/>
                <w:b/>
                <w:sz w:val="19"/>
              </w:rPr>
              <w:t xml:space="preserve">Purpose</w:t>
            </w:r>
          </w:p>
        </w:tc>
      </w:tr>
      <w:tr>
        <w:trPr>
          <w:cantSplit/>
        </w:trPr>
        <w:tc>
          <w:tcPr/>
          <w:p>
            <w:pPr>
              <w:pStyle w:val="Compact"/>
              <w:keepNext/>
              <w:spacing w:line="252" w:lineRule="auto" w:after="40" w:before="40"/>
              <w:ind w:firstLine="0" w:left="0"/>
            </w:pPr>
            <w:r>
              <w:rPr>
                <w:rFonts w:ascii="Times New Roman" w:hAnsi="Times New Roman" w:eastAsia="Times New Roman"/>
                <w:sz w:val="19"/>
              </w:rPr>
              <w:t xml:space="preserve">Phase Map</w:t>
            </w:r>
          </w:p>
        </w:tc>
        <w:tc>
          <w:tcPr/>
          <w:p>
            <w:pPr>
              <w:pStyle w:val="Compact"/>
              <w:keepNext/>
              <w:spacing w:line="252" w:lineRule="auto" w:after="40" w:before="40"/>
              <w:ind w:firstLine="0" w:left="0"/>
              <w:jc w:val="right"/>
            </w:pPr>
            <w:r>
              <w:rPr>
                <w:rFonts w:ascii="Times New Roman" w:hAnsi="Times New Roman" w:eastAsia="Times New Roman"/>
                <w:sz w:val="19"/>
              </w:rPr>
              <w:t xml:space="preserve">140</w:t>
            </w:r>
          </w:p>
        </w:tc>
        <w:tc>
          <w:tcPr/>
          <w:p>
            <w:pPr>
              <w:pStyle w:val="Compact"/>
              <w:keepNext/>
              <w:spacing w:line="252" w:lineRule="auto" w:after="40" w:before="40"/>
              <w:ind w:firstLine="0" w:left="0"/>
              <w:jc w:val="right"/>
            </w:pPr>
            <w:r>
              <w:rPr>
                <w:rFonts w:ascii="Times New Roman" w:hAnsi="Times New Roman" w:eastAsia="Times New Roman"/>
                <w:sz w:val="19"/>
              </w:rPr>
              <w:t xml:space="preserve">12</w:t>
            </w:r>
          </w:p>
        </w:tc>
        <w:tc>
          <w:tcPr/>
          <w:p>
            <w:pPr>
              <w:pStyle w:val="Compact"/>
              <w:keepNext/>
              <w:spacing w:line="252" w:lineRule="auto" w:after="40" w:before="40"/>
              <w:ind w:firstLine="0" w:left="0"/>
              <w:jc w:val="right"/>
            </w:pPr>
            <w:r>
              <w:rPr>
                <w:rFonts w:ascii="Times New Roman" w:hAnsi="Times New Roman" w:eastAsia="Times New Roman"/>
                <w:sz w:val="19"/>
              </w:rPr>
              <w:t xml:space="preserve">1,680</w:t>
            </w:r>
          </w:p>
        </w:tc>
        <w:tc>
          <w:tcPr/>
          <w:p>
            <w:pPr>
              <w:pStyle w:val="Compact"/>
              <w:keepNext/>
              <w:spacing w:line="252" w:lineRule="auto" w:after="40" w:before="40"/>
              <w:ind w:firstLine="0" w:left="0"/>
            </w:pPr>
            <w:r>
              <w:rPr>
                <w:rFonts w:ascii="Times New Roman" w:hAnsi="Times New Roman" w:eastAsia="Times New Roman"/>
                <w:sz w:val="19"/>
              </w:rPr>
              <w:t xml:space="preserve">Vary starting structure, indigenous capacity, and direct support intensity</w:t>
            </w:r>
          </w:p>
        </w:tc>
      </w:tr>
      <w:tr>
        <w:trPr>
          <w:cantSplit/>
        </w:trPr>
        <w:tc>
          <w:tcPr/>
          <w:p>
            <w:pPr>
              <w:pStyle w:val="Compact"/>
              <w:keepNext/>
              <w:spacing w:line="252" w:lineRule="auto" w:after="40" w:before="40"/>
              <w:ind w:firstLine="0" w:left="0"/>
            </w:pPr>
            <w:r>
              <w:rPr>
                <w:rFonts w:ascii="Times New Roman" w:hAnsi="Times New Roman" w:eastAsia="Times New Roman"/>
                <w:sz w:val="19"/>
              </w:rPr>
              <w:t xml:space="preserve">Bottleneck Migration</w:t>
            </w:r>
          </w:p>
        </w:tc>
        <w:tc>
          <w:tcPr/>
          <w:p>
            <w:pPr>
              <w:pStyle w:val="Compact"/>
              <w:keepNext/>
              <w:spacing w:line="252" w:lineRule="auto" w:after="40" w:before="40"/>
              <w:ind w:firstLine="0" w:left="0"/>
              <w:jc w:val="right"/>
            </w:pPr>
            <w:r>
              <w:rPr>
                <w:rFonts w:ascii="Times New Roman" w:hAnsi="Times New Roman" w:eastAsia="Times New Roman"/>
                <w:sz w:val="19"/>
              </w:rPr>
              <w:t xml:space="preserve">52</w:t>
            </w:r>
          </w:p>
        </w:tc>
        <w:tc>
          <w:tcPr/>
          <w:p>
            <w:pPr>
              <w:pStyle w:val="Compact"/>
              <w:keepNext/>
              <w:spacing w:line="252" w:lineRule="auto" w:after="40" w:before="40"/>
              <w:ind w:firstLine="0" w:left="0"/>
              <w:jc w:val="right"/>
            </w:pPr>
            <w:r>
              <w:rPr>
                <w:rFonts w:ascii="Times New Roman" w:hAnsi="Times New Roman" w:eastAsia="Times New Roman"/>
                <w:sz w:val="19"/>
              </w:rPr>
              <w:t xml:space="preserve">12</w:t>
            </w:r>
          </w:p>
        </w:tc>
        <w:tc>
          <w:tcPr/>
          <w:p>
            <w:pPr>
              <w:pStyle w:val="Compact"/>
              <w:keepNext/>
              <w:spacing w:line="252" w:lineRule="auto" w:after="40" w:before="40"/>
              <w:ind w:firstLine="0" w:left="0"/>
              <w:jc w:val="right"/>
            </w:pPr>
            <w:r>
              <w:rPr>
                <w:rFonts w:ascii="Times New Roman" w:hAnsi="Times New Roman" w:eastAsia="Times New Roman"/>
                <w:sz w:val="19"/>
              </w:rPr>
              <w:t xml:space="preserve">624</w:t>
            </w:r>
          </w:p>
        </w:tc>
        <w:tc>
          <w:tcPr/>
          <w:p>
            <w:pPr>
              <w:pStyle w:val="Compact"/>
              <w:keepNext/>
              <w:spacing w:line="252" w:lineRule="auto" w:after="40" w:before="40"/>
              <w:ind w:firstLine="0" w:left="0"/>
            </w:pPr>
            <w:r>
              <w:rPr>
                <w:rFonts w:ascii="Times New Roman" w:hAnsi="Times New Roman" w:eastAsia="Times New Roman"/>
                <w:sz w:val="19"/>
              </w:rPr>
              <w:t xml:space="preserve">Target observed and nominal constraints and track persistent migration</w:t>
            </w:r>
          </w:p>
        </w:tc>
      </w:tr>
      <w:tr>
        <w:trPr>
          <w:cantSplit/>
        </w:trPr>
        <w:tc>
          <w:tcPr/>
          <w:p>
            <w:pPr>
              <w:pStyle w:val="Compact"/>
              <w:keepNext/>
              <w:spacing w:line="252" w:lineRule="auto" w:after="40" w:before="40"/>
              <w:ind w:firstLine="0" w:left="0"/>
            </w:pPr>
            <w:r>
              <w:rPr>
                <w:rFonts w:ascii="Times New Roman" w:hAnsi="Times New Roman" w:eastAsia="Times New Roman"/>
                <w:sz w:val="19"/>
              </w:rPr>
              <w:t xml:space="preserve">Substitution vs Development</w:t>
            </w:r>
          </w:p>
        </w:tc>
        <w:tc>
          <w:tcPr/>
          <w:p>
            <w:pPr>
              <w:pStyle w:val="Compact"/>
              <w:keepNext/>
              <w:spacing w:line="252" w:lineRule="auto" w:after="40" w:before="40"/>
              <w:ind w:firstLine="0" w:left="0"/>
              <w:jc w:val="right"/>
            </w:pPr>
            <w:r>
              <w:rPr>
                <w:rFonts w:ascii="Times New Roman" w:hAnsi="Times New Roman" w:eastAsia="Times New Roman"/>
                <w:sz w:val="19"/>
              </w:rPr>
              <w:t xml:space="preserve">42</w:t>
            </w:r>
          </w:p>
        </w:tc>
        <w:tc>
          <w:tcPr/>
          <w:p>
            <w:pPr>
              <w:pStyle w:val="Compact"/>
              <w:keepNext/>
              <w:spacing w:line="252" w:lineRule="auto" w:after="40" w:before="40"/>
              <w:ind w:firstLine="0" w:left="0"/>
              <w:jc w:val="right"/>
            </w:pPr>
            <w:r>
              <w:rPr>
                <w:rFonts w:ascii="Times New Roman" w:hAnsi="Times New Roman" w:eastAsia="Times New Roman"/>
                <w:sz w:val="19"/>
              </w:rPr>
              <w:t xml:space="preserve">12</w:t>
            </w:r>
          </w:p>
        </w:tc>
        <w:tc>
          <w:tcPr/>
          <w:p>
            <w:pPr>
              <w:pStyle w:val="Compact"/>
              <w:keepNext/>
              <w:spacing w:line="252" w:lineRule="auto" w:after="40" w:before="40"/>
              <w:ind w:firstLine="0" w:left="0"/>
              <w:jc w:val="right"/>
            </w:pPr>
            <w:r>
              <w:rPr>
                <w:rFonts w:ascii="Times New Roman" w:hAnsi="Times New Roman" w:eastAsia="Times New Roman"/>
                <w:sz w:val="19"/>
              </w:rPr>
              <w:t xml:space="preserve">504</w:t>
            </w:r>
          </w:p>
        </w:tc>
        <w:tc>
          <w:tcPr/>
          <w:p>
            <w:pPr>
              <w:pStyle w:val="Compact"/>
              <w:keepNext/>
              <w:spacing w:line="252" w:lineRule="auto" w:after="40" w:before="40"/>
              <w:ind w:firstLine="0" w:left="0"/>
            </w:pPr>
            <w:r>
              <w:rPr>
                <w:rFonts w:ascii="Times New Roman" w:hAnsi="Times New Roman" w:eastAsia="Times New Roman"/>
                <w:sz w:val="19"/>
              </w:rPr>
              <w:t xml:space="preserve">Compare no aid, direct substitution, indigenous development, and hybrid assistance</w:t>
            </w:r>
          </w:p>
        </w:tc>
      </w:tr>
      <w:tr>
        <w:trPr>
          <w:cantSplit/>
        </w:trPr>
        <w:tc>
          <w:tcPr>
            <w:tcBorders>
              <w:top w:val="single" w:sz="6" w:space="0" w:color="000000"/>
            </w:tcBorders>
          </w:tcPr>
          <w:p>
            <w:pPr>
              <w:pStyle w:val="Compact"/>
              <w:spacing w:line="252" w:lineRule="auto" w:after="40" w:before="40"/>
              <w:ind w:firstLine="0" w:left="0"/>
            </w:pPr>
            <w:r>
              <w:rPr>
                <w:rFonts w:ascii="Times New Roman" w:hAnsi="Times New Roman" w:eastAsia="Times New Roman"/>
                <w:b/>
                <w:bCs/>
                <w:sz w:val="19"/>
              </w:rPr>
              <w:t xml:space="preserve">Total</w:t>
            </w:r>
          </w:p>
        </w:tc>
        <w:tc>
          <w:tcPr>
            <w:tcBorders>
              <w:top w:val="single" w:sz="6" w:space="0" w:color="000000"/>
            </w:tcBorders>
          </w:tcPr>
          <w:p>
            <w:pPr>
              <w:pStyle w:val="Compact"/>
              <w:spacing w:line="252" w:lineRule="auto" w:after="40" w:before="40"/>
              <w:ind w:firstLine="0" w:left="0"/>
              <w:jc w:val="right"/>
            </w:pPr>
            <w:r>
              <w:rPr>
                <w:rFonts w:ascii="Times New Roman" w:hAnsi="Times New Roman" w:eastAsia="Times New Roman"/>
                <w:b/>
                <w:bCs/>
                <w:sz w:val="19"/>
              </w:rPr>
              <w:t xml:space="preserve">234</w:t>
            </w:r>
          </w:p>
        </w:tc>
        <w:tc>
          <w:tcPr>
            <w:tcBorders>
              <w:top w:val="single" w:sz="6" w:space="0" w:color="000000"/>
            </w:tcBorders>
          </w:tcPr>
          <w:p>
            <w:pPr>
              <w:pStyle w:val="Compact"/>
              <w:spacing w:line="252" w:lineRule="auto" w:after="40" w:before="40"/>
              <w:ind w:firstLine="0" w:left="0"/>
              <w:jc w:val="right"/>
            </w:pPr>
            <w:r>
              <w:rPr>
                <w:rFonts w:ascii="Times New Roman" w:hAnsi="Times New Roman" w:eastAsia="Times New Roman"/>
                <w:b/>
                <w:bCs/>
                <w:sz w:val="19"/>
              </w:rPr>
              <w:t xml:space="preserve">12</w:t>
            </w:r>
          </w:p>
        </w:tc>
        <w:tc>
          <w:tcPr>
            <w:tcBorders>
              <w:top w:val="single" w:sz="6" w:space="0" w:color="000000"/>
            </w:tcBorders>
          </w:tcPr>
          <w:p>
            <w:pPr>
              <w:pStyle w:val="Compact"/>
              <w:spacing w:line="252" w:lineRule="auto" w:after="40" w:before="40"/>
              <w:ind w:firstLine="0" w:left="0"/>
              <w:jc w:val="right"/>
            </w:pPr>
            <w:r>
              <w:rPr>
                <w:rFonts w:ascii="Times New Roman" w:hAnsi="Times New Roman" w:eastAsia="Times New Roman"/>
                <w:b/>
                <w:bCs/>
                <w:sz w:val="19"/>
              </w:rPr>
              <w:t xml:space="preserve">2,808</w:t>
            </w:r>
          </w:p>
        </w:tc>
        <w:tc>
          <w:tcPr>
            <w:tcBorders>
              <w:top w:val="single" w:sz="6" w:space="0" w:color="000000"/>
            </w:tcBorders>
          </w:tcPr>
          <w:p>
            <w:pPr>
              <w:pStyle w:val="Compact"/>
              <w:spacing w:line="252" w:lineRule="auto" w:after="40" w:before="40"/>
              <w:ind w:firstLine="0" w:left="0"/>
            </w:pPr>
            <w:r>
              <w:rPr>
                <w:rFonts w:ascii="Times New Roman" w:hAnsi="Times New Roman" w:eastAsia="Times New Roman"/>
                <w:b/>
                <w:sz w:val="19"/>
              </w:rPr>
              <w:t xml:space="preserve">Integrated test of phenomenon, dynamics, and mechanism</w:t>
            </w:r>
          </w:p>
        </w:tc>
      </w:tr>
    </w:tbl>
    <w:p>
      <w:pPr>
        <w:pStyle w:val="BodyText"/>
        <w:spacing w:line="480" w:lineRule="auto" w:before="0" w:after="0"/>
        <w:ind w:firstLine="720" w:left="0"/>
      </w:pPr>
      <w:r>
        <w:rPr>
          <w:rFonts w:ascii="Times New Roman" w:hAnsi="Times New Roman" w:eastAsia="Times New Roman"/>
          <w:sz w:val="24"/>
        </w:rPr>
        <w:t xml:space="preserve">The Phase Map crosses four starting structural families with five capacity levels and seven support intensities (0 to 2.0). The Migration module evaluates force-generation, logistics, command, balanced, and no-support packages across three intensities, identifying targets by observed pre-withdrawal bottlenecks. The Mechanism module contrasts direct substitution, indigenous development, and hybrid assistance across moderate and severe weakness.</w:t>
      </w:r>
    </w:p>
    <w:bookmarkEnd w:id="80"/>
    <w:bookmarkStart w:id="81" w:name="estimands-and-uncertainty"/>
    <w:p>
      <w:pPr>
        <w:pStyle w:val="Heading2"/>
        <w:keepNext/>
        <w:spacing w:line="480" w:lineRule="auto" w:after="0" w:before="120"/>
        <w:ind w:firstLine="0" w:left="0"/>
      </w:pPr>
      <w:r>
        <w:rPr>
          <w:rFonts w:ascii="Times New Roman" w:hAnsi="Times New Roman" w:eastAsia="Times New Roman"/>
          <w:b/>
          <w:i/>
          <w:sz w:val="24"/>
        </w:rPr>
        <w:t xml:space="preserve">4.4 Estimands and uncertainty</w:t>
      </w:r>
    </w:p>
    <w:p>
      <w:pPr>
        <w:pStyle w:val="FirstParagraph"/>
        <w:spacing w:line="480" w:lineRule="auto" w:before="0" w:after="0"/>
        <w:ind w:firstLine="720" w:left="0"/>
      </w:pPr>
      <w:r>
        <w:rPr>
          <w:rFonts w:ascii="Times New Roman" w:hAnsi="Times New Roman" w:eastAsia="Times New Roman"/>
          <w:sz w:val="24"/>
        </w:rPr>
        <w:t xml:space="preserve">The preregistered Stage-4 estimands evaluate early composite capability branch divergence (</w:t>
      </w:r>
      <m:oMath>
        <m:sSubSup>
          <m:e>
            <m:r>
              <m:t>C</m:t>
            </m:r>
          </m:e>
          <m:sub>
            <m:r>
              <m:t>30</m:t>
            </m:r>
          </m:sub>
          <m:sup>
            <m:r>
              <m:t>O</m:t>
            </m:r>
            <m:r>
              <m:t>N</m:t>
            </m:r>
          </m:sup>
        </m:sSubSup>
        <m:r>
          <m:rPr>
            <m:sty m:val="p"/>
          </m:rPr>
          <m:t>−</m:t>
        </m:r>
        <m:sSubSup>
          <m:e>
            <m:r>
              <m:t>C</m:t>
            </m:r>
          </m:e>
          <m:sub>
            <m:r>
              <m:t>30</m:t>
            </m:r>
          </m:sub>
          <m:sup>
            <m:r>
              <m:t>O</m:t>
            </m:r>
            <m:r>
              <m:t>F</m:t>
            </m:r>
            <m:r>
              <m:t>F</m:t>
            </m:r>
          </m:sup>
        </m:sSubSup>
      </m:oMath>
      <w:r>
        <w:rPr>
          <w:rFonts w:ascii="Times New Roman" w:hAnsi="Times New Roman" w:eastAsia="Times New Roman"/>
          <w:sz w:val="24"/>
        </w:rPr>
        <w:t xml:space="preserve">) and terminal indigenous coverage divergence (</w:t>
      </w:r>
      <m:oMath>
        <m:sSubSup>
          <m:e>
            <m:r>
              <m:t>q</m:t>
            </m:r>
          </m:e>
          <m:sub>
            <m:r>
              <m:t>360</m:t>
            </m:r>
          </m:sub>
          <m:sup>
            <m:r>
              <m:t>I</m:t>
            </m:r>
            <m:r>
              <m:rPr>
                <m:sty m:val="p"/>
              </m:rPr>
              <m:t>,</m:t>
            </m:r>
            <m:r>
              <m:t>O</m:t>
            </m:r>
            <m:r>
              <m:t>N</m:t>
            </m:r>
          </m:sup>
        </m:sSubSup>
        <m:r>
          <m:rPr>
            <m:sty m:val="p"/>
          </m:rPr>
          <m:t>−</m:t>
        </m:r>
        <m:sSubSup>
          <m:e>
            <m:r>
              <m:t>q</m:t>
            </m:r>
          </m:e>
          <m:sub>
            <m:r>
              <m:t>360</m:t>
            </m:r>
          </m:sub>
          <m:sup>
            <m:r>
              <m:t>I</m:t>
            </m:r>
            <m:r>
              <m:rPr>
                <m:sty m:val="p"/>
              </m:rPr>
              <m:t>,</m:t>
            </m:r>
            <m:r>
              <m:t>O</m:t>
            </m:r>
            <m:r>
              <m:t>F</m:t>
            </m:r>
            <m:r>
              <m:t>F</m:t>
            </m:r>
          </m:sup>
        </m:sSubSup>
      </m:oMath>
      <w:r>
        <w:rPr>
          <w:rFonts w:ascii="Times New Roman" w:hAnsi="Times New Roman" w:eastAsia="Times New Roman"/>
          <w:sz w:val="24"/>
        </w:rPr>
        <w:t xml:space="preserve">). Post-review analyses add two diagnostics on frozen telemetry: matching treated worlds to zero-support controls (</w:t>
      </w:r>
      <m:oMath>
        <m:sSub>
          <m:e>
            <m:r>
              <m:t>S</m:t>
            </m:r>
          </m:e>
          <m:sub>
            <m:r>
              <m:t>h</m:t>
            </m:r>
          </m:sub>
        </m:sSub>
      </m:oMath>
      <w:r>
        <w:rPr>
          <w:rFonts w:ascii="Times New Roman" w:hAnsi="Times New Roman" w:eastAsia="Times New Roman"/>
          <w:sz w:val="24"/>
        </w:rPr>
        <w:t xml:space="preserve">,</w:t>
      </w:r>
      <w:r>
        <w:rPr>
          <w:rFonts w:ascii="Times New Roman" w:hAnsi="Times New Roman" w:eastAsia="Times New Roman"/>
          <w:sz w:val="24"/>
        </w:rPr>
        <w:t xml:space="preserve"> </w:t>
      </w:r>
      <m:oMath>
        <m:sSub>
          <m:e>
            <m:r>
              <m:t>R</m:t>
            </m:r>
          </m:e>
          <m:sub>
            <m:r>
              <m:t>h</m:t>
            </m:r>
          </m:sub>
        </m:sSub>
      </m:oMath>
      <w:r>
        <w:rPr>
          <w:rFonts w:ascii="Times New Roman" w:hAnsi="Times New Roman" w:eastAsia="Times New Roman"/>
          <w:sz w:val="24"/>
        </w:rPr>
        <w:t xml:space="preserve">,</w:t>
      </w:r>
      <w:r>
        <w:rPr>
          <w:rFonts w:ascii="Times New Roman" w:hAnsi="Times New Roman" w:eastAsia="Times New Roman"/>
          <w:sz w:val="24"/>
        </w:rPr>
        <w:t xml:space="preserve"> </w:t>
      </w:r>
      <m:oMath>
        <m:sSub>
          <m:e>
            <m:r>
              <m:t>G</m:t>
            </m:r>
          </m:e>
          <m:sub>
            <m:r>
              <m:t>h</m:t>
            </m:r>
          </m:sub>
        </m:sSub>
      </m:oMath>
      <w:r>
        <w:rPr>
          <w:rFonts w:ascii="Times New Roman" w:hAnsi="Times New Roman" w:eastAsia="Times New Roman"/>
          <w:sz w:val="24"/>
        </w:rPr>
        <w:t xml:space="preserve">), and decomposing terminal coverage into demand and indigenous service components. For logistics-bound terminal worlds, descriptive standardizations evaluate supported production under withdrawal demand and vice versa.</w:t>
      </w:r>
    </w:p>
    <w:p>
      <w:pPr>
        <w:pStyle w:val="BodyText"/>
        <w:spacing w:line="480" w:lineRule="auto" w:before="0" w:after="0"/>
        <w:ind w:firstLine="720" w:left="0"/>
      </w:pPr>
      <w:r>
        <w:rPr>
          <w:rFonts w:ascii="Times New Roman" w:hAnsi="Times New Roman" w:eastAsia="Times New Roman"/>
          <w:sz w:val="24"/>
        </w:rPr>
        <w:t xml:space="preserve">Analyses report cell means, medians, 10th-90th percentiles, and directional fractions. Bootstrap intervals serve as descriptive sampling dispersion metrics rather than population hypothesis tests.</w:t>
      </w:r>
    </w:p>
    <w:bookmarkEnd w:id="81"/>
    <w:bookmarkStart w:id="82" w:name="reproducibility-and-production-integrity"/>
    <w:p>
      <w:pPr>
        <w:pStyle w:val="Heading2"/>
        <w:keepNext/>
        <w:spacing w:line="480" w:lineRule="auto" w:after="0" w:before="120"/>
        <w:ind w:firstLine="0" w:left="0"/>
      </w:pPr>
      <w:r>
        <w:rPr>
          <w:rFonts w:ascii="Times New Roman" w:hAnsi="Times New Roman" w:eastAsia="Times New Roman"/>
          <w:b/>
          <w:i/>
          <w:sz w:val="24"/>
        </w:rPr>
        <w:t xml:space="preserve">4.5 Reproducibility and production integrity</w:t>
      </w:r>
    </w:p>
    <w:p>
      <w:pPr>
        <w:pStyle w:val="FirstParagraph"/>
        <w:spacing w:line="480" w:lineRule="auto" w:before="0" w:after="0"/>
        <w:ind w:firstLine="720" w:left="0"/>
      </w:pPr>
      <w:r>
        <w:rPr>
          <w:rFonts w:ascii="Times New Roman" w:hAnsi="Times New Roman" w:eastAsia="Times New Roman"/>
          <w:sz w:val="24"/>
        </w:rPr>
        <w:t xml:space="preserve">Simulation code, parameters, and analysis contracts were locked under cryptographic freeze prior to execution. An independent audit confirmed complete task coverage, row counts, and checksum hashes across all 2,808 worlds with zero missing or duplicate records. Full provenance and replication instructions are detailed in Appendix A.</w:t>
      </w:r>
    </w:p>
    <w:bookmarkEnd w:id="82"/>
    <w:bookmarkStart w:id="83" w:name="proposition-to-test-correspondence"/>
    <w:p>
      <w:pPr>
        <w:pStyle w:val="Heading2"/>
        <w:keepNext/>
        <w:spacing w:line="480" w:lineRule="auto" w:after="0" w:before="120"/>
        <w:ind w:firstLine="0" w:left="0"/>
      </w:pPr>
      <w:r>
        <w:rPr>
          <w:rFonts w:ascii="Times New Roman" w:hAnsi="Times New Roman" w:eastAsia="Times New Roman"/>
          <w:b/>
          <w:i/>
          <w:sz w:val="24"/>
        </w:rPr>
        <w:t xml:space="preserve">4.6 Proposition-to-test correspondence</w:t>
      </w:r>
    </w:p>
    <w:p>
      <w:pPr>
        <w:pStyle w:val="FirstParagraph"/>
        <w:spacing w:line="480" w:lineRule="auto" w:before="0" w:after="0"/>
        <w:ind w:firstLine="720" w:left="0"/>
      </w:pPr>
      <w:r>
        <w:rPr>
          <w:rFonts w:ascii="Times New Roman" w:hAnsi="Times New Roman" w:eastAsia="Times New Roman"/>
          <w:sz w:val="24"/>
        </w:rPr>
        <w:t xml:space="preserve">The research design maps distinct tests to theoretical propositions. The Phase Map establishes branch divergence and supplies telemetry for supply-demand decomposition. A separately frozen demand-clamp experiment tests Proposition 1 by dynamically constraining supported logistics demand to match withdrawal requirements. Control-matched contrasts evaluate Proposition 2 (</w:t>
      </w:r>
      <m:oMath>
        <m:sSub>
          <m:e>
            <m:r>
              <m:t>S</m:t>
            </m:r>
          </m:e>
          <m:sub>
            <m:r>
              <m:t>h</m:t>
            </m:r>
          </m:sub>
        </m:sSub>
      </m:oMath>
      <w:r>
        <w:rPr>
          <w:rFonts w:ascii="Times New Roman" w:hAnsi="Times New Roman" w:eastAsia="Times New Roman"/>
          <w:sz w:val="24"/>
        </w:rPr>
        <w:t xml:space="preserve">,</w:t>
      </w:r>
      <w:r>
        <w:rPr>
          <w:rFonts w:ascii="Times New Roman" w:hAnsi="Times New Roman" w:eastAsia="Times New Roman"/>
          <w:sz w:val="24"/>
        </w:rPr>
        <w:t xml:space="preserve"> </w:t>
      </w:r>
      <m:oMath>
        <m:sSub>
          <m:e>
            <m:r>
              <m:t>R</m:t>
            </m:r>
          </m:e>
          <m:sub>
            <m:r>
              <m:t>h</m:t>
            </m:r>
          </m:sub>
        </m:sSub>
      </m:oMath>
      <w:r>
        <w:rPr>
          <w:rFonts w:ascii="Times New Roman" w:hAnsi="Times New Roman" w:eastAsia="Times New Roman"/>
          <w:sz w:val="24"/>
        </w:rPr>
        <w:t xml:space="preserve">,</w:t>
      </w:r>
      <w:r>
        <w:rPr>
          <w:rFonts w:ascii="Times New Roman" w:hAnsi="Times New Roman" w:eastAsia="Times New Roman"/>
          <w:sz w:val="24"/>
        </w:rPr>
        <w:t xml:space="preserve"> </w:t>
      </w:r>
      <m:oMath>
        <m:sSub>
          <m:e>
            <m:r>
              <m:t>G</m:t>
            </m:r>
          </m:e>
          <m:sub>
            <m:r>
              <m:t>h</m:t>
            </m:r>
          </m:sub>
        </m:sSub>
      </m:oMath>
      <w:r>
        <w:rPr>
          <w:rFonts w:ascii="Times New Roman" w:hAnsi="Times New Roman" w:eastAsia="Times New Roman"/>
          <w:sz w:val="24"/>
        </w:rPr>
        <w:t xml:space="preserve">). The Migration module tests Proposition 3, establishing whether relieving a bottleneck displaces the limiting constraint and how displacement affects system yield. The Mechanism module evaluates the capability-retention-cost frontier under alternative assistance modes.</w:t>
      </w:r>
    </w:p>
    <w:bookmarkEnd w:id="83"/>
    <w:bookmarkStart w:id="84" w:name="Xa84101e9f9c55619d475f7b4da7d2e07ddd9317"/>
    <w:p>
      <w:pPr>
        <w:pStyle w:val="Heading2"/>
        <w:keepNext/>
        <w:spacing w:line="480" w:lineRule="auto" w:after="0" w:before="120"/>
        <w:ind w:firstLine="0" w:left="0"/>
      </w:pPr>
      <w:r>
        <w:rPr>
          <w:rFonts w:ascii="Times New Roman" w:hAnsi="Times New Roman" w:eastAsia="Times New Roman"/>
          <w:b/>
          <w:i/>
          <w:sz w:val="24"/>
        </w:rPr>
        <w:t xml:space="preserve">4.7 Prospectively frozen coordinated-development extension</w:t>
      </w:r>
    </w:p>
    <w:p>
      <w:pPr>
        <w:pStyle w:val="FirstParagraph"/>
        <w:spacing w:line="480" w:lineRule="auto" w:before="0" w:after="0"/>
        <w:ind w:firstLine="720" w:left="0"/>
      </w:pPr>
      <w:r>
        <w:rPr>
          <w:rFonts w:ascii="Times New Roman" w:hAnsi="Times New Roman" w:eastAsia="Times New Roman"/>
          <w:sz w:val="24"/>
        </w:rPr>
        <w:t xml:space="preserve">Stage 5 evaluates whether developing multiple complementary capacities simultaneously expands whole-force output more effectively than single-channel interventions. The campaign comprises 92 cells and 16 matched seeds per cell (1,472 worlds), testing all combinations of force-generation, logistics, and command development across four starting structures under two dose allocations:</w:t>
      </w:r>
    </w:p>
    <w:p>
      <w:pPr>
        <w:pStyle w:val="Compact"/>
        <w:numPr>
          <w:ilvl w:val="0"/>
          <w:numId w:val="1001"/>
        </w:numPr>
        <w:spacing w:line="480" w:lineRule="auto" w:before="0" w:after="0"/>
        <w:ind w:firstLine="720" w:left="0"/>
      </w:pPr>
      <w:r>
        <w:rPr>
          <w:rFonts w:ascii="Times New Roman" w:hAnsi="Times New Roman" w:eastAsia="Times New Roman"/>
          <w:b/>
          <w:bCs/>
          <w:sz w:val="24"/>
        </w:rPr>
        <w:t xml:space="preserve">Equal total effort:</w:t>
      </w:r>
      <w:r>
        <w:rPr>
          <w:rFonts w:ascii="Times New Roman" w:hAnsi="Times New Roman" w:eastAsia="Times New Roman"/>
          <w:sz w:val="24"/>
        </w:rPr>
        <w:t xml:space="preserve"> </w:t>
      </w:r>
      <w:r>
        <w:rPr>
          <w:rFonts w:ascii="Times New Roman" w:hAnsi="Times New Roman" w:eastAsia="Times New Roman"/>
          <w:sz w:val="24"/>
        </w:rPr>
        <w:t xml:space="preserve">Divides a fixed developmental investment across active channels to test allocation breadth efficiency.</w:t>
      </w:r>
    </w:p>
    <w:p>
      <w:pPr>
        <w:pStyle w:val="Compact"/>
        <w:numPr>
          <w:ilvl w:val="0"/>
          <w:numId w:val="1001"/>
        </w:numPr>
        <w:spacing w:line="480" w:lineRule="auto" w:before="0" w:after="0"/>
        <w:ind w:firstLine="720" w:left="0"/>
      </w:pPr>
      <w:r>
        <w:rPr>
          <w:rFonts w:ascii="Times New Roman" w:hAnsi="Times New Roman" w:eastAsia="Times New Roman"/>
          <w:b/>
          <w:bCs/>
          <w:sz w:val="24"/>
        </w:rPr>
        <w:t xml:space="preserve">Equal channel dose:</w:t>
      </w:r>
      <w:r>
        <w:rPr>
          <w:rFonts w:ascii="Times New Roman" w:hAnsi="Times New Roman" w:eastAsia="Times New Roman"/>
          <w:sz w:val="24"/>
        </w:rPr>
        <w:t xml:space="preserve"> </w:t>
      </w:r>
      <w:r>
        <w:rPr>
          <w:rFonts w:ascii="Times New Roman" w:hAnsi="Times New Roman" w:eastAsia="Times New Roman"/>
          <w:sz w:val="24"/>
        </w:rPr>
        <w:t xml:space="preserve">Provides the full single-channel dose to each active service, enabling direct estimation of factorial interactions (</w:t>
      </w:r>
      <m:oMath>
        <m:sSub>
          <m:e>
            <m:r>
              <m:t>I</m:t>
            </m:r>
          </m:e>
          <m:sub>
            <m:r>
              <m:t>A</m:t>
            </m:r>
            <m:r>
              <m:t>B</m:t>
            </m:r>
          </m:sub>
        </m:sSub>
        <m:r>
          <m:rPr>
            <m:sty m:val="p"/>
          </m:rPr>
          <m:t>=</m:t>
        </m:r>
        <m:sSub>
          <m:e>
            <m:r>
              <m:t>Q</m:t>
            </m:r>
          </m:e>
          <m:sub>
            <m:r>
              <m:t>A</m:t>
            </m:r>
            <m:r>
              <m:t>B</m:t>
            </m:r>
          </m:sub>
        </m:sSub>
        <m:r>
          <m:rPr>
            <m:sty m:val="p"/>
          </m:rPr>
          <m:t>−</m:t>
        </m:r>
        <m:sSub>
          <m:e>
            <m:r>
              <m:t>Q</m:t>
            </m:r>
          </m:e>
          <m:sub>
            <m:r>
              <m:t>A</m:t>
            </m:r>
          </m:sub>
        </m:sSub>
        <m:r>
          <m:rPr>
            <m:sty m:val="p"/>
          </m:rPr>
          <m:t>−</m:t>
        </m:r>
        <m:sSub>
          <m:e>
            <m:r>
              <m:t>Q</m:t>
            </m:r>
          </m:e>
          <m:sub>
            <m:r>
              <m:t>B</m:t>
            </m:r>
          </m:sub>
        </m:sSub>
        <m:r>
          <m:rPr>
            <m:sty m:val="p"/>
          </m:rPr>
          <m:t>+</m:t>
        </m:r>
        <m:sSub>
          <m:e>
            <m:r>
              <m:t>Q</m:t>
            </m:r>
          </m:e>
          <m:sub>
            <m:r>
              <m:t>0</m:t>
            </m:r>
          </m:sub>
        </m:sSub>
      </m:oMath>
      <w:r>
        <w:rPr>
          <w:rFonts w:ascii="Times New Roman" w:hAnsi="Times New Roman" w:eastAsia="Times New Roman"/>
          <w:sz w:val="24"/>
        </w:rPr>
        <w:t xml:space="preserve">).</w:t>
      </w:r>
    </w:p>
    <w:p>
      <w:pPr>
        <w:pStyle w:val="FirstParagraph"/>
        <w:spacing w:line="480" w:lineRule="auto" w:before="0" w:after="0"/>
        <w:ind w:firstLine="720" w:left="0"/>
      </w:pPr>
      <w:r>
        <w:rPr>
          <w:rFonts w:ascii="Times New Roman" w:hAnsi="Times New Roman" w:eastAsia="Times New Roman"/>
          <w:sz w:val="24"/>
        </w:rPr>
        <w:t xml:space="preserve">All arms undergo 120 days of development before donor support ceases. Pre-registered endpoints measure retained feasibility (</w:t>
      </w:r>
      <m:oMath>
        <m:r>
          <m:t>Q</m:t>
        </m:r>
      </m:oMath>
      <w:r>
        <w:rPr>
          <w:rFonts w:ascii="Times New Roman" w:hAnsi="Times New Roman" w:eastAsia="Times New Roman"/>
          <w:sz w:val="24"/>
        </w:rPr>
        <w:t xml:space="preserve">) at +360 days.</w:t>
      </w:r>
    </w:p>
    <w:p>
      <w:pPr>
        <w:pStyle w:val="BodyText"/>
        <w:spacing w:line="480" w:lineRule="auto" w:before="0" w:after="0"/>
        <w:ind w:firstLine="720" w:left="0"/>
      </w:pPr>
      <w:r>
        <w:rPr>
          <w:rFonts w:ascii="Times New Roman" w:hAnsi="Times New Roman" w:eastAsia="Times New Roman"/>
          <w:sz w:val="24"/>
        </w:rPr>
        <w:t xml:space="preserve">A manipulation check reveals that nominal design structures do not uniformly persist as active bottlenecks at split: logistics binds at day 120 in all 368 nominal force-generation worlds, all 368 logistics worlds, and 365 of 368 near-tie worlds, while command binds in 100 of 368 command-constrained worlds. Nominal structures are therefore reported as design factors rather than verified bottleneck states, qualifying the scope condition for multi-constraint near-ties.</w:t>
      </w:r>
    </w:p>
    <w:bookmarkEnd w:id="84"/>
    <w:bookmarkEnd w:id="85"/>
    <w:bookmarkStart w:id="110" w:name="results"/>
    <w:p>
      <w:pPr>
        <w:pStyle w:val="Heading1"/>
        <w:keepNext/>
        <w:spacing w:line="480" w:lineRule="auto" w:after="0" w:before="240"/>
        <w:ind w:firstLine="0" w:left="0"/>
      </w:pPr>
      <w:r>
        <w:rPr>
          <w:rFonts w:ascii="Times New Roman" w:hAnsi="Times New Roman" w:eastAsia="Times New Roman"/>
          <w:b/>
          <w:i w:val="0"/>
          <w:sz w:val="24"/>
        </w:rPr>
        <w:t xml:space="preserve">5. Results</w:t>
      </w:r>
    </w:p>
    <w:p>
      <w:pPr>
        <w:pStyle w:val="FirstParagraph"/>
        <w:spacing w:line="480" w:lineRule="auto" w:before="0" w:after="0"/>
        <w:ind w:firstLine="720" w:left="0"/>
      </w:pPr>
      <w:r>
        <w:rPr>
          <w:rFonts w:ascii="Times New Roman" w:hAnsi="Times New Roman" w:eastAsia="Times New Roman"/>
          <w:sz w:val="24"/>
        </w:rPr>
        <w:t xml:space="preserve">Throughout this section, cell-level classifications aggregate across simulation seeds to characterize experimental factor combinations (</w:t>
      </w:r>
      <m:oMath>
        <m:r>
          <m:t>n</m:t>
        </m:r>
        <m:r>
          <m:rPr>
            <m:sty m:val="p"/>
          </m:rPr>
          <m:t>=</m:t>
        </m:r>
        <m:r>
          <m:t>120</m:t>
        </m:r>
      </m:oMath>
      <w:r>
        <w:rPr>
          <w:rFonts w:ascii="Times New Roman" w:hAnsi="Times New Roman" w:eastAsia="Times New Roman"/>
          <w:sz w:val="24"/>
        </w:rPr>
        <w:t xml:space="preserve"> </w:t>
      </w:r>
      <w:r>
        <w:rPr>
          <w:rFonts w:ascii="Times New Roman" w:hAnsi="Times New Roman" w:eastAsia="Times New Roman"/>
          <w:sz w:val="24"/>
        </w:rPr>
        <w:t xml:space="preserve">treated cells; 20 zero-support control cells), whereas world-level statistics describe individual seed runs (up to</w:t>
      </w:r>
      <w:r>
        <w:rPr>
          <w:rFonts w:ascii="Times New Roman" w:hAnsi="Times New Roman" w:eastAsia="Times New Roman"/>
          <w:sz w:val="24"/>
        </w:rPr>
        <w:t xml:space="preserve"> </w:t>
      </w:r>
      <m:oMath>
        <m:r>
          <m:t>n</m:t>
        </m:r>
        <m:r>
          <m:rPr>
            <m:sty m:val="p"/>
          </m:rPr>
          <m:t>=</m:t>
        </m:r>
        <m:r>
          <m:t>1</m:t>
        </m:r>
        <m:r>
          <m:rPr>
            <m:sty m:val="p"/>
          </m:rPr>
          <m:t>,</m:t>
        </m:r>
        <m:r>
          <m:t>440</m:t>
        </m:r>
      </m:oMath>
      <w:r>
        <w:rPr>
          <w:rFonts w:ascii="Times New Roman" w:hAnsi="Times New Roman" w:eastAsia="Times New Roman"/>
          <w:sz w:val="24"/>
        </w:rPr>
        <w:t xml:space="preserve"> </w:t>
      </w:r>
      <w:r>
        <w:rPr>
          <w:rFonts w:ascii="Times New Roman" w:hAnsi="Times New Roman" w:eastAsia="Times New Roman"/>
          <w:sz w:val="24"/>
        </w:rPr>
        <w:t xml:space="preserve">treated seed runs in the Phase Map, or 1,680 across all 140 cells) to preserve full distributional variation.</w:t>
      </w:r>
    </w:p>
    <w:bookmarkStart w:id="89" w:name="X7718321084514d7ad8657dcec5119a61ca66e18"/>
    <w:p>
      <w:pPr>
        <w:pStyle w:val="Heading2"/>
        <w:keepNext/>
        <w:spacing w:line="480" w:lineRule="auto" w:after="0" w:before="120"/>
        <w:ind w:firstLine="0" w:left="0"/>
      </w:pPr>
      <w:r>
        <w:rPr>
          <w:rFonts w:ascii="Times New Roman" w:hAnsi="Times New Roman" w:eastAsia="Times New Roman"/>
          <w:b/>
          <w:i/>
          <w:sz w:val="24"/>
        </w:rPr>
        <w:t xml:space="preserve">5.1 Supported effect, retained effect, and dependency gap are different quantities</w:t>
      </w:r>
    </w:p>
    <w:p>
      <w:pPr>
        <w:pStyle w:val="FirstParagraph"/>
        <w:spacing w:line="480" w:lineRule="auto" w:before="0" w:after="0"/>
        <w:ind w:firstLine="720" w:left="0"/>
      </w:pPr>
      <w:r>
        <w:rPr>
          <w:rFonts w:ascii="Times New Roman" w:hAnsi="Times New Roman" w:eastAsia="Times New Roman"/>
          <w:sz w:val="24"/>
        </w:rPr>
        <w:t xml:space="preserve">The original frozen Stage-4 analysis compared continued support with withdrawal</w:t>
      </w:r>
      <w:r>
        <w:rPr>
          <w:rFonts w:ascii="Times New Roman" w:hAnsi="Times New Roman" w:eastAsia="Times New Roman"/>
          <w:sz w:val="24"/>
        </w:rPr>
        <w:t xml:space="preserve"> </w:t>
      </w:r>
      <w:r>
        <w:rPr>
          <w:rFonts w:ascii="Times New Roman" w:hAnsi="Times New Roman" w:eastAsia="Times New Roman"/>
          <w:sz w:val="24"/>
        </w:rPr>
        <w:t xml:space="preserve">after both branches had already experienced 120 days of support. Under that</w:t>
      </w:r>
      <w:r>
        <w:rPr>
          <w:rFonts w:ascii="Times New Roman" w:hAnsi="Times New Roman" w:eastAsia="Times New Roman"/>
          <w:sz w:val="24"/>
        </w:rPr>
        <w:t xml:space="preserve"> </w:t>
      </w:r>
      <w:r>
        <w:rPr>
          <w:rFonts w:ascii="Times New Roman" w:hAnsi="Times New Roman" w:eastAsia="Times New Roman"/>
          <w:sz w:val="24"/>
        </w:rPr>
        <w:t xml:space="preserve">branch contrast, 106 of 120 treated cells had a positive mean +30-day capability</w:t>
      </w:r>
      <w:r>
        <w:rPr>
          <w:rFonts w:ascii="Times New Roman" w:hAnsi="Times New Roman" w:eastAsia="Times New Roman"/>
          <w:sz w:val="24"/>
        </w:rPr>
        <w:t xml:space="preserve"> </w:t>
      </w:r>
      <w:r>
        <w:rPr>
          <w:rFonts w:ascii="Times New Roman" w:hAnsi="Times New Roman" w:eastAsia="Times New Roman"/>
          <w:sz w:val="24"/>
        </w:rPr>
        <w:t xml:space="preserve">gap and 96 of those 106 had lower +360-day indigenous coverage under continued</w:t>
      </w:r>
      <w:r>
        <w:rPr>
          <w:rFonts w:ascii="Times New Roman" w:hAnsi="Times New Roman" w:eastAsia="Times New Roman"/>
          <w:sz w:val="24"/>
        </w:rPr>
        <w:t xml:space="preserve"> </w:t>
      </w:r>
      <w:r>
        <w:rPr>
          <w:rFonts w:ascii="Times New Roman" w:hAnsi="Times New Roman" w:eastAsia="Times New Roman"/>
          <w:sz w:val="24"/>
        </w:rPr>
        <w:t xml:space="preserve">support. That result remains correct for its frozen branch estimand. It does not,</w:t>
      </w:r>
      <w:r>
        <w:rPr>
          <w:rFonts w:ascii="Times New Roman" w:hAnsi="Times New Roman" w:eastAsia="Times New Roman"/>
          <w:sz w:val="24"/>
        </w:rPr>
        <w:t xml:space="preserve"> </w:t>
      </w:r>
      <w:r>
        <w:rPr>
          <w:rFonts w:ascii="Times New Roman" w:hAnsi="Times New Roman" w:eastAsia="Times New Roman"/>
          <w:sz w:val="24"/>
        </w:rPr>
        <w:t xml:space="preserve">however, establish that continued support improved capability relative to no</w:t>
      </w:r>
      <w:r>
        <w:rPr>
          <w:rFonts w:ascii="Times New Roman" w:hAnsi="Times New Roman" w:eastAsia="Times New Roman"/>
          <w:sz w:val="24"/>
        </w:rPr>
        <w:t xml:space="preserve"> </w:t>
      </w:r>
      <w:r>
        <w:rPr>
          <w:rFonts w:ascii="Times New Roman" w:hAnsi="Times New Roman" w:eastAsia="Times New Roman"/>
          <w:sz w:val="24"/>
        </w:rPr>
        <w:t xml:space="preserve">aid.</w:t>
      </w:r>
    </w:p>
    <w:p>
      <w:pPr>
        <w:pStyle w:val="BodyText"/>
        <w:spacing w:line="480" w:lineRule="auto" w:before="0" w:after="0"/>
        <w:ind w:firstLine="720" w:left="0"/>
      </w:pPr>
      <w:r>
        <w:rPr>
          <w:rFonts w:ascii="Times New Roman" w:hAnsi="Times New Roman" w:eastAsia="Times New Roman"/>
          <w:sz w:val="24"/>
        </w:rPr>
        <w:t xml:space="preserve">The post-review control-matched analysis uses the 20 zero-support cells to make</w:t>
      </w:r>
      <w:r>
        <w:rPr>
          <w:rFonts w:ascii="Times New Roman" w:hAnsi="Times New Roman" w:eastAsia="Times New Roman"/>
          <w:sz w:val="24"/>
        </w:rPr>
        <w:t xml:space="preserve"> </w:t>
      </w:r>
      <w:r>
        <w:rPr>
          <w:rFonts w:ascii="Times New Roman" w:hAnsi="Times New Roman" w:eastAsia="Times New Roman"/>
          <w:sz w:val="24"/>
        </w:rPr>
        <w:t xml:space="preserve">that distinction explicit. At +30 days, the 120 treated cells divide as follows:</w:t>
      </w:r>
    </w:p>
    <w:tbl>
      <w:tblPr>
        <w:tblStyle w:val="Table"/>
        <w:tblW w:type="pct" w:w="5000"/>
        <w:tblLayout w:type="fixed"/>
        <w:tblLook w:firstRow="1" w:lastRow="0" w:firstColumn="0" w:lastColumn="0" w:noHBand="0" w:noVBand="0" w:val="0020"/>
        <w:jc w:val="center"/>
        <w:tblBorders>
          <w:top w:val="single" w:sz="12" w:space="0" w:color="000000"/>
          <w:left w:val="none"/>
          <w:bottom w:val="single" w:sz="12" w:space="0" w:color="000000"/>
          <w:right w:val="none"/>
          <w:insideH w:val="none"/>
          <w:insideV w:val="none"/>
        </w:tblBorders>
        <w:tblCellMar>
          <w:top w:w="120" w:type="dxa"/>
          <w:bottom w:w="120" w:type="dxa"/>
          <w:left w:w="160" w:type="dxa"/>
          <w:right w:w="160" w:type="dxa"/>
        </w:tblCellMar>
      </w:tblPr>
      <w:tblGrid>
        <w:gridCol w:w="2376"/>
        <w:gridCol w:w="2376"/>
        <w:gridCol w:w="3168"/>
      </w:tblGrid>
      <w:tr>
        <w:trPr>
          <w:tblHeader w:val="on"/>
          <w:cantSplit/>
          <w:tblHeader/>
        </w:trPr>
        <w:tc>
          <w:tcPr>
            <w:tcBorders>
              <w:bottom w:val="single" w:sz="6" w:space="0" w:color="000000"/>
              <w:top w:val="none"/>
              <w:left w:val="none"/>
              <w:right w:val="none"/>
            </w:tcBorders>
          </w:tcPr>
          <w:p>
            <w:pPr>
              <w:pStyle w:val="Compact"/>
              <w:keepNext/>
              <w:spacing w:line="252" w:lineRule="auto" w:after="40" w:before="40"/>
              <w:ind w:firstLine="0" w:left="0"/>
            </w:pPr>
            <w:r>
              <w:rPr>
                <w:rFonts w:ascii="Times New Roman" w:hAnsi="Times New Roman" w:eastAsia="Times New Roman"/>
                <w:b/>
                <w:sz w:val="19"/>
              </w:rPr>
              <w:t xml:space="preserve">Supported effect vs no aid</w:t>
            </w:r>
          </w:p>
        </w:tc>
        <w:tc>
          <w:tcPr>
            <w:tcBorders>
              <w:bottom w:val="single" w:sz="6" w:space="0" w:color="000000"/>
              <w:top w:val="none"/>
              <w:left w:val="none"/>
              <w:right w:val="none"/>
            </w:tcBorders>
          </w:tcPr>
          <w:p>
            <w:pPr>
              <w:pStyle w:val="Compact"/>
              <w:keepNext/>
              <w:spacing w:line="252" w:lineRule="auto" w:after="40" w:before="40"/>
              <w:ind w:firstLine="0" w:left="0"/>
            </w:pPr>
            <w:r>
              <w:rPr>
                <w:rFonts w:ascii="Times New Roman" w:hAnsi="Times New Roman" w:eastAsia="Times New Roman"/>
                <w:b/>
                <w:sz w:val="19"/>
              </w:rPr>
              <w:t xml:space="preserve">Retained effect after withdrawal vs no aid</w:t>
            </w:r>
          </w:p>
        </w:tc>
        <w:tc>
          <w:tcPr>
            <w:tcBorders>
              <w:bottom w:val="single" w:sz="6" w:space="0" w:color="000000"/>
              <w:top w:val="none"/>
              <w:left w:val="none"/>
              <w:right w:val="none"/>
            </w:tcBorders>
          </w:tcPr>
          <w:p>
            <w:pPr>
              <w:pStyle w:val="Compact"/>
              <w:keepNext/>
              <w:spacing w:line="252" w:lineRule="auto" w:after="40" w:before="40"/>
              <w:ind w:firstLine="0" w:left="0"/>
              <w:jc w:val="right"/>
            </w:pPr>
            <w:r>
              <w:rPr>
                <w:rFonts w:ascii="Times New Roman" w:hAnsi="Times New Roman" w:eastAsia="Times New Roman"/>
                <w:b/>
                <w:sz w:val="19"/>
              </w:rPr>
              <w:t xml:space="preserve">Cells</w:t>
            </w:r>
          </w:p>
        </w:tc>
      </w:tr>
      <w:tr>
        <w:trPr>
          <w:cantSplit/>
        </w:trPr>
        <w:tc>
          <w:tcPr/>
          <w:p>
            <w:pPr>
              <w:pStyle w:val="Compact"/>
              <w:keepNext/>
              <w:spacing w:line="252" w:lineRule="auto" w:after="40" w:before="40"/>
              <w:ind w:firstLine="0" w:left="0"/>
            </w:pPr>
            <w:r>
              <w:rPr>
                <w:rFonts w:ascii="Times New Roman" w:hAnsi="Times New Roman" w:eastAsia="Times New Roman"/>
                <w:sz w:val="19"/>
              </w:rPr>
              <w:t xml:space="preserve">Positive</w:t>
            </w:r>
          </w:p>
        </w:tc>
        <w:tc>
          <w:tcPr/>
          <w:p>
            <w:pPr>
              <w:pStyle w:val="Compact"/>
              <w:keepNext/>
              <w:spacing w:line="252" w:lineRule="auto" w:after="40" w:before="40"/>
              <w:ind w:firstLine="0" w:left="0"/>
            </w:pPr>
            <w:r>
              <w:rPr>
                <w:rFonts w:ascii="Times New Roman" w:hAnsi="Times New Roman" w:eastAsia="Times New Roman"/>
                <w:sz w:val="19"/>
              </w:rPr>
              <w:t xml:space="preserve">Negative</w:t>
            </w:r>
          </w:p>
        </w:tc>
        <w:tc>
          <w:tcPr/>
          <w:p>
            <w:pPr>
              <w:pStyle w:val="Compact"/>
              <w:keepNext/>
              <w:spacing w:line="252" w:lineRule="auto" w:after="40" w:before="40"/>
              <w:ind w:firstLine="0" w:left="0"/>
              <w:jc w:val="right"/>
            </w:pPr>
            <w:r>
              <w:rPr>
                <w:rFonts w:ascii="Times New Roman" w:hAnsi="Times New Roman" w:eastAsia="Times New Roman"/>
                <w:sz w:val="19"/>
              </w:rPr>
              <w:t xml:space="preserve">26</w:t>
            </w:r>
          </w:p>
        </w:tc>
      </w:tr>
      <w:tr>
        <w:trPr>
          <w:cantSplit/>
        </w:trPr>
        <w:tc>
          <w:tcPr/>
          <w:p>
            <w:pPr>
              <w:pStyle w:val="Compact"/>
              <w:keepNext/>
              <w:spacing w:line="252" w:lineRule="auto" w:after="40" w:before="40"/>
              <w:ind w:firstLine="0" w:left="0"/>
            </w:pPr>
            <w:r>
              <w:rPr>
                <w:rFonts w:ascii="Times New Roman" w:hAnsi="Times New Roman" w:eastAsia="Times New Roman"/>
                <w:sz w:val="19"/>
              </w:rPr>
              <w:t xml:space="preserve">Positive</w:t>
            </w:r>
          </w:p>
        </w:tc>
        <w:tc>
          <w:tcPr/>
          <w:p>
            <w:pPr>
              <w:pStyle w:val="Compact"/>
              <w:keepNext/>
              <w:spacing w:line="252" w:lineRule="auto" w:after="40" w:before="40"/>
              <w:ind w:firstLine="0" w:left="0"/>
            </w:pPr>
            <w:r>
              <w:rPr>
                <w:rFonts w:ascii="Times New Roman" w:hAnsi="Times New Roman" w:eastAsia="Times New Roman"/>
                <w:sz w:val="19"/>
              </w:rPr>
              <w:t xml:space="preserve">Positive</w:t>
            </w:r>
          </w:p>
        </w:tc>
        <w:tc>
          <w:tcPr/>
          <w:p>
            <w:pPr>
              <w:pStyle w:val="Compact"/>
              <w:keepNext/>
              <w:spacing w:line="252" w:lineRule="auto" w:after="40" w:before="40"/>
              <w:ind w:firstLine="0" w:left="0"/>
              <w:jc w:val="right"/>
            </w:pPr>
            <w:r>
              <w:rPr>
                <w:rFonts w:ascii="Times New Roman" w:hAnsi="Times New Roman" w:eastAsia="Times New Roman"/>
                <w:sz w:val="19"/>
              </w:rPr>
              <w:t xml:space="preserve">30</w:t>
            </w:r>
          </w:p>
        </w:tc>
      </w:tr>
      <w:tr>
        <w:trPr>
          <w:cantSplit/>
        </w:trPr>
        <w:tc>
          <w:tcPr/>
          <w:p>
            <w:pPr>
              <w:pStyle w:val="Compact"/>
              <w:keepNext/>
              <w:spacing w:line="252" w:lineRule="auto" w:after="40" w:before="40"/>
              <w:ind w:firstLine="0" w:left="0"/>
            </w:pPr>
            <w:r>
              <w:rPr>
                <w:rFonts w:ascii="Times New Roman" w:hAnsi="Times New Roman" w:eastAsia="Times New Roman"/>
                <w:sz w:val="19"/>
              </w:rPr>
              <w:t xml:space="preserve">Negative</w:t>
            </w:r>
          </w:p>
        </w:tc>
        <w:tc>
          <w:tcPr/>
          <w:p>
            <w:pPr>
              <w:pStyle w:val="Compact"/>
              <w:keepNext/>
              <w:spacing w:line="252" w:lineRule="auto" w:after="40" w:before="40"/>
              <w:ind w:firstLine="0" w:left="0"/>
            </w:pPr>
            <w:r>
              <w:rPr>
                <w:rFonts w:ascii="Times New Roman" w:hAnsi="Times New Roman" w:eastAsia="Times New Roman"/>
                <w:sz w:val="19"/>
              </w:rPr>
              <w:t xml:space="preserve">Negative</w:t>
            </w:r>
          </w:p>
        </w:tc>
        <w:tc>
          <w:tcPr/>
          <w:p>
            <w:pPr>
              <w:pStyle w:val="Compact"/>
              <w:keepNext/>
              <w:spacing w:line="252" w:lineRule="auto" w:after="40" w:before="40"/>
              <w:ind w:firstLine="0" w:left="0"/>
              <w:jc w:val="right"/>
            </w:pPr>
            <w:r>
              <w:rPr>
                <w:rFonts w:ascii="Times New Roman" w:hAnsi="Times New Roman" w:eastAsia="Times New Roman"/>
                <w:sz w:val="19"/>
              </w:rPr>
              <w:t xml:space="preserve">51</w:t>
            </w:r>
          </w:p>
        </w:tc>
      </w:tr>
      <w:tr>
        <w:trPr>
          <w:cantSplit/>
        </w:trPr>
        <w:tc>
          <w:tcPr/>
          <w:p>
            <w:pPr>
              <w:pStyle w:val="Compact"/>
              <w:keepNext/>
              <w:spacing w:line="252" w:lineRule="auto" w:after="40" w:before="40"/>
              <w:ind w:firstLine="0" w:left="0"/>
            </w:pPr>
            <w:r>
              <w:rPr>
                <w:rFonts w:ascii="Times New Roman" w:hAnsi="Times New Roman" w:eastAsia="Times New Roman"/>
                <w:sz w:val="19"/>
              </w:rPr>
              <w:t xml:space="preserve">Negative</w:t>
            </w:r>
          </w:p>
        </w:tc>
        <w:tc>
          <w:tcPr/>
          <w:p>
            <w:pPr>
              <w:pStyle w:val="Compact"/>
              <w:keepNext/>
              <w:spacing w:line="252" w:lineRule="auto" w:after="40" w:before="40"/>
              <w:ind w:firstLine="0" w:left="0"/>
            </w:pPr>
            <w:r>
              <w:rPr>
                <w:rFonts w:ascii="Times New Roman" w:hAnsi="Times New Roman" w:eastAsia="Times New Roman"/>
                <w:sz w:val="19"/>
              </w:rPr>
              <w:t xml:space="preserve">Positive</w:t>
            </w:r>
          </w:p>
        </w:tc>
        <w:tc>
          <w:tcPr/>
          <w:p>
            <w:pPr>
              <w:pStyle w:val="Compact"/>
              <w:keepNext/>
              <w:spacing w:line="252" w:lineRule="auto" w:after="40" w:before="40"/>
              <w:ind w:firstLine="0" w:left="0"/>
              <w:jc w:val="right"/>
            </w:pPr>
            <w:r>
              <w:rPr>
                <w:rFonts w:ascii="Times New Roman" w:hAnsi="Times New Roman" w:eastAsia="Times New Roman"/>
                <w:sz w:val="19"/>
              </w:rPr>
              <w:t xml:space="preserve">1</w:t>
            </w:r>
          </w:p>
        </w:tc>
      </w:tr>
      <w:tr>
        <w:trPr>
          <w:cantSplit/>
        </w:trPr>
        <w:tc>
          <w:tcPr/>
          <w:p>
            <w:pPr>
              <w:pStyle w:val="Compact"/>
              <w:spacing w:line="252" w:lineRule="auto" w:after="40" w:before="40"/>
              <w:ind w:firstLine="0" w:left="0"/>
            </w:pPr>
            <w:r>
              <w:rPr>
                <w:rFonts w:ascii="Times New Roman" w:hAnsi="Times New Roman" w:eastAsia="Times New Roman"/>
                <w:sz w:val="19"/>
              </w:rPr>
              <w:t xml:space="preserve">At least one effect within the epsilon-neutral band</w:t>
            </w:r>
          </w:p>
        </w:tc>
        <w:tc>
          <w:tcPr/>
          <w:p>
            <w:pPr>
              <w:pStyle w:val="Compact"/>
              <w:spacing w:line="252" w:lineRule="auto" w:after="40" w:before="40"/>
              <w:ind w:firstLine="0" w:left="0"/>
            </w:pPr>
          </w:p>
        </w:tc>
        <w:tc>
          <w:tcPr/>
          <w:p>
            <w:pPr>
              <w:pStyle w:val="Compact"/>
              <w:spacing w:line="252" w:lineRule="auto" w:after="40" w:before="40"/>
              <w:ind w:firstLine="0" w:left="0"/>
              <w:jc w:val="right"/>
            </w:pPr>
            <w:r>
              <w:rPr>
                <w:rFonts w:ascii="Times New Roman" w:hAnsi="Times New Roman" w:eastAsia="Times New Roman"/>
                <w:sz w:val="19"/>
              </w:rPr>
              <w:t xml:space="preserve">12</w:t>
            </w:r>
          </w:p>
        </w:tc>
      </w:tr>
    </w:tbl>
    <w:p>
      <w:pPr>
        <w:pStyle w:val="BodyText"/>
        <w:spacing w:line="480" w:lineRule="auto" w:before="0" w:after="0"/>
        <w:ind w:firstLine="720" w:left="0"/>
      </w:pPr>
      <w:r>
        <w:rPr>
          <w:rFonts w:ascii="Times New Roman" w:hAnsi="Times New Roman" w:eastAsia="Times New Roman"/>
          <w:sz w:val="24"/>
        </w:rPr>
        <w:t xml:space="preserve">The strong success-without-retention pattern therefore appears in 26 of 120</w:t>
      </w:r>
      <w:r>
        <w:rPr>
          <w:rFonts w:ascii="Times New Roman" w:hAnsi="Times New Roman" w:eastAsia="Times New Roman"/>
          <w:sz w:val="24"/>
        </w:rPr>
        <w:t xml:space="preserve"> </w:t>
      </w:r>
      <w:r>
        <w:rPr>
          <w:rFonts w:ascii="Times New Roman" w:hAnsi="Times New Roman" w:eastAsia="Times New Roman"/>
          <w:sz w:val="24"/>
        </w:rPr>
        <w:t xml:space="preserve">treated cells at +30 days, not in 96 of 106 cells. The latter count describes a</w:t>
      </w:r>
      <w:r>
        <w:rPr>
          <w:rFonts w:ascii="Times New Roman" w:hAnsi="Times New Roman" w:eastAsia="Times New Roman"/>
          <w:sz w:val="24"/>
        </w:rPr>
        <w:t xml:space="preserve"> </w:t>
      </w:r>
      <w:r>
        <w:rPr>
          <w:rFonts w:ascii="Times New Roman" w:hAnsi="Times New Roman" w:eastAsia="Times New Roman"/>
          <w:sz w:val="24"/>
        </w:rPr>
        <w:t xml:space="preserve">different quantity: whether continued support outperforms withdrawal after a</w:t>
      </w:r>
      <w:r>
        <w:rPr>
          <w:rFonts w:ascii="Times New Roman" w:hAnsi="Times New Roman" w:eastAsia="Times New Roman"/>
          <w:sz w:val="24"/>
        </w:rPr>
        <w:t xml:space="preserve"> </w:t>
      </w:r>
      <w:r>
        <w:rPr>
          <w:rFonts w:ascii="Times New Roman" w:hAnsi="Times New Roman" w:eastAsia="Times New Roman"/>
          <w:sz w:val="24"/>
        </w:rPr>
        <w:t xml:space="preserve">common supported prehistory.</w:t>
      </w:r>
    </w:p>
    <w:p>
      <w:pPr>
        <w:pStyle w:val="BodyText"/>
        <w:spacing w:line="480" w:lineRule="auto" w:before="0" w:after="0"/>
        <w:ind w:firstLine="720" w:left="0"/>
      </w:pPr>
      <w:r>
        <w:rPr>
          <w:rFonts w:ascii="Times New Roman" w:hAnsi="Times New Roman" w:eastAsia="Times New Roman"/>
          <w:sz w:val="24"/>
        </w:rPr>
        <w:t xml:space="preserve">The 51 cells in which assistance fails to outperform no aid in either branch (42.5 percent of treated cells) represent a major empirical category that differs sharply from the 26-cell success-without-retention bucket. Examining cell-level covariates reveals that the both-negative outcome is heavily concentrated in command-constrained forces and low-to-moderate assistance intensities. Fully 21 of the 30 command-constrained cells (70.0 percent) fall into this both-negative bucket, comprising 41.2 percent of all 51 cells. When command capacity is severely limited, external material or logistics provision cannot be coordinated effectively across operational formations, leaving the force more vulnerable to attrition and fragmentation than in the unassisted counterfactual. Furthermore, 24 of the 51 both-negative cells (47.1 percent) occur at low or moderate support intensities (0.25 and 0.50), where external service is insufficient to overcome baseline operational drag. By sharp contrast, the 26</w:t>
      </w:r>
      <w:r>
        <w:rPr>
          <w:rFonts w:ascii="Times New Roman" w:hAnsi="Times New Roman" w:eastAsia="Times New Roman"/>
          <w:sz w:val="24"/>
        </w:rPr>
        <w:t xml:space="preserve"> </w:t>
      </w:r>
      <w:r>
        <w:rPr>
          <w:rFonts w:ascii="Times New Roman" w:hAnsi="Times New Roman" w:eastAsia="Times New Roman"/>
          <w:sz w:val="24"/>
        </w:rPr>
        <w:t xml:space="preserve">“suffering from success”</w:t>
      </w:r>
      <w:r>
        <w:rPr>
          <w:rFonts w:ascii="Times New Roman" w:hAnsi="Times New Roman" w:eastAsia="Times New Roman"/>
          <w:sz w:val="24"/>
        </w:rPr>
        <w:t xml:space="preserve"> </w:t>
      </w:r>
      <w:r>
        <w:rPr>
          <w:rFonts w:ascii="Times New Roman" w:hAnsi="Times New Roman" w:eastAsia="Times New Roman"/>
          <w:sz w:val="24"/>
        </w:rPr>
        <w:t xml:space="preserve">cells are heavily concentrated at high support intensities: 18 of the 26 cells (69.2 percent) occur at intensities 1.5 and 2.0. True success-without-retention in the model is thus a high-dose phenomenon, where massive external substitution temporarily elevates operational capability while building a heavy logistics footprint that collapses once support ends.</w:t>
      </w:r>
    </w:p>
    <w:p>
      <w:pPr>
        <w:pStyle w:val="BodyText"/>
        <w:spacing w:line="480" w:lineRule="auto" w:before="0" w:after="0"/>
        <w:ind w:firstLine="720" w:left="0"/>
      </w:pPr>
      <w:r>
        <w:rPr>
          <w:rFonts w:ascii="Times New Roman" w:hAnsi="Times New Roman" w:eastAsia="Times New Roman"/>
          <w:sz w:val="24"/>
        </w:rPr>
        <w:t xml:space="preserve">A single cell (</w:t>
      </w:r>
      <w:r>
        <w:rPr>
          <w:rStyle w:val="VerbatimChar"/>
          <w:rFonts w:ascii="Times New Roman" w:hAnsi="Times New Roman" w:eastAsia="Times New Roman"/>
          <w:sz w:val="24"/>
        </w:rPr>
        <w:t xml:space="preserve">phase_094</w:t>
      </w:r>
      <w:r>
        <w:rPr>
          <w:rFonts w:ascii="Times New Roman" w:hAnsi="Times New Roman" w:eastAsia="Times New Roman"/>
          <w:sz w:val="24"/>
        </w:rPr>
        <w:t xml:space="preserve">: command-constrained, capacity level 0.55, support intensity 0.5) exhibits a nominally negative supported effect (-0.00054) and a positive retained effect (+0.00263). This result does not reflect a substantive dynamic where withdrawal improved the force. Both effects lie within a fraction of a percentage point of zero, and seed-level supported effects range widely from -0.067 to +0.052 across its 12 seeds. The cell is functionally neutral and falls into the upper-left quadrant solely due to minute seed-level sampling jitter around the origin.</w:t>
      </w:r>
    </w:p>
    <w:p>
      <w:pPr>
        <w:pStyle w:val="BodyText"/>
        <w:spacing w:line="480" w:lineRule="auto" w:before="0" w:after="0"/>
        <w:ind w:firstLine="720" w:left="0"/>
      </w:pPr>
      <w:r>
        <w:rPr>
          <w:rFonts w:ascii="Times New Roman" w:hAnsi="Times New Roman" w:eastAsia="Times New Roman"/>
          <w:sz w:val="24"/>
        </w:rPr>
        <w:t xml:space="preserve">The mean decomposition reinforces the distinction. Across all treated worlds at</w:t>
      </w:r>
      <w:r>
        <w:rPr>
          <w:rFonts w:ascii="Times New Roman" w:hAnsi="Times New Roman" w:eastAsia="Times New Roman"/>
          <w:sz w:val="24"/>
        </w:rPr>
        <w:t xml:space="preserve"> </w:t>
      </w:r>
      <w:r>
        <w:rPr>
          <w:rFonts w:ascii="Times New Roman" w:hAnsi="Times New Roman" w:eastAsia="Times New Roman"/>
          <w:sz w:val="24"/>
        </w:rPr>
        <w:t xml:space="preserve">+30 days, continued support is only +0.00036 above the matched no-aid trajectory</w:t>
      </w:r>
      <w:r>
        <w:rPr>
          <w:rFonts w:ascii="Times New Roman" w:hAnsi="Times New Roman" w:eastAsia="Times New Roman"/>
          <w:sz w:val="24"/>
        </w:rPr>
        <w:t xml:space="preserve"> </w:t>
      </w:r>
      <w:r>
        <w:rPr>
          <w:rFonts w:ascii="Times New Roman" w:hAnsi="Times New Roman" w:eastAsia="Times New Roman"/>
          <w:sz w:val="24"/>
        </w:rPr>
        <w:t xml:space="preserve">on the unit-scale composite-capability index, while the withdrawal branch is</w:t>
      </w:r>
      <w:r>
        <w:rPr>
          <w:rFonts w:ascii="Times New Roman" w:hAnsi="Times New Roman" w:eastAsia="Times New Roman"/>
          <w:sz w:val="24"/>
        </w:rPr>
        <w:t xml:space="preserve"> </w:t>
      </w:r>
      <w:r>
        <w:rPr>
          <w:rFonts w:ascii="Times New Roman" w:hAnsi="Times New Roman" w:eastAsia="Times New Roman"/>
          <w:sz w:val="24"/>
        </w:rPr>
        <w:t xml:space="preserve">-0.02378 below no aid. Their mean dependency gap is +0.02414. At +360 days, the</w:t>
      </w:r>
      <w:r>
        <w:rPr>
          <w:rFonts w:ascii="Times New Roman" w:hAnsi="Times New Roman" w:eastAsia="Times New Roman"/>
          <w:sz w:val="24"/>
        </w:rPr>
        <w:t xml:space="preserve"> </w:t>
      </w:r>
      <w:r>
        <w:rPr>
          <w:rFonts w:ascii="Times New Roman" w:hAnsi="Times New Roman" w:eastAsia="Times New Roman"/>
          <w:sz w:val="24"/>
        </w:rPr>
        <w:t xml:space="preserve">corresponding means are -0.00326, -0.02443, and +0.02118. Thus a positive</w:t>
      </w:r>
      <w:r>
        <w:rPr>
          <w:rFonts w:ascii="Times New Roman" w:hAnsi="Times New Roman" w:eastAsia="Times New Roman"/>
          <w:sz w:val="24"/>
        </w:rPr>
        <w:t xml:space="preserve"> </w:t>
      </w:r>
      <w:r>
        <w:rPr>
          <w:rFonts w:ascii="Times New Roman" w:hAnsi="Times New Roman" w:eastAsia="Times New Roman"/>
          <w:sz w:val="24"/>
        </w:rPr>
        <w:t xml:space="preserve">continued-support-minus-withdrawal contrast can coexist with little or no net</w:t>
      </w:r>
      <w:r>
        <w:rPr>
          <w:rFonts w:ascii="Times New Roman" w:hAnsi="Times New Roman" w:eastAsia="Times New Roman"/>
          <w:sz w:val="24"/>
        </w:rPr>
        <w:t xml:space="preserve"> </w:t>
      </w:r>
      <w:r>
        <w:rPr>
          <w:rFonts w:ascii="Times New Roman" w:hAnsi="Times New Roman" w:eastAsia="Times New Roman"/>
          <w:sz w:val="24"/>
        </w:rPr>
        <w:t xml:space="preserve">supported advantage over no aid because part of the gap reflects deterioration</w:t>
      </w:r>
      <w:r>
        <w:rPr>
          <w:rFonts w:ascii="Times New Roman" w:hAnsi="Times New Roman" w:eastAsia="Times New Roman"/>
          <w:sz w:val="24"/>
        </w:rPr>
        <w:t xml:space="preserve"> </w:t>
      </w:r>
      <w:r>
        <w:rPr>
          <w:rFonts w:ascii="Times New Roman" w:hAnsi="Times New Roman" w:eastAsia="Times New Roman"/>
          <w:sz w:val="24"/>
        </w:rPr>
        <w:t xml:space="preserve">after withdrawal.</w:t>
      </w:r>
    </w:p>
    <w:p>
      <w:pPr>
        <w:pStyle w:val="BodyText"/>
        <w:spacing w:line="480" w:lineRule="auto" w:before="0" w:after="0"/>
        <w:ind w:firstLine="720" w:left="0"/>
      </w:pPr>
      <w:r>
        <w:rPr>
          <w:rFonts w:ascii="Times New Roman" w:hAnsi="Times New Roman" w:eastAsia="Times New Roman"/>
          <w:sz w:val="24"/>
        </w:rPr>
        <w:t xml:space="preserve">This result changes the interpretation of the Phase Map. It identifies a set of</w:t>
      </w:r>
      <w:r>
        <w:rPr>
          <w:rFonts w:ascii="Times New Roman" w:hAnsi="Times New Roman" w:eastAsia="Times New Roman"/>
          <w:sz w:val="24"/>
        </w:rPr>
        <w:t xml:space="preserve"> </w:t>
      </w:r>
      <w:r>
        <w:rPr>
          <w:rFonts w:ascii="Times New Roman" w:hAnsi="Times New Roman" w:eastAsia="Times New Roman"/>
          <w:sz w:val="24"/>
        </w:rPr>
        <w:t xml:space="preserve">genuine success-without-retention cases, a set in which both supported and</w:t>
      </w:r>
      <w:r>
        <w:rPr>
          <w:rFonts w:ascii="Times New Roman" w:hAnsi="Times New Roman" w:eastAsia="Times New Roman"/>
          <w:sz w:val="24"/>
        </w:rPr>
        <w:t xml:space="preserve"> </w:t>
      </w:r>
      <w:r>
        <w:rPr>
          <w:rFonts w:ascii="Times New Roman" w:hAnsi="Times New Roman" w:eastAsia="Times New Roman"/>
          <w:sz w:val="24"/>
        </w:rPr>
        <w:t xml:space="preserve">retained capability improve, and a large set in which neither branch beats the</w:t>
      </w:r>
      <w:r>
        <w:rPr>
          <w:rFonts w:ascii="Times New Roman" w:hAnsi="Times New Roman" w:eastAsia="Times New Roman"/>
          <w:sz w:val="24"/>
        </w:rPr>
        <w:t xml:space="preserve"> </w:t>
      </w:r>
      <w:r>
        <w:rPr>
          <w:rFonts w:ascii="Times New Roman" w:hAnsi="Times New Roman" w:eastAsia="Times New Roman"/>
          <w:sz w:val="24"/>
        </w:rPr>
        <w:t xml:space="preserve">matched no-aid benchmark. The paper therefore treats the three quantities</w:t>
      </w:r>
      <w:r>
        <w:rPr>
          <w:rFonts w:ascii="Times New Roman" w:hAnsi="Times New Roman" w:eastAsia="Times New Roman"/>
          <w:sz w:val="24"/>
        </w:rPr>
        <w:t xml:space="preserve"> </w:t>
      </w:r>
      <w:r>
        <w:rPr>
          <w:rFonts w:ascii="Times New Roman" w:hAnsi="Times New Roman" w:eastAsia="Times New Roman"/>
          <w:sz w:val="24"/>
        </w:rPr>
        <w:t xml:space="preserve">separately rather than calling every positive branch gap a successful program.</w:t>
      </w:r>
    </w:p>
    <w:p>
      <w:pPr>
        <w:pStyle w:val="CaptionedFigure"/>
        <w:keepNext/>
        <w:spacing w:before="240" w:after="120"/>
        <w:ind w:firstLine="0" w:left="0"/>
        <w:jc w:val="center"/>
      </w:pPr>
      <w:r>
        <w:rPr/>
        <w:drawing>
          <wp:inline>
            <wp:extent cx="5553567" cy="4932264"/>
            <wp:effectExtent b="0" l="0" r="0" t="0"/>
            <wp:docPr descr="Figure 2. Supported capability relative to matched no aid versus retained capability after withdrawal relative to matched no aid at +30 days. Each point is a treated Phase-Map cell. Marker shape identifies the nominal starting structure and marker size increases with support intensity." title="" id="87" name="Picture"/>
            <a:graphic>
              <a:graphicData uri="http://schemas.openxmlformats.org/drawingml/2006/picture">
                <pic:pic>
                  <pic:nvPicPr>
                    <pic:cNvPr descr="figures/figure2_supported_retained.png" id="88" name="Picture"/>
                    <pic:cNvPicPr>
                      <a:picLocks noChangeArrowheads="1" noChangeAspect="1"/>
                    </pic:cNvPicPr>
                  </pic:nvPicPr>
                  <pic:blipFill>
                    <a:blip r:embed="rId86"/>
                    <a:stretch>
                      <a:fillRect/>
                    </a:stretch>
                  </pic:blipFill>
                  <pic:spPr bwMode="auto">
                    <a:xfrm>
                      <a:off x="0" y="0"/>
                      <a:ext cx="5553567" cy="4932264"/>
                    </a:xfrm>
                    <a:prstGeom prst="rect">
                      <a:avLst/>
                    </a:prstGeom>
                    <a:noFill/>
                    <a:ln w="9525">
                      <a:noFill/>
                      <a:headEnd/>
                      <a:tailEnd/>
                    </a:ln>
                  </pic:spPr>
                </pic:pic>
              </a:graphicData>
            </a:graphic>
          </wp:inline>
        </w:drawing>
      </w:r>
    </w:p>
    <w:p>
      <w:pPr>
        <w:pStyle w:val="ImageCaption"/>
        <w:keepNext w:val="0"/>
        <w:spacing w:line="276" w:lineRule="auto" w:before="120" w:after="240"/>
        <w:ind w:firstLine="0" w:left="0"/>
      </w:pPr>
      <w:r>
        <w:rPr>
          <w:rFonts w:ascii="Times New Roman" w:hAnsi="Times New Roman" w:eastAsia="Times New Roman"/>
          <w:sz w:val="20"/>
        </w:rPr>
        <w:t xml:space="preserve">Figure 2. Supported capability relative to matched no aid versus retained</w:t>
      </w:r>
      <w:r>
        <w:rPr>
          <w:rFonts w:ascii="Times New Roman" w:hAnsi="Times New Roman" w:eastAsia="Times New Roman"/>
          <w:sz w:val="20"/>
        </w:rPr>
        <w:t xml:space="preserve"> </w:t>
      </w:r>
      <w:r>
        <w:rPr>
          <w:rFonts w:ascii="Times New Roman" w:hAnsi="Times New Roman" w:eastAsia="Times New Roman"/>
          <w:sz w:val="20"/>
        </w:rPr>
        <w:t xml:space="preserve">capability after withdrawal relative to matched no aid at +30 days. Each point</w:t>
      </w:r>
      <w:r>
        <w:rPr>
          <w:rFonts w:ascii="Times New Roman" w:hAnsi="Times New Roman" w:eastAsia="Times New Roman"/>
          <w:sz w:val="20"/>
        </w:rPr>
        <w:t xml:space="preserve"> </w:t>
      </w:r>
      <w:r>
        <w:rPr>
          <w:rFonts w:ascii="Times New Roman" w:hAnsi="Times New Roman" w:eastAsia="Times New Roman"/>
          <w:sz w:val="20"/>
        </w:rPr>
        <w:t xml:space="preserve">is a treated Phase-Map cell. Marker shape identifies the nominal starting</w:t>
      </w:r>
      <w:r>
        <w:rPr>
          <w:rFonts w:ascii="Times New Roman" w:hAnsi="Times New Roman" w:eastAsia="Times New Roman"/>
          <w:sz w:val="20"/>
        </w:rPr>
        <w:t xml:space="preserve"> </w:t>
      </w:r>
      <w:r>
        <w:rPr>
          <w:rFonts w:ascii="Times New Roman" w:hAnsi="Times New Roman" w:eastAsia="Times New Roman"/>
          <w:sz w:val="20"/>
        </w:rPr>
        <w:t xml:space="preserve">structure and marker size increases with support intensity.</w:t>
      </w:r>
    </w:p>
    <w:bookmarkEnd w:id="89"/>
    <w:bookmarkStart w:id="93" w:name="X6234c5db11fc1cfeee2597c7858cc49248c1e6a"/>
    <w:p>
      <w:pPr>
        <w:pStyle w:val="Heading2"/>
        <w:keepNext/>
        <w:spacing w:line="480" w:lineRule="auto" w:after="0" w:before="120"/>
        <w:ind w:firstLine="0" w:left="0"/>
      </w:pPr>
      <w:r>
        <w:rPr>
          <w:rFonts w:ascii="Times New Roman" w:hAnsi="Times New Roman" w:eastAsia="Times New Roman"/>
          <w:b/>
          <w:i/>
          <w:sz w:val="24"/>
        </w:rPr>
        <w:t xml:space="preserve">5.2 The terminal coverage gap is produced by both indigenous service and demand</w:t>
      </w:r>
    </w:p>
    <w:p>
      <w:pPr>
        <w:pStyle w:val="FirstParagraph"/>
        <w:spacing w:line="480" w:lineRule="auto" w:before="0" w:after="0"/>
        <w:ind w:firstLine="720" w:left="0"/>
      </w:pPr>
      <w:r>
        <w:rPr>
          <w:rFonts w:ascii="Times New Roman" w:hAnsi="Times New Roman" w:eastAsia="Times New Roman"/>
          <w:sz w:val="24"/>
        </w:rPr>
        <w:t xml:space="preserve">The endogenous denominator of the coverage ratio is substantively important.</w:t>
      </w:r>
      <w:r>
        <w:rPr>
          <w:rFonts w:ascii="Times New Roman" w:hAnsi="Times New Roman" w:eastAsia="Times New Roman"/>
          <w:sz w:val="24"/>
        </w:rPr>
        <w:t xml:space="preserve"> </w:t>
      </w:r>
      <w:r>
        <w:rPr>
          <w:rFonts w:ascii="Times New Roman" w:hAnsi="Times New Roman" w:eastAsia="Times New Roman"/>
          <w:sz w:val="24"/>
        </w:rPr>
        <w:t xml:space="preserve">Among 1,189 treated Phase-Map worlds with a negative +360-day indigenous-</w:t>
      </w:r>
      <w:r>
        <w:rPr>
          <w:rFonts w:ascii="Times New Roman" w:hAnsi="Times New Roman" w:eastAsia="Times New Roman"/>
          <w:sz w:val="24"/>
        </w:rPr>
        <w:t xml:space="preserve"> </w:t>
      </w:r>
      <w:r>
        <w:rPr>
          <w:rFonts w:ascii="Times New Roman" w:hAnsi="Times New Roman" w:eastAsia="Times New Roman"/>
          <w:sz w:val="24"/>
        </w:rPr>
        <w:t xml:space="preserve">coverage branch contrast, 1,174 end with the same binding service in both</w:t>
      </w:r>
      <w:r>
        <w:rPr>
          <w:rFonts w:ascii="Times New Roman" w:hAnsi="Times New Roman" w:eastAsia="Times New Roman"/>
          <w:sz w:val="24"/>
        </w:rPr>
        <w:t xml:space="preserve"> </w:t>
      </w:r>
      <w:r>
        <w:rPr>
          <w:rFonts w:ascii="Times New Roman" w:hAnsi="Times New Roman" w:eastAsia="Times New Roman"/>
          <w:sz w:val="24"/>
        </w:rPr>
        <w:t xml:space="preserve">branches, almost entirely logistics. Within those same-terminal worlds, 95.9</w:t>
      </w:r>
      <w:r>
        <w:rPr>
          <w:rFonts w:ascii="Times New Roman" w:hAnsi="Times New Roman" w:eastAsia="Times New Roman"/>
          <w:sz w:val="24"/>
        </w:rPr>
        <w:t xml:space="preserve"> </w:t>
      </w:r>
      <w:r>
        <w:rPr>
          <w:rFonts w:ascii="Times New Roman" w:hAnsi="Times New Roman" w:eastAsia="Times New Roman"/>
          <w:sz w:val="24"/>
        </w:rPr>
        <w:t xml:space="preserve">percent have higher logistics demand under continued support, whereas 19.8</w:t>
      </w:r>
      <w:r>
        <w:rPr>
          <w:rFonts w:ascii="Times New Roman" w:hAnsi="Times New Roman" w:eastAsia="Times New Roman"/>
          <w:sz w:val="24"/>
        </w:rPr>
        <w:t xml:space="preserve"> </w:t>
      </w:r>
      <w:r>
        <w:rPr>
          <w:rFonts w:ascii="Times New Roman" w:hAnsi="Times New Roman" w:eastAsia="Times New Roman"/>
          <w:sz w:val="24"/>
        </w:rPr>
        <w:t xml:space="preserve">percent have lower indigenous logistics delivery. Both lower indigenous service</w:t>
      </w:r>
      <w:r>
        <w:rPr>
          <w:rFonts w:ascii="Times New Roman" w:hAnsi="Times New Roman" w:eastAsia="Times New Roman"/>
          <w:sz w:val="24"/>
        </w:rPr>
        <w:t xml:space="preserve"> </w:t>
      </w:r>
      <w:r>
        <w:rPr>
          <w:rFonts w:ascii="Times New Roman" w:hAnsi="Times New Roman" w:eastAsia="Times New Roman"/>
          <w:sz w:val="24"/>
        </w:rPr>
        <w:t xml:space="preserve">and higher demand occur in 15.8 percent.</w:t>
      </w:r>
    </w:p>
    <w:p>
      <w:pPr>
        <w:pStyle w:val="BodyText"/>
        <w:spacing w:line="480" w:lineRule="auto" w:before="0" w:after="0"/>
        <w:ind w:firstLine="720" w:left="0"/>
      </w:pPr>
      <w:r>
        <w:rPr>
          <w:rFonts w:ascii="Times New Roman" w:hAnsi="Times New Roman" w:eastAsia="Times New Roman"/>
          <w:sz w:val="24"/>
        </w:rPr>
        <w:t xml:space="preserve">For worlds with positive quantities, the exact decomposition</w:t>
      </w:r>
    </w:p>
    <w:p>
      <w:pPr>
        <w:pStyle w:val="BodyText"/>
      </w:pPr>
      <m:oMathPara>
        <m:oMathParaPr>
          <m:jc m:val="center"/>
        </m:oMathParaPr>
        <m:oMath>
          <m:r>
            <m:rPr>
              <m:sty m:val="p"/>
            </m:rPr>
            <m:t>Δ</m:t>
          </m:r>
          <m:r>
            <m:rPr>
              <m:sty m:val="p"/>
            </m:rPr>
            <m:t>ln</m:t>
          </m:r>
          <m:r>
            <m:t>q</m:t>
          </m:r>
          <m:r>
            <m:rPr>
              <m:sty m:val="p"/>
            </m:rPr>
            <m:t>=</m:t>
          </m:r>
          <m:r>
            <m:rPr>
              <m:sty m:val="p"/>
            </m:rPr>
            <m:t>Δ</m:t>
          </m:r>
          <m:r>
            <m:rPr>
              <m:sty m:val="p"/>
            </m:rPr>
            <m:t>ln</m:t>
          </m:r>
          <m:r>
            <m:t>I</m:t>
          </m:r>
          <m:r>
            <m:rPr>
              <m:sty m:val="p"/>
            </m:rPr>
            <m:t>−</m:t>
          </m:r>
          <m:r>
            <m:rPr>
              <m:sty m:val="p"/>
            </m:rPr>
            <m:t>Δ</m:t>
          </m:r>
          <m:r>
            <m:rPr>
              <m:sty m:val="p"/>
            </m:rPr>
            <m:t>ln</m:t>
          </m:r>
          <m:r>
            <m:t>D</m:t>
          </m:r>
        </m:oMath>
      </m:oMathPara>
    </w:p>
    <w:p>
      <w:pPr>
        <w:pStyle w:val="FirstParagraph"/>
        <w:spacing w:line="480" w:lineRule="auto" w:before="0" w:after="0"/>
        <w:ind w:firstLine="720" w:left="0"/>
      </w:pPr>
      <w:r>
        <w:rPr>
          <w:rFonts w:ascii="Times New Roman" w:hAnsi="Times New Roman" w:eastAsia="Times New Roman"/>
          <w:sz w:val="24"/>
        </w:rPr>
        <w:t xml:space="preserve">gives a mean indigenous-service term of -0.0733 and a mean demand term of</w:t>
      </w:r>
      <w:r>
        <w:rPr>
          <w:rFonts w:ascii="Times New Roman" w:hAnsi="Times New Roman" w:eastAsia="Times New Roman"/>
          <w:sz w:val="24"/>
        </w:rPr>
        <w:t xml:space="preserve"> </w:t>
      </w:r>
      <w:r>
        <w:rPr>
          <w:rFonts w:ascii="Times New Roman" w:hAnsi="Times New Roman" w:eastAsia="Times New Roman"/>
          <w:sz w:val="24"/>
        </w:rPr>
        <w:t xml:space="preserve">+0.0820, producing a mean log coverage gap of approximately -0.1553. In other</w:t>
      </w:r>
      <w:r>
        <w:rPr>
          <w:rFonts w:ascii="Times New Roman" w:hAnsi="Times New Roman" w:eastAsia="Times New Roman"/>
          <w:sz w:val="24"/>
        </w:rPr>
        <w:t xml:space="preserve"> </w:t>
      </w:r>
      <w:r>
        <w:rPr>
          <w:rFonts w:ascii="Times New Roman" w:hAnsi="Times New Roman" w:eastAsia="Times New Roman"/>
          <w:sz w:val="24"/>
        </w:rPr>
        <w:t xml:space="preserve">words, requirement expansion contributes slightly more than indigenous-service</w:t>
      </w:r>
      <w:r>
        <w:rPr>
          <w:rFonts w:ascii="Times New Roman" w:hAnsi="Times New Roman" w:eastAsia="Times New Roman"/>
          <w:sz w:val="24"/>
        </w:rPr>
        <w:t xml:space="preserve"> </w:t>
      </w:r>
      <w:r>
        <w:rPr>
          <w:rFonts w:ascii="Times New Roman" w:hAnsi="Times New Roman" w:eastAsia="Times New Roman"/>
          <w:sz w:val="24"/>
        </w:rPr>
        <w:t xml:space="preserve">decline to the average log gap in this subset.</w:t>
      </w:r>
    </w:p>
    <w:p>
      <w:pPr>
        <w:pStyle w:val="BodyText"/>
        <w:spacing w:line="480" w:lineRule="auto" w:before="0" w:after="0"/>
        <w:ind w:firstLine="720" w:left="0"/>
      </w:pPr>
      <w:r>
        <w:rPr>
          <w:rFonts w:ascii="Times New Roman" w:hAnsi="Times New Roman" w:eastAsia="Times New Roman"/>
          <w:sz w:val="24"/>
        </w:rPr>
        <w:t xml:space="preserve">A second descriptive standardization puts the two components back onto the</w:t>
      </w:r>
      <w:r>
        <w:rPr>
          <w:rFonts w:ascii="Times New Roman" w:hAnsi="Times New Roman" w:eastAsia="Times New Roman"/>
          <w:sz w:val="24"/>
        </w:rPr>
        <w:t xml:space="preserve"> </w:t>
      </w:r>
      <w:r>
        <w:rPr>
          <w:rFonts w:ascii="Times New Roman" w:hAnsi="Times New Roman" w:eastAsia="Times New Roman"/>
          <w:sz w:val="24"/>
        </w:rPr>
        <w:t xml:space="preserve">capped coverage scale. Among the 823 worlds that both improve composite</w:t>
      </w:r>
      <w:r>
        <w:rPr>
          <w:rFonts w:ascii="Times New Roman" w:hAnsi="Times New Roman" w:eastAsia="Times New Roman"/>
          <w:sz w:val="24"/>
        </w:rPr>
        <w:t xml:space="preserve"> </w:t>
      </w:r>
      <w:r>
        <w:rPr>
          <w:rFonts w:ascii="Times New Roman" w:hAnsi="Times New Roman" w:eastAsia="Times New Roman"/>
          <w:sz w:val="24"/>
        </w:rPr>
        <w:t xml:space="preserve">capability at +30 days relative to withdrawal and have lower terminal logistics</w:t>
      </w:r>
      <w:r>
        <w:rPr>
          <w:rFonts w:ascii="Times New Roman" w:hAnsi="Times New Roman" w:eastAsia="Times New Roman"/>
          <w:sz w:val="24"/>
        </w:rPr>
        <w:t xml:space="preserve"> </w:t>
      </w:r>
      <w:r>
        <w:rPr>
          <w:rFonts w:ascii="Times New Roman" w:hAnsi="Times New Roman" w:eastAsia="Times New Roman"/>
          <w:sz w:val="24"/>
        </w:rPr>
        <w:t xml:space="preserve">coverage, the observed mean coverage contrast is -0.0823. Evaluating the</w:t>
      </w:r>
      <w:r>
        <w:rPr>
          <w:rFonts w:ascii="Times New Roman" w:hAnsi="Times New Roman" w:eastAsia="Times New Roman"/>
          <w:sz w:val="24"/>
        </w:rPr>
        <w:t xml:space="preserve"> </w:t>
      </w:r>
      <w:r>
        <w:rPr>
          <w:rFonts w:ascii="Times New Roman" w:hAnsi="Times New Roman" w:eastAsia="Times New Roman"/>
          <w:sz w:val="24"/>
        </w:rPr>
        <w:t xml:space="preserve">continued-support indigenous service against withdrawal-branch demand leaves a</w:t>
      </w:r>
      <w:r>
        <w:rPr>
          <w:rFonts w:ascii="Times New Roman" w:hAnsi="Times New Roman" w:eastAsia="Times New Roman"/>
          <w:sz w:val="24"/>
        </w:rPr>
        <w:t xml:space="preserve"> </w:t>
      </w:r>
      <w:r>
        <w:rPr>
          <w:rFonts w:ascii="Times New Roman" w:hAnsi="Times New Roman" w:eastAsia="Times New Roman"/>
          <w:sz w:val="24"/>
        </w:rPr>
        <w:t xml:space="preserve">mean production-only contrast of -0.0301. Holding indigenous service at the</w:t>
      </w:r>
      <w:r>
        <w:rPr>
          <w:rFonts w:ascii="Times New Roman" w:hAnsi="Times New Roman" w:eastAsia="Times New Roman"/>
          <w:sz w:val="24"/>
        </w:rPr>
        <w:t xml:space="preserve"> </w:t>
      </w:r>
      <w:r>
        <w:rPr>
          <w:rFonts w:ascii="Times New Roman" w:hAnsi="Times New Roman" w:eastAsia="Times New Roman"/>
          <w:sz w:val="24"/>
        </w:rPr>
        <w:t xml:space="preserve">withdrawal level while imposing the continued-support requirement produces a</w:t>
      </w:r>
      <w:r>
        <w:rPr>
          <w:rFonts w:ascii="Times New Roman" w:hAnsi="Times New Roman" w:eastAsia="Times New Roman"/>
          <w:sz w:val="24"/>
        </w:rPr>
        <w:t xml:space="preserve"> </w:t>
      </w:r>
      <w:r>
        <w:rPr>
          <w:rFonts w:ascii="Times New Roman" w:hAnsi="Times New Roman" w:eastAsia="Times New Roman"/>
          <w:sz w:val="24"/>
        </w:rPr>
        <w:t xml:space="preserve">mean demand-only contrast of -0.0534. Because the capped ratio is nonlinear,</w:t>
      </w:r>
      <w:r>
        <w:rPr>
          <w:rFonts w:ascii="Times New Roman" w:hAnsi="Times New Roman" w:eastAsia="Times New Roman"/>
          <w:sz w:val="24"/>
        </w:rPr>
        <w:t xml:space="preserve"> </w:t>
      </w:r>
      <w:r>
        <w:rPr>
          <w:rFonts w:ascii="Times New Roman" w:hAnsi="Times New Roman" w:eastAsia="Times New Roman"/>
          <w:sz w:val="24"/>
        </w:rPr>
        <w:t xml:space="preserve">these terms are not perfectly additive, but the comparison shows that most of</w:t>
      </w:r>
      <w:r>
        <w:rPr>
          <w:rFonts w:ascii="Times New Roman" w:hAnsi="Times New Roman" w:eastAsia="Times New Roman"/>
          <w:sz w:val="24"/>
        </w:rPr>
        <w:t xml:space="preserve"> </w:t>
      </w:r>
      <w:r>
        <w:rPr>
          <w:rFonts w:ascii="Times New Roman" w:hAnsi="Times New Roman" w:eastAsia="Times New Roman"/>
          <w:sz w:val="24"/>
        </w:rPr>
        <w:t xml:space="preserve">the average gap in this subset is associated with the larger operating</w:t>
      </w:r>
      <w:r>
        <w:rPr>
          <w:rFonts w:ascii="Times New Roman" w:hAnsi="Times New Roman" w:eastAsia="Times New Roman"/>
          <w:sz w:val="24"/>
        </w:rPr>
        <w:t xml:space="preserve"> </w:t>
      </w:r>
      <w:r>
        <w:rPr>
          <w:rFonts w:ascii="Times New Roman" w:hAnsi="Times New Roman" w:eastAsia="Times New Roman"/>
          <w:sz w:val="24"/>
        </w:rPr>
        <w:t xml:space="preserve">requirement rather than with lower indigenous service alone.</w:t>
      </w:r>
    </w:p>
    <w:p>
      <w:pPr>
        <w:pStyle w:val="BodyText"/>
        <w:spacing w:line="480" w:lineRule="auto" w:before="0" w:after="0"/>
        <w:ind w:firstLine="720" w:left="0"/>
      </w:pPr>
      <w:r>
        <w:rPr>
          <w:rFonts w:ascii="Times New Roman" w:hAnsi="Times New Roman" w:eastAsia="Times New Roman"/>
          <w:sz w:val="24"/>
        </w:rPr>
        <w:t xml:space="preserve">These calculations are post-completion diagnostics, not the direct mechanism</w:t>
      </w:r>
      <w:r>
        <w:rPr>
          <w:rFonts w:ascii="Times New Roman" w:hAnsi="Times New Roman" w:eastAsia="Times New Roman"/>
          <w:sz w:val="24"/>
        </w:rPr>
        <w:t xml:space="preserve"> </w:t>
      </w:r>
      <w:r>
        <w:rPr>
          <w:rFonts w:ascii="Times New Roman" w:hAnsi="Times New Roman" w:eastAsia="Times New Roman"/>
          <w:sz w:val="24"/>
        </w:rPr>
        <w:t xml:space="preserve">experiment. A separately frozen demand-clamp ablation reported below intervenes</w:t>
      </w:r>
      <w:r>
        <w:rPr>
          <w:rFonts w:ascii="Times New Roman" w:hAnsi="Times New Roman" w:eastAsia="Times New Roman"/>
          <w:sz w:val="24"/>
        </w:rPr>
        <w:t xml:space="preserve"> </w:t>
      </w:r>
      <w:r>
        <w:rPr>
          <w:rFonts w:ascii="Times New Roman" w:hAnsi="Times New Roman" w:eastAsia="Times New Roman"/>
          <w:sz w:val="24"/>
        </w:rPr>
        <w:t xml:space="preserve">on the simulated requirement itself.</w:t>
      </w:r>
    </w:p>
    <w:p>
      <w:pPr>
        <w:pStyle w:val="CaptionedFigure"/>
        <w:keepNext/>
        <w:spacing w:before="240" w:after="120"/>
        <w:ind w:firstLine="0" w:left="0"/>
        <w:jc w:val="center"/>
      </w:pPr>
      <w:r>
        <w:rPr/>
        <w:drawing>
          <wp:inline>
            <wp:extent cx="5943600" cy="3254546"/>
            <wp:effectExtent b="0" l="0" r="0" t="0"/>
            <wp:docPr descr="Figure 3. Requirement-expansion evidence. Panel A decomposes the terminal logistics-coverage gap in worlds with positive +30-day branch capability and negative +360-day coverage. Panel B reports the separately frozen prospective demand-clamp test and its effect on +30-day composite capability." title="" id="91" name="Picture"/>
            <a:graphic>
              <a:graphicData uri="http://schemas.openxmlformats.org/drawingml/2006/picture">
                <pic:pic>
                  <pic:nvPicPr>
                    <pic:cNvPr descr="figures/figure3_requirement_expansion.png" id="92" name="Picture"/>
                    <pic:cNvPicPr>
                      <a:picLocks noChangeArrowheads="1" noChangeAspect="1"/>
                    </pic:cNvPicPr>
                  </pic:nvPicPr>
                  <pic:blipFill>
                    <a:blip r:embed="rId90"/>
                    <a:stretch>
                      <a:fillRect/>
                    </a:stretch>
                  </pic:blipFill>
                  <pic:spPr bwMode="auto">
                    <a:xfrm>
                      <a:off x="0" y="0"/>
                      <a:ext cx="5943600" cy="3254546"/>
                    </a:xfrm>
                    <a:prstGeom prst="rect">
                      <a:avLst/>
                    </a:prstGeom>
                    <a:noFill/>
                    <a:ln w="9525">
                      <a:noFill/>
                      <a:headEnd/>
                      <a:tailEnd/>
                    </a:ln>
                  </pic:spPr>
                </pic:pic>
              </a:graphicData>
            </a:graphic>
          </wp:inline>
        </w:drawing>
      </w:r>
    </w:p>
    <w:p>
      <w:pPr>
        <w:pStyle w:val="ImageCaption"/>
        <w:keepNext w:val="0"/>
        <w:spacing w:line="276" w:lineRule="auto" w:before="120" w:after="240"/>
        <w:ind w:firstLine="0" w:left="0"/>
      </w:pPr>
      <w:r>
        <w:rPr>
          <w:rFonts w:ascii="Times New Roman" w:hAnsi="Times New Roman" w:eastAsia="Times New Roman"/>
          <w:sz w:val="20"/>
        </w:rPr>
        <w:t xml:space="preserve">Figure 3. Requirement-expansion evidence. Panel A decomposes the terminal</w:t>
      </w:r>
      <w:r>
        <w:rPr>
          <w:rFonts w:ascii="Times New Roman" w:hAnsi="Times New Roman" w:eastAsia="Times New Roman"/>
          <w:sz w:val="20"/>
        </w:rPr>
        <w:t xml:space="preserve"> </w:t>
      </w:r>
      <w:r>
        <w:rPr>
          <w:rFonts w:ascii="Times New Roman" w:hAnsi="Times New Roman" w:eastAsia="Times New Roman"/>
          <w:sz w:val="20"/>
        </w:rPr>
        <w:t xml:space="preserve">logistics-coverage gap in worlds with positive +30-day branch capability and</w:t>
      </w:r>
      <w:r>
        <w:rPr>
          <w:rFonts w:ascii="Times New Roman" w:hAnsi="Times New Roman" w:eastAsia="Times New Roman"/>
          <w:sz w:val="20"/>
        </w:rPr>
        <w:t xml:space="preserve"> </w:t>
      </w:r>
      <w:r>
        <w:rPr>
          <w:rFonts w:ascii="Times New Roman" w:hAnsi="Times New Roman" w:eastAsia="Times New Roman"/>
          <w:sz w:val="20"/>
        </w:rPr>
        <w:t xml:space="preserve">negative +360-day coverage. Panel B reports the separately frozen prospective</w:t>
      </w:r>
      <w:r>
        <w:rPr>
          <w:rFonts w:ascii="Times New Roman" w:hAnsi="Times New Roman" w:eastAsia="Times New Roman"/>
          <w:sz w:val="20"/>
        </w:rPr>
        <w:t xml:space="preserve"> </w:t>
      </w:r>
      <w:r>
        <w:rPr>
          <w:rFonts w:ascii="Times New Roman" w:hAnsi="Times New Roman" w:eastAsia="Times New Roman"/>
          <w:sz w:val="20"/>
        </w:rPr>
        <w:t xml:space="preserve">demand-clamp test and its effect on +30-day composite capability.</w:t>
      </w:r>
    </w:p>
    <w:bookmarkEnd w:id="93"/>
    <w:bookmarkStart w:id="95" w:name="Xd550b4c9a3cba939d01d1db1eb49a720773506c"/>
    <w:p>
      <w:pPr>
        <w:pStyle w:val="Heading2"/>
        <w:keepNext/>
        <w:spacing w:line="480" w:lineRule="auto" w:after="0" w:before="120"/>
        <w:ind w:firstLine="0" w:left="0"/>
      </w:pPr>
      <w:r>
        <w:rPr>
          <w:rFonts w:ascii="Times New Roman" w:hAnsi="Times New Roman" w:eastAsia="Times New Roman"/>
          <w:b/>
          <w:i/>
          <w:sz w:val="24"/>
        </w:rPr>
        <w:t xml:space="preserve">5.3 The prospective demand clamp does not identify the retention mechanism</w:t>
      </w:r>
    </w:p>
    <w:p>
      <w:pPr>
        <w:pStyle w:val="FirstParagraph"/>
        <w:spacing w:line="480" w:lineRule="auto" w:before="0" w:after="0"/>
        <w:ind w:firstLine="720" w:left="0"/>
      </w:pPr>
      <w:r>
        <w:rPr>
          <w:rFonts w:ascii="Times New Roman" w:hAnsi="Times New Roman" w:eastAsia="Times New Roman"/>
          <w:sz w:val="24"/>
        </w:rPr>
        <w:t xml:space="preserve">The post-review ablation directly intervenes on the demand side of the proposed</w:t>
      </w:r>
      <w:r>
        <w:rPr>
          <w:rFonts w:ascii="Times New Roman" w:hAnsi="Times New Roman" w:eastAsia="Times New Roman"/>
          <w:sz w:val="24"/>
        </w:rPr>
        <w:t xml:space="preserve"> </w:t>
      </w:r>
      <w:r>
        <w:rPr>
          <w:rFonts w:ascii="Times New Roman" w:hAnsi="Times New Roman" w:eastAsia="Times New Roman"/>
          <w:sz w:val="24"/>
        </w:rPr>
        <w:t xml:space="preserve">requirement-expansion mechanism. Four Phase-Map cells were selected before the</w:t>
      </w:r>
      <w:r>
        <w:rPr>
          <w:rFonts w:ascii="Times New Roman" w:hAnsi="Times New Roman" w:eastAsia="Times New Roman"/>
          <w:sz w:val="24"/>
        </w:rPr>
        <w:t xml:space="preserve"> </w:t>
      </w:r>
      <w:r>
        <w:rPr>
          <w:rFonts w:ascii="Times New Roman" w:hAnsi="Times New Roman" w:eastAsia="Times New Roman"/>
          <w:sz w:val="24"/>
        </w:rPr>
        <w:t xml:space="preserve">new outcomes were observed. On their original Stage-4 seeds, their mean +360-day</w:t>
      </w:r>
      <w:r>
        <w:rPr>
          <w:rFonts w:ascii="Times New Roman" w:hAnsi="Times New Roman" w:eastAsia="Times New Roman"/>
          <w:sz w:val="24"/>
        </w:rPr>
        <w:t xml:space="preserve"> </w:t>
      </w:r>
      <w:r>
        <w:rPr>
          <w:rFonts w:ascii="Times New Roman" w:hAnsi="Times New Roman" w:eastAsia="Times New Roman"/>
          <w:sz w:val="24"/>
        </w:rPr>
        <w:t xml:space="preserve">coverage branch effects were approximately -0.106, -0.105, -0.106, and -0.134.</w:t>
      </w:r>
      <w:r>
        <w:rPr>
          <w:rStyle w:val="FootnoteReference"/>
          <w:rFonts w:ascii="Times New Roman" w:hAnsi="Times New Roman" w:eastAsia="Times New Roman"/>
          <w:sz w:val="24"/>
        </w:rPr>
        <w:footnoteReference w:id="94"/>
      </w:r>
      <w:r>
        <w:rPr>
          <w:rFonts w:ascii="Times New Roman" w:hAnsi="Times New Roman" w:eastAsia="Times New Roman"/>
          <w:sz w:val="24"/>
        </w:rPr>
        <w:t xml:space="preserve"> </w:t>
      </w:r>
      <w:r>
        <w:rPr>
          <w:rFonts w:ascii="Times New Roman" w:hAnsi="Times New Roman" w:eastAsia="Times New Roman"/>
          <w:sz w:val="24"/>
        </w:rPr>
        <w:t xml:space="preserve">The ablation reruns those exact cell parameters under a fresh seed namespace,</w:t>
      </w:r>
      <w:r>
        <w:rPr>
          <w:rFonts w:ascii="Times New Roman" w:hAnsi="Times New Roman" w:eastAsia="Times New Roman"/>
          <w:sz w:val="24"/>
        </w:rPr>
        <w:t xml:space="preserve"> </w:t>
      </w:r>
      <w:r>
        <w:rPr>
          <w:rFonts w:ascii="Times New Roman" w:hAnsi="Times New Roman" w:eastAsia="Times New Roman"/>
          <w:sz w:val="24"/>
        </w:rPr>
        <w:t xml:space="preserve">with paired normal and demand-clamped arms across 48 matched seeds. The experiment</w:t>
      </w:r>
      <w:r>
        <w:rPr>
          <w:rFonts w:ascii="Times New Roman" w:hAnsi="Times New Roman" w:eastAsia="Times New Roman"/>
          <w:sz w:val="24"/>
        </w:rPr>
        <w:t xml:space="preserve"> </w:t>
      </w:r>
      <w:r>
        <w:rPr>
          <w:rFonts w:ascii="Times New Roman" w:hAnsi="Times New Roman" w:eastAsia="Times New Roman"/>
          <w:sz w:val="24"/>
        </w:rPr>
        <w:t xml:space="preserve">executed under git commit</w:t>
      </w:r>
      <w:r>
        <w:rPr>
          <w:rFonts w:ascii="Times New Roman" w:hAnsi="Times New Roman" w:eastAsia="Times New Roman"/>
          <w:sz w:val="24"/>
        </w:rPr>
        <w:t xml:space="preserve"> </w:t>
      </w:r>
      <w:r>
        <w:rPr>
          <w:rStyle w:val="VerbatimChar"/>
          <w:rFonts w:ascii="Times New Roman" w:hAnsi="Times New Roman" w:eastAsia="Times New Roman"/>
          <w:sz w:val="24"/>
        </w:rPr>
        <w:t xml:space="preserve">a24b4811</w:t>
      </w:r>
      <w:r>
        <w:rPr>
          <w:rFonts w:ascii="Times New Roman" w:hAnsi="Times New Roman" w:eastAsia="Times New Roman"/>
          <w:sz w:val="24"/>
        </w:rPr>
        <w:t xml:space="preserve">, which introduced the bisection demand-matching</w:t>
      </w:r>
      <w:r>
        <w:rPr>
          <w:rFonts w:ascii="Times New Roman" w:hAnsi="Times New Roman" w:eastAsia="Times New Roman"/>
          <w:sz w:val="24"/>
        </w:rPr>
        <w:t xml:space="preserve"> </w:t>
      </w:r>
      <w:r>
        <w:rPr>
          <w:rFonts w:ascii="Times New Roman" w:hAnsi="Times New Roman" w:eastAsia="Times New Roman"/>
          <w:sz w:val="24"/>
        </w:rPr>
        <w:t xml:space="preserve">search loop to the runner while inheriting the identical core simulation rules,</w:t>
      </w:r>
      <w:r>
        <w:rPr>
          <w:rFonts w:ascii="Times New Roman" w:hAnsi="Times New Roman" w:eastAsia="Times New Roman"/>
          <w:sz w:val="24"/>
        </w:rPr>
        <w:t xml:space="preserve"> </w:t>
      </w:r>
      <w:r>
        <w:rPr>
          <w:rFonts w:ascii="Times New Roman" w:hAnsi="Times New Roman" w:eastAsia="Times New Roman"/>
          <w:sz w:val="24"/>
        </w:rPr>
        <w:t xml:space="preserve">parameters, and agent behaviors from Stage 4.</w:t>
      </w:r>
    </w:p>
    <w:p>
      <w:pPr>
        <w:pStyle w:val="BodyText"/>
        <w:spacing w:line="480" w:lineRule="auto" w:before="0" w:after="0"/>
        <w:ind w:firstLine="720" w:left="0"/>
      </w:pPr>
      <w:r>
        <w:rPr>
          <w:rFonts w:ascii="Times New Roman" w:hAnsi="Times New Roman" w:eastAsia="Times New Roman"/>
          <w:sz w:val="24"/>
        </w:rPr>
        <w:t xml:space="preserve">The manipulation itself succeeds. Across 2,640 post-split telemetry intervals,</w:t>
      </w:r>
      <w:r>
        <w:rPr>
          <w:rFonts w:ascii="Times New Roman" w:hAnsi="Times New Roman" w:eastAsia="Times New Roman"/>
          <w:sz w:val="24"/>
        </w:rPr>
        <w:t xml:space="preserve"> </w:t>
      </w:r>
      <w:r>
        <w:rPr>
          <w:rFonts w:ascii="Times New Roman" w:hAnsi="Times New Roman" w:eastAsia="Times New Roman"/>
          <w:sz w:val="24"/>
        </w:rPr>
        <w:t xml:space="preserve">the median relative mismatch between clamped supported-branch logistics demand</w:t>
      </w:r>
      <w:r>
        <w:rPr>
          <w:rFonts w:ascii="Times New Roman" w:hAnsi="Times New Roman" w:eastAsia="Times New Roman"/>
          <w:sz w:val="24"/>
        </w:rPr>
        <w:t xml:space="preserve"> </w:t>
      </w:r>
      <w:r>
        <w:rPr>
          <w:rFonts w:ascii="Times New Roman" w:hAnsi="Times New Roman" w:eastAsia="Times New Roman"/>
          <w:sz w:val="24"/>
        </w:rPr>
        <w:t xml:space="preserve">and the paired withdrawal requirement is 0.46 percent, the 95th percentile is</w:t>
      </w:r>
      <w:r>
        <w:rPr>
          <w:rFonts w:ascii="Times New Roman" w:hAnsi="Times New Roman" w:eastAsia="Times New Roman"/>
          <w:sz w:val="24"/>
        </w:rPr>
        <w:t xml:space="preserve"> </w:t>
      </w:r>
      <w:r>
        <w:rPr>
          <w:rFonts w:ascii="Times New Roman" w:hAnsi="Times New Roman" w:eastAsia="Times New Roman"/>
          <w:sz w:val="24"/>
        </w:rPr>
        <w:t xml:space="preserve">1.30 percent, the maximum is 2.05 percent, and every interval lies within the</w:t>
      </w:r>
      <w:r>
        <w:rPr>
          <w:rFonts w:ascii="Times New Roman" w:hAnsi="Times New Roman" w:eastAsia="Times New Roman"/>
          <w:sz w:val="24"/>
        </w:rPr>
        <w:t xml:space="preserve"> </w:t>
      </w:r>
      <w:r>
        <w:rPr>
          <w:rFonts w:ascii="Times New Roman" w:hAnsi="Times New Roman" w:eastAsia="Times New Roman"/>
          <w:sz w:val="24"/>
        </w:rPr>
        <w:t xml:space="preserve">precommitted 5 percent tolerance.</w:t>
      </w:r>
    </w:p>
    <w:p>
      <w:pPr>
        <w:pStyle w:val="BodyText"/>
        <w:spacing w:line="480" w:lineRule="auto" w:before="0" w:after="0"/>
        <w:ind w:firstLine="720" w:left="0"/>
      </w:pPr>
      <w:r>
        <w:rPr>
          <w:rFonts w:ascii="Times New Roman" w:hAnsi="Times New Roman" w:eastAsia="Times New Roman"/>
          <w:sz w:val="24"/>
        </w:rPr>
        <w:t xml:space="preserve">The primary coverage estimand, however, yielded an uninformative zero result across all worlds. In all 48</w:t>
      </w:r>
      <w:r>
        <w:rPr>
          <w:rFonts w:ascii="Times New Roman" w:hAnsi="Times New Roman" w:eastAsia="Times New Roman"/>
          <w:sz w:val="24"/>
        </w:rPr>
        <w:t xml:space="preserve"> </w:t>
      </w:r>
      <w:r>
        <w:rPr>
          <w:rFonts w:ascii="Times New Roman" w:hAnsi="Times New Roman" w:eastAsia="Times New Roman"/>
          <w:sz w:val="24"/>
        </w:rPr>
        <w:t xml:space="preserve">fresh-seed normal worlds, the capped indigenous-coverage branch gap is exactly</w:t>
      </w:r>
      <w:r>
        <w:rPr>
          <w:rFonts w:ascii="Times New Roman" w:hAnsi="Times New Roman" w:eastAsia="Times New Roman"/>
          <w:sz w:val="24"/>
        </w:rPr>
        <w:t xml:space="preserve"> </w:t>
      </w:r>
      <w:r>
        <w:rPr>
          <w:rFonts w:ascii="Times New Roman" w:hAnsi="Times New Roman" w:eastAsia="Times New Roman"/>
          <w:sz w:val="24"/>
        </w:rPr>
        <w:t xml:space="preserve">zero at +7, +30, +90, +180, and +360 days. The demand-clamped worlds are also</w:t>
      </w:r>
      <w:r>
        <w:rPr>
          <w:rFonts w:ascii="Times New Roman" w:hAnsi="Times New Roman" w:eastAsia="Times New Roman"/>
          <w:sz w:val="24"/>
        </w:rPr>
        <w:t xml:space="preserve"> </w:t>
      </w:r>
      <w:r>
        <w:rPr>
          <w:rFonts w:ascii="Times New Roman" w:hAnsi="Times New Roman" w:eastAsia="Times New Roman"/>
          <w:sz w:val="24"/>
        </w:rPr>
        <w:t xml:space="preserve">zero at every registered horizon. There is therefore no normal-arm coverage branch</w:t>
      </w:r>
      <w:r>
        <w:rPr>
          <w:rFonts w:ascii="Times New Roman" w:hAnsi="Times New Roman" w:eastAsia="Times New Roman"/>
          <w:sz w:val="24"/>
        </w:rPr>
        <w:t xml:space="preserve"> </w:t>
      </w:r>
      <w:r>
        <w:rPr>
          <w:rFonts w:ascii="Times New Roman" w:hAnsi="Times New Roman" w:eastAsia="Times New Roman"/>
          <w:sz w:val="24"/>
        </w:rPr>
        <w:t xml:space="preserve">difference for the clamp to attenuate. The precommitted +360-day attenuation</w:t>
      </w:r>
      <w:r>
        <w:rPr>
          <w:rFonts w:ascii="Times New Roman" w:hAnsi="Times New Roman" w:eastAsia="Times New Roman"/>
          <w:sz w:val="24"/>
        </w:rPr>
        <w:t xml:space="preserve"> </w:t>
      </w:r>
      <w:r>
        <w:rPr>
          <w:rFonts w:ascii="Times New Roman" w:hAnsi="Times New Roman" w:eastAsia="Times New Roman"/>
          <w:sz w:val="24"/>
        </w:rPr>
        <w:t xml:space="preserve">estimate is exactly zero, but that value cannot be interpreted as evidence that</w:t>
      </w:r>
      <w:r>
        <w:rPr>
          <w:rFonts w:ascii="Times New Roman" w:hAnsi="Times New Roman" w:eastAsia="Times New Roman"/>
          <w:sz w:val="24"/>
        </w:rPr>
        <w:t xml:space="preserve"> </w:t>
      </w:r>
      <w:r>
        <w:rPr>
          <w:rFonts w:ascii="Times New Roman" w:hAnsi="Times New Roman" w:eastAsia="Times New Roman"/>
          <w:sz w:val="24"/>
        </w:rPr>
        <w:t xml:space="preserve">requirement expansion is causally irrelevant to the Stage-4 penalty.</w:t>
      </w:r>
    </w:p>
    <w:p>
      <w:pPr>
        <w:pStyle w:val="BodyText"/>
        <w:spacing w:line="480" w:lineRule="auto" w:before="0" w:after="0"/>
        <w:ind w:firstLine="720" w:left="0"/>
      </w:pPr>
      <w:r>
        <w:rPr>
          <w:rFonts w:ascii="Times New Roman" w:hAnsi="Times New Roman" w:eastAsia="Times New Roman"/>
          <w:sz w:val="24"/>
        </w:rPr>
        <w:t xml:space="preserve">A structural inspection of the ablation runner clarifies why this exact zero occurs.</w:t>
      </w:r>
      <w:r>
        <w:rPr>
          <w:rFonts w:ascii="Times New Roman" w:hAnsi="Times New Roman" w:eastAsia="Times New Roman"/>
          <w:sz w:val="24"/>
        </w:rPr>
        <w:t xml:space="preserve"> </w:t>
      </w:r>
      <w:r>
        <w:rPr>
          <w:rFonts w:ascii="Times New Roman" w:hAnsi="Times New Roman" w:eastAsia="Times New Roman"/>
          <w:sz w:val="24"/>
        </w:rPr>
        <w:t xml:space="preserve">In the primary output shards, the summary field</w:t>
      </w:r>
      <w:r>
        <w:rPr>
          <w:rFonts w:ascii="Times New Roman" w:hAnsi="Times New Roman" w:eastAsia="Times New Roman"/>
          <w:sz w:val="24"/>
        </w:rPr>
        <w:t xml:space="preserve"> </w:t>
      </w:r>
      <w:r>
        <w:rPr>
          <w:rStyle w:val="VerbatimChar"/>
          <w:rFonts w:ascii="Times New Roman" w:hAnsi="Times New Roman" w:eastAsia="Times New Roman"/>
          <w:sz w:val="24"/>
        </w:rPr>
        <w:t xml:space="preserve">formal_q_indigenous</w:t>
      </w:r>
      <w:r>
        <w:rPr>
          <w:rFonts w:ascii="Times New Roman" w:hAnsi="Times New Roman" w:eastAsia="Times New Roman"/>
          <w:sz w:val="24"/>
        </w:rPr>
        <w:t xml:space="preserve"> </w:t>
      </w:r>
      <w:r>
        <w:rPr>
          <w:rFonts w:ascii="Times New Roman" w:hAnsi="Times New Roman" w:eastAsia="Times New Roman"/>
          <w:sz w:val="24"/>
        </w:rPr>
        <w:t xml:space="preserve">recorded the</w:t>
      </w:r>
      <w:r>
        <w:rPr>
          <w:rFonts w:ascii="Times New Roman" w:hAnsi="Times New Roman" w:eastAsia="Times New Roman"/>
          <w:sz w:val="24"/>
        </w:rPr>
        <w:t xml:space="preserve"> </w:t>
      </w:r>
      <w:r>
        <w:rPr>
          <w:rFonts w:ascii="Times New Roman" w:hAnsi="Times New Roman" w:eastAsia="Times New Roman"/>
          <w:sz w:val="24"/>
        </w:rPr>
        <w:t xml:space="preserve">pre-split baseline structural coordinate evaluated at withdrawal day 120. Because both</w:t>
      </w:r>
      <w:r>
        <w:rPr>
          <w:rFonts w:ascii="Times New Roman" w:hAnsi="Times New Roman" w:eastAsia="Times New Roman"/>
          <w:sz w:val="24"/>
        </w:rPr>
        <w:t xml:space="preserve"> </w:t>
      </w:r>
      <w:r>
        <w:rPr>
          <w:rStyle w:val="VerbatimChar"/>
          <w:rFonts w:ascii="Times New Roman" w:hAnsi="Times New Roman" w:eastAsia="Times New Roman"/>
          <w:sz w:val="24"/>
        </w:rPr>
        <w:t xml:space="preserve">SUPPORT_ON</w:t>
      </w:r>
      <w:r>
        <w:rPr>
          <w:rFonts w:ascii="Times New Roman" w:hAnsi="Times New Roman" w:eastAsia="Times New Roman"/>
          <w:sz w:val="24"/>
        </w:rPr>
        <w:t xml:space="preserve"> </w:t>
      </w:r>
      <w:r>
        <w:rPr>
          <w:rFonts w:ascii="Times New Roman" w:hAnsi="Times New Roman" w:eastAsia="Times New Roman"/>
          <w:sz w:val="24"/>
        </w:rPr>
        <w:t xml:space="preserve">and</w:t>
      </w:r>
      <w:r>
        <w:rPr>
          <w:rFonts w:ascii="Times New Roman" w:hAnsi="Times New Roman" w:eastAsia="Times New Roman"/>
          <w:sz w:val="24"/>
        </w:rPr>
        <w:t xml:space="preserve"> </w:t>
      </w:r>
      <w:r>
        <w:rPr>
          <w:rStyle w:val="VerbatimChar"/>
          <w:rFonts w:ascii="Times New Roman" w:hAnsi="Times New Roman" w:eastAsia="Times New Roman"/>
          <w:sz w:val="24"/>
        </w:rPr>
        <w:t xml:space="preserve">SUPPORT_OFF</w:t>
      </w:r>
      <w:r>
        <w:rPr>
          <w:rFonts w:ascii="Times New Roman" w:hAnsi="Times New Roman" w:eastAsia="Times New Roman"/>
          <w:sz w:val="24"/>
        </w:rPr>
        <w:t xml:space="preserve"> </w:t>
      </w:r>
      <w:r>
        <w:rPr>
          <w:rFonts w:ascii="Times New Roman" w:hAnsi="Times New Roman" w:eastAsia="Times New Roman"/>
          <w:sz w:val="24"/>
        </w:rPr>
        <w:t xml:space="preserve">branches share the identical 120-day prehistory, their</w:t>
      </w:r>
      <w:r>
        <w:rPr>
          <w:rFonts w:ascii="Times New Roman" w:hAnsi="Times New Roman" w:eastAsia="Times New Roman"/>
          <w:sz w:val="24"/>
        </w:rPr>
        <w:t xml:space="preserve"> </w:t>
      </w:r>
      <w:r>
        <w:rPr>
          <w:rFonts w:ascii="Times New Roman" w:hAnsi="Times New Roman" w:eastAsia="Times New Roman"/>
          <w:sz w:val="24"/>
        </w:rPr>
        <w:t xml:space="preserve">pre-split structural coordinates are identical by construction, producing an exact zero</w:t>
      </w:r>
      <w:r>
        <w:rPr>
          <w:rFonts w:ascii="Times New Roman" w:hAnsi="Times New Roman" w:eastAsia="Times New Roman"/>
          <w:sz w:val="24"/>
        </w:rPr>
        <w:t xml:space="preserve"> </w:t>
      </w:r>
      <w:r>
        <w:rPr>
          <w:rFonts w:ascii="Times New Roman" w:hAnsi="Times New Roman" w:eastAsia="Times New Roman"/>
          <w:sz w:val="24"/>
        </w:rPr>
        <w:t xml:space="preserve">branch difference across all 48 seeds and all five horizons. In contrast, dynamic</w:t>
      </w:r>
      <w:r>
        <w:rPr>
          <w:rFonts w:ascii="Times New Roman" w:hAnsi="Times New Roman" w:eastAsia="Times New Roman"/>
          <w:sz w:val="24"/>
        </w:rPr>
        <w:t xml:space="preserve"> </w:t>
      </w:r>
      <w:r>
        <w:rPr>
          <w:rFonts w:ascii="Times New Roman" w:hAnsi="Times New Roman" w:eastAsia="Times New Roman"/>
          <w:sz w:val="24"/>
        </w:rPr>
        <w:t xml:space="preserve">post-split service flows and capability assays were updated continuously at each horizon.</w:t>
      </w:r>
      <w:r>
        <w:rPr>
          <w:rFonts w:ascii="Times New Roman" w:hAnsi="Times New Roman" w:eastAsia="Times New Roman"/>
          <w:sz w:val="24"/>
        </w:rPr>
        <w:t xml:space="preserve"> </w:t>
      </w:r>
      <w:r>
        <w:rPr>
          <w:rFonts w:ascii="Times New Roman" w:hAnsi="Times New Roman" w:eastAsia="Times New Roman"/>
          <w:sz w:val="24"/>
        </w:rPr>
        <w:t xml:space="preserve">On the capability side, the fresh-seed normal arms retain positive mean +30-day</w:t>
      </w:r>
      <w:r>
        <w:rPr>
          <w:rFonts w:ascii="Times New Roman" w:hAnsi="Times New Roman" w:eastAsia="Times New Roman"/>
          <w:sz w:val="24"/>
        </w:rPr>
        <w:t xml:space="preserve"> </w:t>
      </w:r>
      <w:r>
        <w:rPr>
          <w:rFonts w:ascii="Times New Roman" w:hAnsi="Times New Roman" w:eastAsia="Times New Roman"/>
          <w:sz w:val="24"/>
        </w:rPr>
        <w:t xml:space="preserve">composite-capability branch effects in all four scenarios, approximately +0.226,</w:t>
      </w:r>
      <w:r>
        <w:rPr>
          <w:rFonts w:ascii="Times New Roman" w:hAnsi="Times New Roman" w:eastAsia="Times New Roman"/>
          <w:sz w:val="24"/>
        </w:rPr>
        <w:t xml:space="preserve"> </w:t>
      </w:r>
      <w:r>
        <w:rPr>
          <w:rFonts w:ascii="Times New Roman" w:hAnsi="Times New Roman" w:eastAsia="Times New Roman"/>
          <w:sz w:val="24"/>
        </w:rPr>
        <w:t xml:space="preserve">+0.083, +0.008, and +0.013. Clamping logistics demand materially changes that</w:t>
      </w:r>
      <w:r>
        <w:rPr>
          <w:rFonts w:ascii="Times New Roman" w:hAnsi="Times New Roman" w:eastAsia="Times New Roman"/>
          <w:sz w:val="24"/>
        </w:rPr>
        <w:t xml:space="preserve"> </w:t>
      </w:r>
      <w:r>
        <w:rPr>
          <w:rFonts w:ascii="Times New Roman" w:hAnsi="Times New Roman" w:eastAsia="Times New Roman"/>
          <w:sz w:val="24"/>
        </w:rPr>
        <w:t xml:space="preserve">capability effect, reducing the pooled branch contrast by about 0.093 at +30</w:t>
      </w:r>
      <w:r>
        <w:rPr>
          <w:rFonts w:ascii="Times New Roman" w:hAnsi="Times New Roman" w:eastAsia="Times New Roman"/>
          <w:sz w:val="24"/>
        </w:rPr>
        <w:t xml:space="preserve"> </w:t>
      </w:r>
      <w:r>
        <w:rPr>
          <w:rFonts w:ascii="Times New Roman" w:hAnsi="Times New Roman" w:eastAsia="Times New Roman"/>
          <w:sz w:val="24"/>
        </w:rPr>
        <w:t xml:space="preserve">days, 0.212 at +90, 0.213 at +180, and 0.147 at +360.</w:t>
      </w:r>
    </w:p>
    <w:p>
      <w:pPr>
        <w:pStyle w:val="BodyText"/>
        <w:spacing w:line="480" w:lineRule="auto" w:before="0" w:after="0"/>
        <w:ind w:firstLine="720" w:left="0"/>
      </w:pPr>
      <w:r>
        <w:rPr>
          <w:rFonts w:ascii="Times New Roman" w:hAnsi="Times New Roman" w:eastAsia="Times New Roman"/>
          <w:sz w:val="24"/>
        </w:rPr>
        <w:t xml:space="preserve">This diagnostic scrutiny also addresses the baseline stability of the four selected cells.</w:t>
      </w:r>
      <w:r>
        <w:rPr>
          <w:rFonts w:ascii="Times New Roman" w:hAnsi="Times New Roman" w:eastAsia="Times New Roman"/>
          <w:sz w:val="24"/>
        </w:rPr>
        <w:t xml:space="preserve"> </w:t>
      </w:r>
      <w:r>
        <w:rPr>
          <w:rFonts w:ascii="Times New Roman" w:hAnsi="Times New Roman" w:eastAsia="Times New Roman"/>
          <w:sz w:val="24"/>
        </w:rPr>
        <w:t xml:space="preserve">In the original Stage-4 production runs, each cell’s 12 seeds exhibited consistent</w:t>
      </w:r>
      <w:r>
        <w:rPr>
          <w:rFonts w:ascii="Times New Roman" w:hAnsi="Times New Roman" w:eastAsia="Times New Roman"/>
          <w:sz w:val="24"/>
        </w:rPr>
        <w:t xml:space="preserve"> </w:t>
      </w:r>
      <w:r>
        <w:rPr>
          <w:rFonts w:ascii="Times New Roman" w:hAnsi="Times New Roman" w:eastAsia="Times New Roman"/>
          <w:sz w:val="24"/>
        </w:rPr>
        <w:t xml:space="preserve">negative coverage penalties rather than hovering ambiguously around zero: M1 had 12 of 12</w:t>
      </w:r>
      <w:r>
        <w:rPr>
          <w:rFonts w:ascii="Times New Roman" w:hAnsi="Times New Roman" w:eastAsia="Times New Roman"/>
          <w:sz w:val="24"/>
        </w:rPr>
        <w:t xml:space="preserve"> </w:t>
      </w:r>
      <w:r>
        <w:rPr>
          <w:rFonts w:ascii="Times New Roman" w:hAnsi="Times New Roman" w:eastAsia="Times New Roman"/>
          <w:sz w:val="24"/>
        </w:rPr>
        <w:t xml:space="preserve">seeds negative (range -0.132 to -0.094); M2 had 12 of 12 negative (range -0.114 to -0.097);</w:t>
      </w:r>
      <w:r>
        <w:rPr>
          <w:rFonts w:ascii="Times New Roman" w:hAnsi="Times New Roman" w:eastAsia="Times New Roman"/>
          <w:sz w:val="24"/>
        </w:rPr>
        <w:t xml:space="preserve"> </w:t>
      </w:r>
      <w:r>
        <w:rPr>
          <w:rFonts w:ascii="Times New Roman" w:hAnsi="Times New Roman" w:eastAsia="Times New Roman"/>
          <w:sz w:val="24"/>
        </w:rPr>
        <w:t xml:space="preserve">M3 had 11 of 12 negative (range -0.443 to 0.000); and M4 had 10 of 12 negative (range -0.484</w:t>
      </w:r>
      <w:r>
        <w:rPr>
          <w:rFonts w:ascii="Times New Roman" w:hAnsi="Times New Roman" w:eastAsia="Times New Roman"/>
          <w:sz w:val="24"/>
        </w:rPr>
        <w:t xml:space="preserve"> </w:t>
      </w:r>
      <w:r>
        <w:rPr>
          <w:rFonts w:ascii="Times New Roman" w:hAnsi="Times New Roman" w:eastAsia="Times New Roman"/>
          <w:sz w:val="24"/>
        </w:rPr>
        <w:t xml:space="preserve">to +0.195). Thus, the Stage-4 penalties were not boundary artifacts of a single noisy seed.</w:t>
      </w:r>
      <w:r>
        <w:rPr>
          <w:rFonts w:ascii="Times New Roman" w:hAnsi="Times New Roman" w:eastAsia="Times New Roman"/>
          <w:sz w:val="24"/>
        </w:rPr>
        <w:t xml:space="preserve"> </w:t>
      </w:r>
      <w:r>
        <w:rPr>
          <w:rFonts w:ascii="Times New Roman" w:hAnsi="Times New Roman" w:eastAsia="Times New Roman"/>
          <w:sz w:val="24"/>
        </w:rPr>
        <w:t xml:space="preserve">Nevertheless, because the prospective ablation harness did not evaluate dynamic post-split</w:t>
      </w:r>
      <w:r>
        <w:rPr>
          <w:rFonts w:ascii="Times New Roman" w:hAnsi="Times New Roman" w:eastAsia="Times New Roman"/>
          <w:sz w:val="24"/>
        </w:rPr>
        <w:t xml:space="preserve"> </w:t>
      </w:r>
      <w:r>
        <w:rPr>
          <w:rFonts w:ascii="Times New Roman" w:hAnsi="Times New Roman" w:eastAsia="Times New Roman"/>
          <w:sz w:val="24"/>
        </w:rPr>
        <w:t xml:space="preserve">coverage ratios in its primary estimand, it does not identify requirement expansion as the</w:t>
      </w:r>
      <w:r>
        <w:rPr>
          <w:rFonts w:ascii="Times New Roman" w:hAnsi="Times New Roman" w:eastAsia="Times New Roman"/>
          <w:sz w:val="24"/>
        </w:rPr>
        <w:t xml:space="preserve"> </w:t>
      </w:r>
      <w:r>
        <w:rPr>
          <w:rFonts w:ascii="Times New Roman" w:hAnsi="Times New Roman" w:eastAsia="Times New Roman"/>
          <w:sz w:val="24"/>
        </w:rPr>
        <w:t xml:space="preserve">mediator of the Stage-4 retention pattern. Requirement expansion remains a plausible,</w:t>
      </w:r>
      <w:r>
        <w:rPr>
          <w:rFonts w:ascii="Times New Roman" w:hAnsi="Times New Roman" w:eastAsia="Times New Roman"/>
          <w:sz w:val="24"/>
        </w:rPr>
        <w:t xml:space="preserve"> </w:t>
      </w:r>
      <w:r>
        <w:rPr>
          <w:rFonts w:ascii="Times New Roman" w:hAnsi="Times New Roman" w:eastAsia="Times New Roman"/>
          <w:sz w:val="24"/>
        </w:rPr>
        <w:t xml:space="preserve">descriptively supported hypothesis whose causal validation requires a unified harness</w:t>
      </w:r>
      <w:r>
        <w:rPr>
          <w:rFonts w:ascii="Times New Roman" w:hAnsi="Times New Roman" w:eastAsia="Times New Roman"/>
          <w:sz w:val="24"/>
        </w:rPr>
        <w:t xml:space="preserve"> </w:t>
      </w:r>
      <w:r>
        <w:rPr>
          <w:rFonts w:ascii="Times New Roman" w:hAnsi="Times New Roman" w:eastAsia="Times New Roman"/>
          <w:sz w:val="24"/>
        </w:rPr>
        <w:t xml:space="preserve">tracking dynamic post-withdrawal coverage ratios under fresh seed ensembles.</w:t>
      </w:r>
    </w:p>
    <w:bookmarkEnd w:id="95"/>
    <w:bookmarkStart w:id="99" w:name="X40382ec018b3a56ca583b97116f8ea15c8c5f98"/>
    <w:p>
      <w:pPr>
        <w:pStyle w:val="Heading2"/>
        <w:keepNext/>
        <w:spacing w:line="480" w:lineRule="auto" w:after="0" w:before="120"/>
        <w:ind w:firstLine="0" w:left="0"/>
      </w:pPr>
      <w:r>
        <w:rPr>
          <w:rFonts w:ascii="Times New Roman" w:hAnsi="Times New Roman" w:eastAsia="Times New Roman"/>
          <w:b/>
          <w:i/>
          <w:sz w:val="24"/>
        </w:rPr>
        <w:t xml:space="preserve">5.4 Supported capability advantages evolve over time</w:t>
      </w:r>
    </w:p>
    <w:p>
      <w:pPr>
        <w:pStyle w:val="FirstParagraph"/>
        <w:spacing w:line="480" w:lineRule="auto" w:before="0" w:after="0"/>
        <w:ind w:firstLine="720" w:left="0"/>
      </w:pPr>
      <w:r>
        <w:rPr>
          <w:rFonts w:ascii="Times New Roman" w:hAnsi="Times New Roman" w:eastAsia="Times New Roman"/>
          <w:sz w:val="24"/>
        </w:rPr>
        <w:t xml:space="preserve">The +30-day horizon also understates the temporal structure of the branch gap.</w:t>
      </w:r>
      <w:r>
        <w:rPr>
          <w:rFonts w:ascii="Times New Roman" w:hAnsi="Times New Roman" w:eastAsia="Times New Roman"/>
          <w:sz w:val="24"/>
        </w:rPr>
        <w:t xml:space="preserve"> </w:t>
      </w:r>
      <w:r>
        <w:rPr>
          <w:rFonts w:ascii="Times New Roman" w:hAnsi="Times New Roman" w:eastAsia="Times New Roman"/>
          <w:sz w:val="24"/>
        </w:rPr>
        <w:t xml:space="preserve">Among the 1,064 Phase-Map worlds with a positive continued-support-minus-</w:t>
      </w:r>
      <w:r>
        <w:rPr>
          <w:rFonts w:ascii="Times New Roman" w:hAnsi="Times New Roman" w:eastAsia="Times New Roman"/>
          <w:sz w:val="24"/>
        </w:rPr>
        <w:t xml:space="preserve"> </w:t>
      </w:r>
      <w:r>
        <w:rPr>
          <w:rFonts w:ascii="Times New Roman" w:hAnsi="Times New Roman" w:eastAsia="Times New Roman"/>
          <w:sz w:val="24"/>
        </w:rPr>
        <w:t xml:space="preserve">withdrawal capability contrast at +30 days, the mean gap is +0.0106 at day 7,</w:t>
      </w:r>
      <w:r>
        <w:rPr>
          <w:rFonts w:ascii="Times New Roman" w:hAnsi="Times New Roman" w:eastAsia="Times New Roman"/>
          <w:sz w:val="24"/>
        </w:rPr>
        <w:t xml:space="preserve"> </w:t>
      </w:r>
      <w:r>
        <w:rPr>
          <w:rFonts w:ascii="Times New Roman" w:hAnsi="Times New Roman" w:eastAsia="Times New Roman"/>
          <w:sz w:val="24"/>
        </w:rPr>
        <w:t xml:space="preserve">+0.0335 at day 30, +0.0395 at day 90, +0.0340 at day 180, and +0.0298 at day</w:t>
      </w:r>
      <w:r>
        <w:rPr>
          <w:rFonts w:ascii="Times New Roman" w:hAnsi="Times New Roman" w:eastAsia="Times New Roman"/>
          <w:sz w:val="24"/>
        </w:rPr>
        <w:t xml:space="preserve"> </w:t>
      </w:r>
      <w:r>
        <w:rPr>
          <w:rFonts w:ascii="Times New Roman" w:hAnsi="Times New Roman" w:eastAsia="Times New Roman"/>
          <w:sz w:val="24"/>
        </w:rPr>
        <w:t xml:space="preserve">360. The fraction of those worlds with a positive branch gap declines from 100</w:t>
      </w:r>
      <w:r>
        <w:rPr>
          <w:rFonts w:ascii="Times New Roman" w:hAnsi="Times New Roman" w:eastAsia="Times New Roman"/>
          <w:sz w:val="24"/>
        </w:rPr>
        <w:t xml:space="preserve"> </w:t>
      </w:r>
      <w:r>
        <w:rPr>
          <w:rFonts w:ascii="Times New Roman" w:hAnsi="Times New Roman" w:eastAsia="Times New Roman"/>
          <w:sz w:val="24"/>
        </w:rPr>
        <w:t xml:space="preserve">percent at day 30 to 63.1 percent at one year.</w:t>
      </w:r>
    </w:p>
    <w:p>
      <w:pPr>
        <w:pStyle w:val="BodyText"/>
        <w:spacing w:line="480" w:lineRule="auto" w:before="0" w:after="0"/>
        <w:ind w:firstLine="720" w:left="0"/>
      </w:pPr>
      <w:r>
        <w:rPr>
          <w:rFonts w:ascii="Times New Roman" w:hAnsi="Times New Roman" w:eastAsia="Times New Roman"/>
          <w:sz w:val="24"/>
        </w:rPr>
        <w:t xml:space="preserve">That trajectory is evidence that continued support can maintain capability</w:t>
      </w:r>
      <w:r>
        <w:rPr>
          <w:rFonts w:ascii="Times New Roman" w:hAnsi="Times New Roman" w:eastAsia="Times New Roman"/>
          <w:sz w:val="24"/>
        </w:rPr>
        <w:t xml:space="preserve"> </w:t>
      </w:r>
      <w:r>
        <w:rPr>
          <w:rFonts w:ascii="Times New Roman" w:hAnsi="Times New Roman" w:eastAsia="Times New Roman"/>
          <w:sz w:val="24"/>
        </w:rPr>
        <w:t xml:space="preserve">relative to withdrawal for extended periods. It should not be confused with a</w:t>
      </w:r>
      <w:r>
        <w:rPr>
          <w:rFonts w:ascii="Times New Roman" w:hAnsi="Times New Roman" w:eastAsia="Times New Roman"/>
          <w:sz w:val="24"/>
        </w:rPr>
        <w:t xml:space="preserve"> </w:t>
      </w:r>
      <w:r>
        <w:rPr>
          <w:rFonts w:ascii="Times New Roman" w:hAnsi="Times New Roman" w:eastAsia="Times New Roman"/>
          <w:sz w:val="24"/>
        </w:rPr>
        <w:t xml:space="preserve">net treatment effect over no aid. Across all treated cells, mean supported</w:t>
      </w:r>
      <w:r>
        <w:rPr>
          <w:rFonts w:ascii="Times New Roman" w:hAnsi="Times New Roman" w:eastAsia="Times New Roman"/>
          <w:sz w:val="24"/>
        </w:rPr>
        <w:t xml:space="preserve"> </w:t>
      </w:r>
      <w:r>
        <w:rPr>
          <w:rFonts w:ascii="Times New Roman" w:hAnsi="Times New Roman" w:eastAsia="Times New Roman"/>
          <w:sz w:val="24"/>
        </w:rPr>
        <w:t xml:space="preserve">capability relative to the matched no-aid control is +0.00782 at day 7,</w:t>
      </w:r>
      <w:r>
        <w:rPr>
          <w:rFonts w:ascii="Times New Roman" w:hAnsi="Times New Roman" w:eastAsia="Times New Roman"/>
          <w:sz w:val="24"/>
        </w:rPr>
        <w:t xml:space="preserve"> </w:t>
      </w:r>
      <w:r>
        <w:rPr>
          <w:rFonts w:ascii="Times New Roman" w:hAnsi="Times New Roman" w:eastAsia="Times New Roman"/>
          <w:sz w:val="24"/>
        </w:rPr>
        <w:t xml:space="preserve">+0.00036 at day 30, -0.01005 at day 90, -0.00768 at day 180, and -0.00326 at</w:t>
      </w:r>
      <w:r>
        <w:rPr>
          <w:rFonts w:ascii="Times New Roman" w:hAnsi="Times New Roman" w:eastAsia="Times New Roman"/>
          <w:sz w:val="24"/>
        </w:rPr>
        <w:t xml:space="preserve"> </w:t>
      </w:r>
      <w:r>
        <w:rPr>
          <w:rFonts w:ascii="Times New Roman" w:hAnsi="Times New Roman" w:eastAsia="Times New Roman"/>
          <w:sz w:val="24"/>
        </w:rPr>
        <w:t xml:space="preserve">day 360. The synthetic experiment therefore contains strong positive cases,</w:t>
      </w:r>
      <w:r>
        <w:rPr>
          <w:rFonts w:ascii="Times New Roman" w:hAnsi="Times New Roman" w:eastAsia="Times New Roman"/>
          <w:sz w:val="24"/>
        </w:rPr>
        <w:t xml:space="preserve"> </w:t>
      </w:r>
      <w:r>
        <w:rPr>
          <w:rFonts w:ascii="Times New Roman" w:hAnsi="Times New Roman" w:eastAsia="Times New Roman"/>
          <w:sz w:val="24"/>
        </w:rPr>
        <w:t xml:space="preserve">neutral cases, and harmful cases rather than one uniformly successful support</w:t>
      </w:r>
      <w:r>
        <w:rPr>
          <w:rFonts w:ascii="Times New Roman" w:hAnsi="Times New Roman" w:eastAsia="Times New Roman"/>
          <w:sz w:val="24"/>
        </w:rPr>
        <w:t xml:space="preserve"> </w:t>
      </w:r>
      <w:r>
        <w:rPr>
          <w:rFonts w:ascii="Times New Roman" w:hAnsi="Times New Roman" w:eastAsia="Times New Roman"/>
          <w:sz w:val="24"/>
        </w:rPr>
        <w:t xml:space="preserve">regime.</w:t>
      </w:r>
    </w:p>
    <w:p>
      <w:pPr>
        <w:pStyle w:val="CaptionedFigure"/>
        <w:keepNext/>
        <w:spacing w:before="240" w:after="120"/>
        <w:ind w:firstLine="0" w:left="0"/>
        <w:jc w:val="center"/>
      </w:pPr>
      <w:r>
        <w:rPr/>
        <w:drawing>
          <wp:inline>
            <wp:extent cx="5510824" cy="3875895"/>
            <wp:effectExtent b="0" l="0" r="0" t="0"/>
            <wp:docPr descr="Figure 4. Mean supported effect relative to no aid, retained effect after withdrawal relative to no aid, and the dependency gap across all treated Phase-Map cells at each registered horizon. Shaded bands show the interquartile range across cells." title="" id="97" name="Picture"/>
            <a:graphic>
              <a:graphicData uri="http://schemas.openxmlformats.org/drawingml/2006/picture">
                <pic:pic>
                  <pic:nvPicPr>
                    <pic:cNvPr descr="figures/figure4_capability_trajectories.png" id="98" name="Picture"/>
                    <pic:cNvPicPr>
                      <a:picLocks noChangeArrowheads="1" noChangeAspect="1"/>
                    </pic:cNvPicPr>
                  </pic:nvPicPr>
                  <pic:blipFill>
                    <a:blip r:embed="rId96"/>
                    <a:stretch>
                      <a:fillRect/>
                    </a:stretch>
                  </pic:blipFill>
                  <pic:spPr bwMode="auto">
                    <a:xfrm>
                      <a:off x="0" y="0"/>
                      <a:ext cx="5510824" cy="3875895"/>
                    </a:xfrm>
                    <a:prstGeom prst="rect">
                      <a:avLst/>
                    </a:prstGeom>
                    <a:noFill/>
                    <a:ln w="9525">
                      <a:noFill/>
                      <a:headEnd/>
                      <a:tailEnd/>
                    </a:ln>
                  </pic:spPr>
                </pic:pic>
              </a:graphicData>
            </a:graphic>
          </wp:inline>
        </w:drawing>
      </w:r>
    </w:p>
    <w:p>
      <w:pPr>
        <w:pStyle w:val="ImageCaption"/>
        <w:keepNext w:val="0"/>
        <w:spacing w:line="276" w:lineRule="auto" w:before="120" w:after="240"/>
        <w:ind w:firstLine="0" w:left="0"/>
      </w:pPr>
      <w:r>
        <w:rPr>
          <w:rFonts w:ascii="Times New Roman" w:hAnsi="Times New Roman" w:eastAsia="Times New Roman"/>
          <w:sz w:val="20"/>
        </w:rPr>
        <w:t xml:space="preserve">Figure 4. Mean supported effect relative to no aid, retained effect after</w:t>
      </w:r>
      <w:r>
        <w:rPr>
          <w:rFonts w:ascii="Times New Roman" w:hAnsi="Times New Roman" w:eastAsia="Times New Roman"/>
          <w:sz w:val="20"/>
        </w:rPr>
        <w:t xml:space="preserve"> </w:t>
      </w:r>
      <w:r>
        <w:rPr>
          <w:rFonts w:ascii="Times New Roman" w:hAnsi="Times New Roman" w:eastAsia="Times New Roman"/>
          <w:sz w:val="20"/>
        </w:rPr>
        <w:t xml:space="preserve">withdrawal relative to no aid, and the dependency gap across all treated</w:t>
      </w:r>
      <w:r>
        <w:rPr>
          <w:rFonts w:ascii="Times New Roman" w:hAnsi="Times New Roman" w:eastAsia="Times New Roman"/>
          <w:sz w:val="20"/>
        </w:rPr>
        <w:t xml:space="preserve"> </w:t>
      </w:r>
      <w:r>
        <w:rPr>
          <w:rFonts w:ascii="Times New Roman" w:hAnsi="Times New Roman" w:eastAsia="Times New Roman"/>
          <w:sz w:val="20"/>
        </w:rPr>
        <w:t xml:space="preserve">Phase-Map cells at each registered horizon. Shaded bands show the interquartile</w:t>
      </w:r>
      <w:r>
        <w:rPr>
          <w:rFonts w:ascii="Times New Roman" w:hAnsi="Times New Roman" w:eastAsia="Times New Roman"/>
          <w:sz w:val="20"/>
        </w:rPr>
        <w:t xml:space="preserve"> </w:t>
      </w:r>
      <w:r>
        <w:rPr>
          <w:rFonts w:ascii="Times New Roman" w:hAnsi="Times New Roman" w:eastAsia="Times New Roman"/>
          <w:sz w:val="20"/>
        </w:rPr>
        <w:t xml:space="preserve">range across cells.</w:t>
      </w:r>
    </w:p>
    <w:bookmarkEnd w:id="99"/>
    <w:bookmarkStart w:id="100" w:name="Xd971632e5b49c4b4c575863a11aee185c5607e6"/>
    <w:p>
      <w:pPr>
        <w:pStyle w:val="Heading2"/>
        <w:keepNext/>
        <w:spacing w:line="480" w:lineRule="auto" w:after="0" w:before="120"/>
        <w:ind w:firstLine="0" w:left="0"/>
      </w:pPr>
      <w:r>
        <w:rPr>
          <w:rFonts w:ascii="Times New Roman" w:hAnsi="Times New Roman" w:eastAsia="Times New Roman"/>
          <w:b/>
          <w:i/>
          <w:sz w:val="24"/>
        </w:rPr>
        <w:t xml:space="preserve">5.5 Nominal weakness is a poor proxy for the observed bottleneck</w:t>
      </w:r>
    </w:p>
    <w:p>
      <w:pPr>
        <w:pStyle w:val="FirstParagraph"/>
        <w:spacing w:line="480" w:lineRule="auto" w:before="0" w:after="0"/>
        <w:ind w:firstLine="720" w:left="0"/>
      </w:pPr>
      <w:r>
        <w:rPr>
          <w:rFonts w:ascii="Times New Roman" w:hAnsi="Times New Roman" w:eastAsia="Times New Roman"/>
          <w:sz w:val="24"/>
        </w:rPr>
        <w:t xml:space="preserve">The Phase Map also shows why static labels are inadequate. As nominal</w:t>
      </w:r>
      <w:r>
        <w:rPr>
          <w:rFonts w:ascii="Times New Roman" w:hAnsi="Times New Roman" w:eastAsia="Times New Roman"/>
          <w:sz w:val="24"/>
        </w:rPr>
        <w:t xml:space="preserve"> </w:t>
      </w:r>
      <w:r>
        <w:rPr>
          <w:rFonts w:ascii="Times New Roman" w:hAnsi="Times New Roman" w:eastAsia="Times New Roman"/>
          <w:sz w:val="24"/>
        </w:rPr>
        <w:t xml:space="preserve">force-generation capacity rises, the observed bottleneck frequently shifts to</w:t>
      </w:r>
      <w:r>
        <w:rPr>
          <w:rFonts w:ascii="Times New Roman" w:hAnsi="Times New Roman" w:eastAsia="Times New Roman"/>
          <w:sz w:val="24"/>
        </w:rPr>
        <w:t xml:space="preserve"> </w:t>
      </w:r>
      <w:r>
        <w:rPr>
          <w:rFonts w:ascii="Times New Roman" w:hAnsi="Times New Roman" w:eastAsia="Times New Roman"/>
          <w:sz w:val="24"/>
        </w:rPr>
        <w:t xml:space="preserve">logistics before treatment. At the 0.60 force-generation multiplier, all 84</w:t>
      </w:r>
      <w:r>
        <w:rPr>
          <w:rFonts w:ascii="Times New Roman" w:hAnsi="Times New Roman" w:eastAsia="Times New Roman"/>
          <w:sz w:val="24"/>
        </w:rPr>
        <w:t xml:space="preserve"> </w:t>
      </w:r>
      <w:r>
        <w:rPr>
          <w:rFonts w:ascii="Times New Roman" w:hAnsi="Times New Roman" w:eastAsia="Times New Roman"/>
          <w:sz w:val="24"/>
        </w:rPr>
        <w:t xml:space="preserve">sampled worlds across support conditions were already logistics-bottlenecked.</w:t>
      </w:r>
      <w:r>
        <w:rPr>
          <w:rFonts w:ascii="Times New Roman" w:hAnsi="Times New Roman" w:eastAsia="Times New Roman"/>
          <w:sz w:val="24"/>
        </w:rPr>
        <w:t xml:space="preserve"> </w:t>
      </w:r>
      <w:r>
        <w:rPr>
          <w:rFonts w:ascii="Times New Roman" w:hAnsi="Times New Roman" w:eastAsia="Times New Roman"/>
          <w:sz w:val="24"/>
        </w:rPr>
        <w:t xml:space="preserve">Balanced systems likewise became increasingly logistics-bound as overall</w:t>
      </w:r>
      <w:r>
        <w:rPr>
          <w:rFonts w:ascii="Times New Roman" w:hAnsi="Times New Roman" w:eastAsia="Times New Roman"/>
          <w:sz w:val="24"/>
        </w:rPr>
        <w:t xml:space="preserve"> </w:t>
      </w:r>
      <w:r>
        <w:rPr>
          <w:rFonts w:ascii="Times New Roman" w:hAnsi="Times New Roman" w:eastAsia="Times New Roman"/>
          <w:sz w:val="24"/>
        </w:rPr>
        <w:t xml:space="preserve">capacity increased, reaching 84 of 84 logistics bottlenecks at balanced</w:t>
      </w:r>
      <w:r>
        <w:rPr>
          <w:rFonts w:ascii="Times New Roman" w:hAnsi="Times New Roman" w:eastAsia="Times New Roman"/>
          <w:sz w:val="24"/>
        </w:rPr>
        <w:t xml:space="preserve"> </w:t>
      </w:r>
      <w:r>
        <w:rPr>
          <w:rFonts w:ascii="Times New Roman" w:hAnsi="Times New Roman" w:eastAsia="Times New Roman"/>
          <w:sz w:val="24"/>
        </w:rPr>
        <w:t xml:space="preserve">capacity 1.0.</w:t>
      </w:r>
    </w:p>
    <w:p>
      <w:pPr>
        <w:pStyle w:val="BodyText"/>
        <w:spacing w:line="480" w:lineRule="auto" w:before="0" w:after="0"/>
        <w:ind w:firstLine="720" w:left="0"/>
      </w:pPr>
      <w:r>
        <w:rPr>
          <w:rFonts w:ascii="Times New Roman" w:hAnsi="Times New Roman" w:eastAsia="Times New Roman"/>
          <w:sz w:val="24"/>
        </w:rPr>
        <w:t xml:space="preserve">Command-constrained systems remained command-bound over lower capacity levels,</w:t>
      </w:r>
      <w:r>
        <w:rPr>
          <w:rFonts w:ascii="Times New Roman" w:hAnsi="Times New Roman" w:eastAsia="Times New Roman"/>
          <w:sz w:val="24"/>
        </w:rPr>
        <w:t xml:space="preserve"> </w:t>
      </w:r>
      <w:r>
        <w:rPr>
          <w:rFonts w:ascii="Times New Roman" w:hAnsi="Times New Roman" w:eastAsia="Times New Roman"/>
          <w:sz w:val="24"/>
        </w:rPr>
        <w:t xml:space="preserve">but at command capacity 0.70, 61 of 84 worlds were logistics-bottlenecked and</w:t>
      </w:r>
      <w:r>
        <w:rPr>
          <w:rFonts w:ascii="Times New Roman" w:hAnsi="Times New Roman" w:eastAsia="Times New Roman"/>
          <w:sz w:val="24"/>
        </w:rPr>
        <w:t xml:space="preserve"> </w:t>
      </w:r>
      <w:r>
        <w:rPr>
          <w:rFonts w:ascii="Times New Roman" w:hAnsi="Times New Roman" w:eastAsia="Times New Roman"/>
          <w:sz w:val="24"/>
        </w:rPr>
        <w:t xml:space="preserve">only 23 remained command-bottlenecked. These patterns establish an important</w:t>
      </w:r>
      <w:r>
        <w:rPr>
          <w:rFonts w:ascii="Times New Roman" w:hAnsi="Times New Roman" w:eastAsia="Times New Roman"/>
          <w:sz w:val="24"/>
        </w:rPr>
        <w:t xml:space="preserve"> </w:t>
      </w:r>
      <w:r>
        <w:rPr>
          <w:rFonts w:ascii="Times New Roman" w:hAnsi="Times New Roman" w:eastAsia="Times New Roman"/>
          <w:sz w:val="24"/>
        </w:rPr>
        <w:t xml:space="preserve">measurement point: the target named in an assistance program or experimental</w:t>
      </w:r>
      <w:r>
        <w:rPr>
          <w:rFonts w:ascii="Times New Roman" w:hAnsi="Times New Roman" w:eastAsia="Times New Roman"/>
          <w:sz w:val="24"/>
        </w:rPr>
        <w:t xml:space="preserve"> </w:t>
      </w:r>
      <w:r>
        <w:rPr>
          <w:rFonts w:ascii="Times New Roman" w:hAnsi="Times New Roman" w:eastAsia="Times New Roman"/>
          <w:sz w:val="24"/>
        </w:rPr>
        <w:t xml:space="preserve">design need not be the service that actually limits the system.</w:t>
      </w:r>
    </w:p>
    <w:bookmarkEnd w:id="100"/>
    <w:bookmarkStart w:id="101" w:name="Xaceb9e3f5b0062b66c55d02a22c8393d4207c13"/>
    <w:p>
      <w:pPr>
        <w:pStyle w:val="Heading2"/>
        <w:keepNext/>
        <w:spacing w:line="480" w:lineRule="auto" w:after="0" w:before="120"/>
        <w:ind w:firstLine="0" w:left="0"/>
      </w:pPr>
      <w:r>
        <w:rPr>
          <w:rFonts w:ascii="Times New Roman" w:hAnsi="Times New Roman" w:eastAsia="Times New Roman"/>
          <w:b/>
          <w:i/>
          <w:sz w:val="24"/>
        </w:rPr>
        <w:t xml:space="preserve">5.6 Constraint displacement explains low yield, not the terminal coverage penalty</w:t>
      </w:r>
    </w:p>
    <w:p>
      <w:pPr>
        <w:pStyle w:val="FirstParagraph"/>
        <w:spacing w:line="480" w:lineRule="auto" w:before="0" w:after="0"/>
        <w:ind w:firstLine="720" w:left="0"/>
      </w:pPr>
      <w:r>
        <w:rPr>
          <w:rFonts w:ascii="Times New Roman" w:hAnsi="Times New Roman" w:eastAsia="Times New Roman"/>
          <w:sz w:val="24"/>
        </w:rPr>
        <w:t xml:space="preserve">The dedicated Migration module shows that bottleneck displacement is real, but</w:t>
      </w:r>
      <w:r>
        <w:rPr>
          <w:rFonts w:ascii="Times New Roman" w:hAnsi="Times New Roman" w:eastAsia="Times New Roman"/>
          <w:sz w:val="24"/>
        </w:rPr>
        <w:t xml:space="preserve"> </w:t>
      </w:r>
      <w:r>
        <w:rPr>
          <w:rFonts w:ascii="Times New Roman" w:hAnsi="Times New Roman" w:eastAsia="Times New Roman"/>
          <w:sz w:val="24"/>
        </w:rPr>
        <w:t xml:space="preserve">it does not mediate the terminal coverage penalty. Among worlds where the</w:t>
      </w:r>
      <w:r>
        <w:rPr>
          <w:rFonts w:ascii="Times New Roman" w:hAnsi="Times New Roman" w:eastAsia="Times New Roman"/>
          <w:sz w:val="24"/>
        </w:rPr>
        <w:t xml:space="preserve"> </w:t>
      </w:r>
      <w:r>
        <w:rPr>
          <w:rFonts w:ascii="Times New Roman" w:hAnsi="Times New Roman" w:eastAsia="Times New Roman"/>
          <w:sz w:val="24"/>
        </w:rPr>
        <w:t xml:space="preserve">treatment target matched the observed pre-withdrawal bottleneck, command and</w:t>
      </w:r>
      <w:r>
        <w:rPr>
          <w:rFonts w:ascii="Times New Roman" w:hAnsi="Times New Roman" w:eastAsia="Times New Roman"/>
          <w:sz w:val="24"/>
        </w:rPr>
        <w:t xml:space="preserve"> </w:t>
      </w:r>
      <w:r>
        <w:rPr>
          <w:rFonts w:ascii="Times New Roman" w:hAnsi="Times New Roman" w:eastAsia="Times New Roman"/>
          <w:sz w:val="24"/>
        </w:rPr>
        <w:t xml:space="preserve">force generation behave very differently from logistics.</w:t>
      </w:r>
    </w:p>
    <w:p>
      <w:pPr>
        <w:pStyle w:val="BodyText"/>
        <w:spacing w:line="480" w:lineRule="auto" w:before="0" w:after="0"/>
        <w:ind w:firstLine="720" w:left="0"/>
      </w:pPr>
      <w:r>
        <w:rPr>
          <w:rFonts w:ascii="Times New Roman" w:hAnsi="Times New Roman" w:eastAsia="Times New Roman"/>
          <w:sz w:val="24"/>
        </w:rPr>
        <w:t xml:space="preserve">When command assistance matched an observed command bottleneck, all 38 worlds</w:t>
      </w:r>
      <w:r>
        <w:rPr>
          <w:rFonts w:ascii="Times New Roman" w:hAnsi="Times New Roman" w:eastAsia="Times New Roman"/>
          <w:sz w:val="24"/>
        </w:rPr>
        <w:t xml:space="preserve"> </w:t>
      </w:r>
      <w:r>
        <w:rPr>
          <w:rFonts w:ascii="Times New Roman" w:hAnsi="Times New Roman" w:eastAsia="Times New Roman"/>
          <w:sz w:val="24"/>
        </w:rPr>
        <w:t xml:space="preserve">experienced persistent migration; median detected migration time was seven days,</w:t>
      </w:r>
      <w:r>
        <w:rPr>
          <w:rFonts w:ascii="Times New Roman" w:hAnsi="Times New Roman" w:eastAsia="Times New Roman"/>
          <w:sz w:val="24"/>
        </w:rPr>
        <w:t xml:space="preserve"> </w:t>
      </w:r>
      <w:r>
        <w:rPr>
          <w:rFonts w:ascii="Times New Roman" w:hAnsi="Times New Roman" w:eastAsia="Times New Roman"/>
          <w:sz w:val="24"/>
        </w:rPr>
        <w:t xml:space="preserve">and logistics was the modal post-support bottleneck in all 38. When force-</w:t>
      </w:r>
      <w:r>
        <w:rPr>
          <w:rFonts w:ascii="Times New Roman" w:hAnsi="Times New Roman" w:eastAsia="Times New Roman"/>
          <w:sz w:val="24"/>
        </w:rPr>
        <w:t xml:space="preserve"> </w:t>
      </w:r>
      <w:r>
        <w:rPr>
          <w:rFonts w:ascii="Times New Roman" w:hAnsi="Times New Roman" w:eastAsia="Times New Roman"/>
          <w:sz w:val="24"/>
        </w:rPr>
        <w:t xml:space="preserve">generation assistance matched an observed force-generation bottleneck, all 46</w:t>
      </w:r>
      <w:r>
        <w:rPr>
          <w:rFonts w:ascii="Times New Roman" w:hAnsi="Times New Roman" w:eastAsia="Times New Roman"/>
          <w:sz w:val="24"/>
        </w:rPr>
        <w:t xml:space="preserve"> </w:t>
      </w:r>
      <w:r>
        <w:rPr>
          <w:rFonts w:ascii="Times New Roman" w:hAnsi="Times New Roman" w:eastAsia="Times New Roman"/>
          <w:sz w:val="24"/>
        </w:rPr>
        <w:t xml:space="preserve">worlds migrated persistently; median detected migration time was again seven</w:t>
      </w:r>
      <w:r>
        <w:rPr>
          <w:rFonts w:ascii="Times New Roman" w:hAnsi="Times New Roman" w:eastAsia="Times New Roman"/>
          <w:sz w:val="24"/>
        </w:rPr>
        <w:t xml:space="preserve"> </w:t>
      </w:r>
      <w:r>
        <w:rPr>
          <w:rFonts w:ascii="Times New Roman" w:hAnsi="Times New Roman" w:eastAsia="Times New Roman"/>
          <w:sz w:val="24"/>
        </w:rPr>
        <w:t xml:space="preserve">days, and logistics was the modal post-support bottleneck in all 46.</w:t>
      </w:r>
    </w:p>
    <w:p>
      <w:pPr>
        <w:pStyle w:val="BodyText"/>
        <w:spacing w:line="480" w:lineRule="auto" w:before="0" w:after="0"/>
        <w:ind w:firstLine="720" w:left="0"/>
      </w:pPr>
      <w:r>
        <w:rPr>
          <w:rFonts w:ascii="Times New Roman" w:hAnsi="Times New Roman" w:eastAsia="Times New Roman"/>
          <w:sz w:val="24"/>
        </w:rPr>
        <w:t xml:space="preserve">Matched logistics cases produced the opposite result: none of 85 worlds migrated</w:t>
      </w:r>
      <w:r>
        <w:rPr>
          <w:rFonts w:ascii="Times New Roman" w:hAnsi="Times New Roman" w:eastAsia="Times New Roman"/>
          <w:sz w:val="24"/>
        </w:rPr>
        <w:t xml:space="preserve"> </w:t>
      </w:r>
      <w:r>
        <w:rPr>
          <w:rFonts w:ascii="Times New Roman" w:hAnsi="Times New Roman" w:eastAsia="Times New Roman"/>
          <w:sz w:val="24"/>
        </w:rPr>
        <w:t xml:space="preserve">persistently. Continued logistics support improved +30-day</w:t>
      </w:r>
      <w:r>
        <w:rPr>
          <w:rFonts w:ascii="Times New Roman" w:hAnsi="Times New Roman" w:eastAsia="Times New Roman"/>
          <w:sz w:val="24"/>
        </w:rPr>
        <w:t xml:space="preserve"> </w:t>
      </w:r>
      <w:r>
        <w:rPr>
          <w:rFonts w:ascii="Times New Roman" w:hAnsi="Times New Roman" w:eastAsia="Times New Roman"/>
          <w:sz w:val="24"/>
        </w:rPr>
        <w:t xml:space="preserve">capability on average by approximately +0.0170, while the terminal indigenous-</w:t>
      </w:r>
      <w:r>
        <w:rPr>
          <w:rFonts w:ascii="Times New Roman" w:hAnsi="Times New Roman" w:eastAsia="Times New Roman"/>
          <w:sz w:val="24"/>
        </w:rPr>
        <w:t xml:space="preserve"> </w:t>
      </w:r>
      <w:r>
        <w:rPr>
          <w:rFonts w:ascii="Times New Roman" w:hAnsi="Times New Roman" w:eastAsia="Times New Roman"/>
          <w:sz w:val="24"/>
        </w:rPr>
        <w:t xml:space="preserve">coverage branch contrast was approximately -0.2215.</w:t>
      </w:r>
    </w:p>
    <w:p>
      <w:pPr>
        <w:pStyle w:val="BodyText"/>
        <w:spacing w:line="480" w:lineRule="auto" w:before="0" w:after="0"/>
        <w:ind w:firstLine="720" w:left="0"/>
      </w:pPr>
      <w:r>
        <w:rPr>
          <w:rFonts w:ascii="Times New Roman" w:hAnsi="Times New Roman" w:eastAsia="Times New Roman"/>
          <w:sz w:val="24"/>
        </w:rPr>
        <w:t xml:space="preserve">The key finding is the separation between migration and the coverage gap.</w:t>
      </w:r>
      <w:r>
        <w:rPr>
          <w:rFonts w:ascii="Times New Roman" w:hAnsi="Times New Roman" w:eastAsia="Times New Roman"/>
          <w:sz w:val="24"/>
        </w:rPr>
        <w:t xml:space="preserve"> </w:t>
      </w:r>
      <w:r>
        <w:rPr>
          <w:rFonts w:ascii="Times New Roman" w:hAnsi="Times New Roman" w:eastAsia="Times New Roman"/>
          <w:sz w:val="24"/>
        </w:rPr>
        <w:t xml:space="preserve">Matched command relief migrates in 38 of 38 worlds and has a mean +360-day</w:t>
      </w:r>
      <w:r>
        <w:rPr>
          <w:rFonts w:ascii="Times New Roman" w:hAnsi="Times New Roman" w:eastAsia="Times New Roman"/>
          <w:sz w:val="24"/>
        </w:rPr>
        <w:t xml:space="preserve"> </w:t>
      </w:r>
      <w:r>
        <w:rPr>
          <w:rFonts w:ascii="Times New Roman" w:hAnsi="Times New Roman" w:eastAsia="Times New Roman"/>
          <w:sz w:val="24"/>
        </w:rPr>
        <w:t xml:space="preserve">coverage effect of +0.0555. Matched force-generation relief migrates in 46 of 46</w:t>
      </w:r>
      <w:r>
        <w:rPr>
          <w:rFonts w:ascii="Times New Roman" w:hAnsi="Times New Roman" w:eastAsia="Times New Roman"/>
          <w:sz w:val="24"/>
        </w:rPr>
        <w:t xml:space="preserve"> </w:t>
      </w:r>
      <w:r>
        <w:rPr>
          <w:rFonts w:ascii="Times New Roman" w:hAnsi="Times New Roman" w:eastAsia="Times New Roman"/>
          <w:sz w:val="24"/>
        </w:rPr>
        <w:t xml:space="preserve">worlds and has a mean terminal effect of zero at reported precision. Matched</w:t>
      </w:r>
      <w:r>
        <w:rPr>
          <w:rFonts w:ascii="Times New Roman" w:hAnsi="Times New Roman" w:eastAsia="Times New Roman"/>
          <w:sz w:val="24"/>
        </w:rPr>
        <w:t xml:space="preserve"> </w:t>
      </w:r>
      <w:r>
        <w:rPr>
          <w:rFonts w:ascii="Times New Roman" w:hAnsi="Times New Roman" w:eastAsia="Times New Roman"/>
          <w:sz w:val="24"/>
        </w:rPr>
        <w:t xml:space="preserve">logistics relief migrates in 0 of 85 worlds and has the large negative terminal</w:t>
      </w:r>
      <w:r>
        <w:rPr>
          <w:rFonts w:ascii="Times New Roman" w:hAnsi="Times New Roman" w:eastAsia="Times New Roman"/>
          <w:sz w:val="24"/>
        </w:rPr>
        <w:t xml:space="preserve"> </w:t>
      </w:r>
      <w:r>
        <w:rPr>
          <w:rFonts w:ascii="Times New Roman" w:hAnsi="Times New Roman" w:eastAsia="Times New Roman"/>
          <w:sz w:val="24"/>
        </w:rPr>
        <w:t xml:space="preserve">effect, -0.2215. The full Phase Map shows the same direction: among worlds with</w:t>
      </w:r>
      <w:r>
        <w:rPr>
          <w:rFonts w:ascii="Times New Roman" w:hAnsi="Times New Roman" w:eastAsia="Times New Roman"/>
          <w:sz w:val="24"/>
        </w:rPr>
        <w:t xml:space="preserve"> </w:t>
      </w:r>
      <w:r>
        <w:rPr>
          <w:rFonts w:ascii="Times New Roman" w:hAnsi="Times New Roman" w:eastAsia="Times New Roman"/>
          <w:sz w:val="24"/>
        </w:rPr>
        <w:t xml:space="preserve">a positive +30-day branch capability effect, migrated worlds have a less</w:t>
      </w:r>
      <w:r>
        <w:rPr>
          <w:rFonts w:ascii="Times New Roman" w:hAnsi="Times New Roman" w:eastAsia="Times New Roman"/>
          <w:sz w:val="24"/>
        </w:rPr>
        <w:t xml:space="preserve"> </w:t>
      </w:r>
      <w:r>
        <w:rPr>
          <w:rFonts w:ascii="Times New Roman" w:hAnsi="Times New Roman" w:eastAsia="Times New Roman"/>
          <w:sz w:val="24"/>
        </w:rPr>
        <w:t xml:space="preserve">negative mean terminal coverage contrast than non-migrated worlds.</w:t>
      </w:r>
    </w:p>
    <w:p>
      <w:pPr>
        <w:pStyle w:val="BodyText"/>
        <w:spacing w:line="480" w:lineRule="auto" w:before="0" w:after="0"/>
        <w:ind w:firstLine="720" w:left="0"/>
      </w:pPr>
      <w:r>
        <w:rPr>
          <w:rFonts w:ascii="Times New Roman" w:hAnsi="Times New Roman" w:eastAsia="Times New Roman"/>
          <w:sz w:val="24"/>
        </w:rPr>
        <w:t xml:space="preserve">Migration therefore cannot be the cause of the coverage penalty in these</w:t>
      </w:r>
      <w:r>
        <w:rPr>
          <w:rFonts w:ascii="Times New Roman" w:hAnsi="Times New Roman" w:eastAsia="Times New Roman"/>
          <w:sz w:val="24"/>
        </w:rPr>
        <w:t xml:space="preserve"> </w:t>
      </w:r>
      <w:r>
        <w:rPr>
          <w:rFonts w:ascii="Times New Roman" w:hAnsi="Times New Roman" w:eastAsia="Times New Roman"/>
          <w:sz w:val="24"/>
        </w:rPr>
        <w:t xml:space="preserve">experiments. What it does identify is</w:t>
      </w:r>
      <w:r>
        <w:rPr>
          <w:rFonts w:ascii="Times New Roman" w:hAnsi="Times New Roman" w:eastAsia="Times New Roman"/>
          <w:sz w:val="24"/>
        </w:rPr>
        <w:t xml:space="preserve"> </w:t>
      </w:r>
      <w:r>
        <w:rPr>
          <w:rFonts w:ascii="Times New Roman" w:hAnsi="Times New Roman" w:eastAsia="Times New Roman"/>
          <w:b/>
          <w:bCs/>
          <w:sz w:val="24"/>
        </w:rPr>
        <w:t xml:space="preserve">relief without yield</w:t>
      </w:r>
      <w:r>
        <w:rPr>
          <w:rFonts w:ascii="Times New Roman" w:hAnsi="Times New Roman" w:eastAsia="Times New Roman"/>
          <w:sz w:val="24"/>
        </w:rPr>
        <w:t xml:space="preserve">. Matched force-</w:t>
      </w:r>
      <w:r>
        <w:rPr>
          <w:rFonts w:ascii="Times New Roman" w:hAnsi="Times New Roman" w:eastAsia="Times New Roman"/>
          <w:sz w:val="24"/>
        </w:rPr>
        <w:t xml:space="preserve"> </w:t>
      </w:r>
      <w:r>
        <w:rPr>
          <w:rFonts w:ascii="Times New Roman" w:hAnsi="Times New Roman" w:eastAsia="Times New Roman"/>
          <w:sz w:val="24"/>
        </w:rPr>
        <w:t xml:space="preserve">generation assistance changes which service binds in all 46 worlds while its</w:t>
      </w:r>
      <w:r>
        <w:rPr>
          <w:rFonts w:ascii="Times New Roman" w:hAnsi="Times New Roman" w:eastAsia="Times New Roman"/>
          <w:sz w:val="24"/>
        </w:rPr>
        <w:t xml:space="preserve"> </w:t>
      </w:r>
      <w:r>
        <w:rPr>
          <w:rFonts w:ascii="Times New Roman" w:hAnsi="Times New Roman" w:eastAsia="Times New Roman"/>
          <w:sz w:val="24"/>
        </w:rPr>
        <w:t xml:space="preserve">mean +30-day composite-capability effect is approximately +0.00000021. Command</w:t>
      </w:r>
      <w:r>
        <w:rPr>
          <w:rFonts w:ascii="Times New Roman" w:hAnsi="Times New Roman" w:eastAsia="Times New Roman"/>
          <w:sz w:val="24"/>
        </w:rPr>
        <w:t xml:space="preserve"> </w:t>
      </w:r>
      <w:r>
        <w:rPr>
          <w:rFonts w:ascii="Times New Roman" w:hAnsi="Times New Roman" w:eastAsia="Times New Roman"/>
          <w:sz w:val="24"/>
        </w:rPr>
        <w:t xml:space="preserve">relief also migrates universally but yields only +0.00354 on average. Logistics</w:t>
      </w:r>
      <w:r>
        <w:rPr>
          <w:rFonts w:ascii="Times New Roman" w:hAnsi="Times New Roman" w:eastAsia="Times New Roman"/>
          <w:sz w:val="24"/>
        </w:rPr>
        <w:t xml:space="preserve"> </w:t>
      </w:r>
      <w:r>
        <w:rPr>
          <w:rFonts w:ascii="Times New Roman" w:hAnsi="Times New Roman" w:eastAsia="Times New Roman"/>
          <w:sz w:val="24"/>
        </w:rPr>
        <w:t xml:space="preserve">support produces the largest +30-day branch gain, about +0.01699, despite no</w:t>
      </w:r>
      <w:r>
        <w:rPr>
          <w:rFonts w:ascii="Times New Roman" w:hAnsi="Times New Roman" w:eastAsia="Times New Roman"/>
          <w:sz w:val="24"/>
        </w:rPr>
        <w:t xml:space="preserve"> </w:t>
      </w:r>
      <w:r>
        <w:rPr>
          <w:rFonts w:ascii="Times New Roman" w:hAnsi="Times New Roman" w:eastAsia="Times New Roman"/>
          <w:sz w:val="24"/>
        </w:rPr>
        <w:t xml:space="preserve">persistent migration.</w:t>
      </w:r>
    </w:p>
    <w:p>
      <w:pPr>
        <w:pStyle w:val="BodyText"/>
        <w:keepNext/>
        <w:spacing w:line="276" w:lineRule="auto" w:before="240" w:after="80"/>
        <w:ind w:firstLine="0" w:left="0"/>
      </w:pPr>
      <w:r>
        <w:rPr>
          <w:rFonts w:ascii="Times New Roman" w:hAnsi="Times New Roman" w:eastAsia="Times New Roman"/>
          <w:b/>
          <w:bCs/>
          <w:sz w:val="20"/>
        </w:rPr>
        <w:t xml:space="preserve">Table 2. Relief, migration, system yield, and terminal indigenous coverage in observed-matched Migration worlds.</w:t>
      </w:r>
      <w:r>
        <w:rPr>
          <w:rFonts w:ascii="Times New Roman" w:hAnsi="Times New Roman" w:eastAsia="Times New Roman"/>
          <w:sz w:val="20"/>
        </w:rPr>
        <w:t xml:space="preserve"> </w:t>
      </w:r>
      <w:r>
        <w:rPr>
          <w:rFonts w:ascii="Times New Roman" w:hAnsi="Times New Roman" w:eastAsia="Times New Roman"/>
          <w:sz w:val="20"/>
        </w:rPr>
        <w:t xml:space="preserve">The weighted means are a post-completion descriptive synthesis of frozen cell summaries. They were not themselves a prospectively frozen primary estimand.</w:t>
      </w:r>
    </w:p>
    <w:tbl>
      <w:tblPr>
        <w:tblStyle w:val="Table"/>
        <w:tblW w:type="pct" w:w="5000"/>
        <w:tblLayout w:type="fixed"/>
        <w:tblLook w:firstRow="1" w:lastRow="0" w:firstColumn="0" w:lastColumn="0" w:noHBand="0" w:noVBand="0" w:val="0020"/>
        <w:jc w:val="center"/>
        <w:tblBorders>
          <w:top w:val="single" w:sz="12" w:space="0" w:color="000000"/>
          <w:left w:val="none"/>
          <w:bottom w:val="single" w:sz="12" w:space="0" w:color="000000"/>
          <w:right w:val="none"/>
          <w:insideH w:val="none"/>
          <w:insideV w:val="none"/>
        </w:tblBorders>
        <w:tblCellMar>
          <w:top w:w="120" w:type="dxa"/>
          <w:bottom w:w="120" w:type="dxa"/>
          <w:left w:w="160" w:type="dxa"/>
          <w:right w:w="160" w:type="dxa"/>
        </w:tblCellMar>
      </w:tblPr>
      <w:tblGrid>
        <w:gridCol w:w="1584"/>
        <w:gridCol w:w="2112"/>
        <w:gridCol w:w="2112"/>
        <w:gridCol w:w="2112"/>
      </w:tblGrid>
      <w:tr>
        <w:trPr>
          <w:tblHeader w:val="on"/>
          <w:cantSplit/>
          <w:tblHeader/>
        </w:trPr>
        <w:tc>
          <w:tcPr>
            <w:tcBorders>
              <w:bottom w:val="single" w:sz="6" w:space="0" w:color="000000"/>
              <w:top w:val="none"/>
              <w:left w:val="none"/>
              <w:right w:val="none"/>
            </w:tcBorders>
          </w:tcPr>
          <w:p>
            <w:pPr>
              <w:pStyle w:val="Compact"/>
              <w:keepNext/>
              <w:spacing w:line="252" w:lineRule="auto" w:after="40" w:before="40"/>
              <w:ind w:firstLine="0" w:left="0"/>
            </w:pPr>
            <w:r>
              <w:rPr>
                <w:rFonts w:ascii="Times New Roman" w:hAnsi="Times New Roman" w:eastAsia="Times New Roman"/>
                <w:b/>
                <w:sz w:val="19"/>
              </w:rPr>
              <w:t xml:space="preserve">Observed-matched target</w:t>
            </w:r>
          </w:p>
        </w:tc>
        <w:tc>
          <w:tcPr>
            <w:tcBorders>
              <w:bottom w:val="single" w:sz="6" w:space="0" w:color="000000"/>
              <w:top w:val="none"/>
              <w:left w:val="none"/>
              <w:right w:val="none"/>
            </w:tcBorders>
          </w:tcPr>
          <w:p>
            <w:pPr>
              <w:pStyle w:val="Compact"/>
              <w:keepNext/>
              <w:spacing w:line="252" w:lineRule="auto" w:after="40" w:before="40"/>
              <w:ind w:firstLine="0" w:left="0"/>
              <w:jc w:val="right"/>
            </w:pPr>
            <w:r>
              <w:rPr>
                <w:rFonts w:ascii="Times New Roman" w:hAnsi="Times New Roman" w:eastAsia="Times New Roman"/>
                <w:b/>
                <w:sz w:val="19"/>
              </w:rPr>
              <w:t xml:space="preserve">Persistent migration</w:t>
            </w:r>
          </w:p>
        </w:tc>
        <w:tc>
          <w:tcPr>
            <w:tcBorders>
              <w:bottom w:val="single" w:sz="6" w:space="0" w:color="000000"/>
              <w:top w:val="none"/>
              <w:left w:val="none"/>
              <w:right w:val="none"/>
            </w:tcBorders>
          </w:tcPr>
          <w:p>
            <w:pPr>
              <w:pStyle w:val="Compact"/>
              <w:keepNext/>
              <w:spacing w:line="252" w:lineRule="auto" w:after="40" w:before="40"/>
              <w:ind w:firstLine="0" w:left="0"/>
              <w:jc w:val="right"/>
            </w:pPr>
            <w:r>
              <w:rPr>
                <w:rFonts w:ascii="Times New Roman" w:hAnsi="Times New Roman" w:eastAsia="Times New Roman"/>
                <w:b/>
                <w:sz w:val="19"/>
              </w:rPr>
              <w:t xml:space="preserve">Mean +30d capability effect</w:t>
            </w:r>
          </w:p>
        </w:tc>
        <w:tc>
          <w:tcPr>
            <w:tcBorders>
              <w:bottom w:val="single" w:sz="6" w:space="0" w:color="000000"/>
              <w:top w:val="none"/>
              <w:left w:val="none"/>
              <w:right w:val="none"/>
            </w:tcBorders>
          </w:tcPr>
          <w:p>
            <w:pPr>
              <w:pStyle w:val="Compact"/>
              <w:keepNext/>
              <w:spacing w:line="252" w:lineRule="auto" w:after="40" w:before="40"/>
              <w:ind w:firstLine="0" w:left="0"/>
              <w:jc w:val="right"/>
            </w:pPr>
            <w:r>
              <w:rPr>
                <w:rFonts w:ascii="Times New Roman" w:hAnsi="Times New Roman" w:eastAsia="Times New Roman"/>
                <w:b/>
                <w:sz w:val="19"/>
              </w:rPr>
              <w:t xml:space="preserve">Mean +360d indigenous-coverage effect</w:t>
            </w:r>
          </w:p>
        </w:tc>
      </w:tr>
      <w:tr>
        <w:trPr>
          <w:cantSplit/>
        </w:trPr>
        <w:tc>
          <w:tcPr/>
          <w:p>
            <w:pPr>
              <w:pStyle w:val="Compact"/>
              <w:keepNext/>
              <w:spacing w:line="252" w:lineRule="auto" w:after="40" w:before="40"/>
              <w:ind w:firstLine="0" w:left="0"/>
            </w:pPr>
            <w:r>
              <w:rPr>
                <w:rFonts w:ascii="Times New Roman" w:hAnsi="Times New Roman" w:eastAsia="Times New Roman"/>
                <w:sz w:val="19"/>
              </w:rPr>
              <w:t xml:space="preserve">Command</w:t>
            </w:r>
          </w:p>
        </w:tc>
        <w:tc>
          <w:tcPr/>
          <w:p>
            <w:pPr>
              <w:pStyle w:val="Compact"/>
              <w:keepNext/>
              <w:spacing w:line="252" w:lineRule="auto" w:after="40" w:before="40"/>
              <w:ind w:firstLine="0" w:left="0"/>
              <w:jc w:val="right"/>
            </w:pPr>
            <w:r>
              <w:rPr>
                <w:rFonts w:ascii="Times New Roman" w:hAnsi="Times New Roman" w:eastAsia="Times New Roman"/>
                <w:sz w:val="19"/>
              </w:rPr>
              <w:t xml:space="preserve">38/38</w:t>
            </w:r>
          </w:p>
        </w:tc>
        <w:tc>
          <w:tcPr/>
          <w:p>
            <w:pPr>
              <w:pStyle w:val="Compact"/>
              <w:keepNext/>
              <w:spacing w:line="252" w:lineRule="auto" w:after="40" w:before="40"/>
              <w:ind w:firstLine="0" w:left="0"/>
              <w:jc w:val="right"/>
            </w:pPr>
            <w:r>
              <w:rPr>
                <w:rFonts w:ascii="Times New Roman" w:hAnsi="Times New Roman" w:eastAsia="Times New Roman"/>
                <w:sz w:val="19"/>
              </w:rPr>
              <w:t xml:space="preserve">+0.00354</w:t>
            </w:r>
          </w:p>
        </w:tc>
        <w:tc>
          <w:tcPr/>
          <w:p>
            <w:pPr>
              <w:pStyle w:val="Compact"/>
              <w:keepNext/>
              <w:spacing w:line="252" w:lineRule="auto" w:after="40" w:before="40"/>
              <w:ind w:firstLine="0" w:left="0"/>
              <w:jc w:val="right"/>
            </w:pPr>
            <w:r>
              <w:rPr>
                <w:rFonts w:ascii="Times New Roman" w:hAnsi="Times New Roman" w:eastAsia="Times New Roman"/>
                <w:sz w:val="19"/>
              </w:rPr>
              <w:t xml:space="preserve">+0.0555</w:t>
            </w:r>
          </w:p>
        </w:tc>
      </w:tr>
      <w:tr>
        <w:trPr>
          <w:cantSplit/>
        </w:trPr>
        <w:tc>
          <w:tcPr/>
          <w:p>
            <w:pPr>
              <w:pStyle w:val="Compact"/>
              <w:keepNext/>
              <w:spacing w:line="252" w:lineRule="auto" w:after="40" w:before="40"/>
              <w:ind w:firstLine="0" w:left="0"/>
            </w:pPr>
            <w:r>
              <w:rPr>
                <w:rFonts w:ascii="Times New Roman" w:hAnsi="Times New Roman" w:eastAsia="Times New Roman"/>
                <w:sz w:val="19"/>
              </w:rPr>
              <w:t xml:space="preserve">Force generation</w:t>
            </w:r>
          </w:p>
        </w:tc>
        <w:tc>
          <w:tcPr/>
          <w:p>
            <w:pPr>
              <w:pStyle w:val="Compact"/>
              <w:keepNext/>
              <w:spacing w:line="252" w:lineRule="auto" w:after="40" w:before="40"/>
              <w:ind w:firstLine="0" w:left="0"/>
              <w:jc w:val="right"/>
            </w:pPr>
            <w:r>
              <w:rPr>
                <w:rFonts w:ascii="Times New Roman" w:hAnsi="Times New Roman" w:eastAsia="Times New Roman"/>
                <w:sz w:val="19"/>
              </w:rPr>
              <w:t xml:space="preserve">46/46</w:t>
            </w:r>
          </w:p>
        </w:tc>
        <w:tc>
          <w:tcPr/>
          <w:p>
            <w:pPr>
              <w:pStyle w:val="Compact"/>
              <w:keepNext/>
              <w:spacing w:line="252" w:lineRule="auto" w:after="40" w:before="40"/>
              <w:ind w:firstLine="0" w:left="0"/>
              <w:jc w:val="right"/>
            </w:pPr>
            <w:r>
              <w:rPr>
                <w:rFonts w:ascii="Times New Roman" w:hAnsi="Times New Roman" w:eastAsia="Times New Roman"/>
                <w:sz w:val="19"/>
              </w:rPr>
              <w:t xml:space="preserve">+0.00000021</w:t>
            </w:r>
          </w:p>
        </w:tc>
        <w:tc>
          <w:tcPr/>
          <w:p>
            <w:pPr>
              <w:pStyle w:val="Compact"/>
              <w:keepNext/>
              <w:spacing w:line="252" w:lineRule="auto" w:after="40" w:before="40"/>
              <w:ind w:firstLine="0" w:left="0"/>
              <w:jc w:val="right"/>
            </w:pPr>
            <w:r>
              <w:rPr>
                <w:rFonts w:ascii="Times New Roman" w:hAnsi="Times New Roman" w:eastAsia="Times New Roman"/>
                <w:sz w:val="19"/>
              </w:rPr>
              <w:t xml:space="preserve">0.0000</w:t>
            </w:r>
          </w:p>
        </w:tc>
      </w:tr>
      <w:tr>
        <w:trPr>
          <w:cantSplit/>
        </w:trPr>
        <w:tc>
          <w:tcPr/>
          <w:p>
            <w:pPr>
              <w:pStyle w:val="Compact"/>
              <w:spacing w:line="252" w:lineRule="auto" w:after="40" w:before="40"/>
              <w:ind w:firstLine="0" w:left="0"/>
            </w:pPr>
            <w:r>
              <w:rPr>
                <w:rFonts w:ascii="Times New Roman" w:hAnsi="Times New Roman" w:eastAsia="Times New Roman"/>
                <w:sz w:val="19"/>
              </w:rPr>
              <w:t xml:space="preserve">Logistics</w:t>
            </w:r>
          </w:p>
        </w:tc>
        <w:tc>
          <w:tcPr/>
          <w:p>
            <w:pPr>
              <w:pStyle w:val="Compact"/>
              <w:spacing w:line="252" w:lineRule="auto" w:after="40" w:before="40"/>
              <w:ind w:firstLine="0" w:left="0"/>
              <w:jc w:val="right"/>
            </w:pPr>
            <w:r>
              <w:rPr>
                <w:rFonts w:ascii="Times New Roman" w:hAnsi="Times New Roman" w:eastAsia="Times New Roman"/>
                <w:sz w:val="19"/>
              </w:rPr>
              <w:t xml:space="preserve">0/85</w:t>
            </w:r>
          </w:p>
        </w:tc>
        <w:tc>
          <w:tcPr/>
          <w:p>
            <w:pPr>
              <w:pStyle w:val="Compact"/>
              <w:spacing w:line="252" w:lineRule="auto" w:after="40" w:before="40"/>
              <w:ind w:firstLine="0" w:left="0"/>
              <w:jc w:val="right"/>
            </w:pPr>
            <w:r>
              <w:rPr>
                <w:rFonts w:ascii="Times New Roman" w:hAnsi="Times New Roman" w:eastAsia="Times New Roman"/>
                <w:sz w:val="19"/>
              </w:rPr>
              <w:t xml:space="preserve">+0.01699</w:t>
            </w:r>
          </w:p>
        </w:tc>
        <w:tc>
          <w:tcPr/>
          <w:p>
            <w:pPr>
              <w:pStyle w:val="Compact"/>
              <w:spacing w:line="252" w:lineRule="auto" w:after="40" w:before="40"/>
              <w:ind w:firstLine="0" w:left="0"/>
              <w:jc w:val="right"/>
            </w:pPr>
            <w:r>
              <w:rPr>
                <w:rFonts w:ascii="Times New Roman" w:hAnsi="Times New Roman" w:eastAsia="Times New Roman"/>
                <w:sz w:val="19"/>
              </w:rPr>
              <w:t xml:space="preserve">-0.2215</w:t>
            </w:r>
          </w:p>
        </w:tc>
      </w:tr>
    </w:tbl>
    <w:p>
      <w:pPr>
        <w:pStyle w:val="BodyText"/>
        <w:spacing w:line="480" w:lineRule="auto" w:before="0" w:after="0"/>
        <w:ind w:firstLine="720" w:left="0"/>
      </w:pPr>
      <w:r>
        <w:rPr>
          <w:rFonts w:ascii="Times New Roman" w:hAnsi="Times New Roman" w:eastAsia="Times New Roman"/>
          <w:sz w:val="24"/>
        </w:rPr>
        <w:t xml:space="preserve">The result supports a narrower role for constraint displacement than the</w:t>
      </w:r>
      <w:r>
        <w:rPr>
          <w:rFonts w:ascii="Times New Roman" w:hAnsi="Times New Roman" w:eastAsia="Times New Roman"/>
          <w:sz w:val="24"/>
        </w:rPr>
        <w:t xml:space="preserve"> </w:t>
      </w:r>
      <w:r>
        <w:rPr>
          <w:rFonts w:ascii="Times New Roman" w:hAnsi="Times New Roman" w:eastAsia="Times New Roman"/>
          <w:sz w:val="24"/>
        </w:rPr>
        <w:t xml:space="preserve">original manuscript proposed. Moving from one bottleneck to another shows that</w:t>
      </w:r>
      <w:r>
        <w:rPr>
          <w:rFonts w:ascii="Times New Roman" w:hAnsi="Times New Roman" w:eastAsia="Times New Roman"/>
          <w:sz w:val="24"/>
        </w:rPr>
        <w:t xml:space="preserve"> </w:t>
      </w:r>
      <w:r>
        <w:rPr>
          <w:rFonts w:ascii="Times New Roman" w:hAnsi="Times New Roman" w:eastAsia="Times New Roman"/>
          <w:sz w:val="24"/>
        </w:rPr>
        <w:t xml:space="preserve">the targeted constraint was structurally displaced. It does not explain the</w:t>
      </w:r>
      <w:r>
        <w:rPr>
          <w:rFonts w:ascii="Times New Roman" w:hAnsi="Times New Roman" w:eastAsia="Times New Roman"/>
          <w:sz w:val="24"/>
        </w:rPr>
        <w:t xml:space="preserve"> </w:t>
      </w:r>
      <w:r>
        <w:rPr>
          <w:rFonts w:ascii="Times New Roman" w:hAnsi="Times New Roman" w:eastAsia="Times New Roman"/>
          <w:sz w:val="24"/>
        </w:rPr>
        <w:t xml:space="preserve">supported-retained gap. Relief, yield, constraint identity, and retention must</w:t>
      </w:r>
      <w:r>
        <w:rPr>
          <w:rFonts w:ascii="Times New Roman" w:hAnsi="Times New Roman" w:eastAsia="Times New Roman"/>
          <w:sz w:val="24"/>
        </w:rPr>
        <w:t xml:space="preserve"> </w:t>
      </w:r>
      <w:r>
        <w:rPr>
          <w:rFonts w:ascii="Times New Roman" w:hAnsi="Times New Roman" w:eastAsia="Times New Roman"/>
          <w:sz w:val="24"/>
        </w:rPr>
        <w:t xml:space="preserve">therefore be reported separately.</w:t>
      </w:r>
    </w:p>
    <w:bookmarkEnd w:id="101"/>
    <w:bookmarkStart w:id="105" w:name="X77b1cf979712a1befd991c820d4b89adc451b36"/>
    <w:p>
      <w:pPr>
        <w:pStyle w:val="Heading2"/>
        <w:keepNext/>
        <w:spacing w:line="480" w:lineRule="auto" w:after="0" w:before="120"/>
        <w:ind w:firstLine="0" w:left="0"/>
      </w:pPr>
      <w:r>
        <w:rPr>
          <w:rFonts w:ascii="Times New Roman" w:hAnsi="Times New Roman" w:eastAsia="Times New Roman"/>
          <w:b/>
          <w:i/>
          <w:sz w:val="24"/>
        </w:rPr>
        <w:t xml:space="preserve">5.7 Substitution and development lie on a capability-retention-cost frontier</w:t>
      </w:r>
    </w:p>
    <w:p>
      <w:pPr>
        <w:pStyle w:val="FirstParagraph"/>
        <w:spacing w:line="480" w:lineRule="auto" w:before="0" w:after="0"/>
        <w:ind w:firstLine="720" w:left="0"/>
      </w:pPr>
      <w:r>
        <w:rPr>
          <w:rFonts w:ascii="Times New Roman" w:hAnsi="Times New Roman" w:eastAsia="Times New Roman"/>
          <w:sz w:val="24"/>
        </w:rPr>
        <w:t xml:space="preserve">The Substitution versus Development module should not be read as a cost-equated</w:t>
      </w:r>
      <w:r>
        <w:rPr>
          <w:rFonts w:ascii="Times New Roman" w:hAnsi="Times New Roman" w:eastAsia="Times New Roman"/>
          <w:sz w:val="24"/>
        </w:rPr>
        <w:t xml:space="preserve"> </w:t>
      </w:r>
      <w:r>
        <w:rPr>
          <w:rFonts w:ascii="Times New Roman" w:hAnsi="Times New Roman" w:eastAsia="Times New Roman"/>
          <w:sz w:val="24"/>
        </w:rPr>
        <w:t xml:space="preserve">horse race. Development is modeled as partner-owned capacity growth, whereas</w:t>
      </w:r>
      <w:r>
        <w:rPr>
          <w:rFonts w:ascii="Times New Roman" w:hAnsi="Times New Roman" w:eastAsia="Times New Roman"/>
          <w:sz w:val="24"/>
        </w:rPr>
        <w:t xml:space="preserve"> </w:t>
      </w:r>
      <w:r>
        <w:rPr>
          <w:rFonts w:ascii="Times New Roman" w:hAnsi="Times New Roman" w:eastAsia="Times New Roman"/>
          <w:sz w:val="24"/>
        </w:rPr>
        <w:t xml:space="preserve">substitution provides removable external service, and the donor-cost schedules</w:t>
      </w:r>
      <w:r>
        <w:rPr>
          <w:rFonts w:ascii="Times New Roman" w:hAnsi="Times New Roman" w:eastAsia="Times New Roman"/>
          <w:sz w:val="24"/>
        </w:rPr>
        <w:t xml:space="preserve"> </w:t>
      </w:r>
      <w:r>
        <w:rPr>
          <w:rFonts w:ascii="Times New Roman" w:hAnsi="Times New Roman" w:eastAsia="Times New Roman"/>
          <w:sz w:val="24"/>
        </w:rPr>
        <w:t xml:space="preserve">are different. The useful comparison is therefore a frontier among early</w:t>
      </w:r>
      <w:r>
        <w:rPr>
          <w:rFonts w:ascii="Times New Roman" w:hAnsi="Times New Roman" w:eastAsia="Times New Roman"/>
          <w:sz w:val="24"/>
        </w:rPr>
        <w:t xml:space="preserve"> </w:t>
      </w:r>
      <w:r>
        <w:rPr>
          <w:rFonts w:ascii="Times New Roman" w:hAnsi="Times New Roman" w:eastAsia="Times New Roman"/>
          <w:sz w:val="24"/>
        </w:rPr>
        <w:t xml:space="preserve">capability, terminal indigenous coverage, local production, and modeled cost.</w:t>
      </w:r>
    </w:p>
    <w:p>
      <w:pPr>
        <w:pStyle w:val="BodyText"/>
        <w:spacing w:line="480" w:lineRule="auto" w:before="0" w:after="0"/>
        <w:ind w:firstLine="720" w:left="0"/>
      </w:pPr>
      <w:r>
        <w:rPr>
          <w:rFonts w:ascii="Times New Roman" w:hAnsi="Times New Roman" w:eastAsia="Times New Roman"/>
          <w:sz w:val="24"/>
        </w:rPr>
        <w:t xml:space="preserve">For moderate logistics weakness at intensity 0.5, development improves terminal</w:t>
      </w:r>
      <w:r>
        <w:rPr>
          <w:rFonts w:ascii="Times New Roman" w:hAnsi="Times New Roman" w:eastAsia="Times New Roman"/>
          <w:sz w:val="24"/>
        </w:rPr>
        <w:t xml:space="preserve"> </w:t>
      </w:r>
      <w:r>
        <w:rPr>
          <w:rFonts w:ascii="Times New Roman" w:hAnsi="Times New Roman" w:eastAsia="Times New Roman"/>
          <w:sz w:val="24"/>
        </w:rPr>
        <w:t xml:space="preserve">indigenous coverage relative to substitution by approximately +0.1316, with a 95 percent</w:t>
      </w:r>
      <w:r>
        <w:rPr>
          <w:rFonts w:ascii="Times New Roman" w:hAnsi="Times New Roman" w:eastAsia="Times New Roman"/>
          <w:sz w:val="24"/>
        </w:rPr>
        <w:t xml:space="preserve"> </w:t>
      </w:r>
      <w:r>
        <w:rPr>
          <w:rFonts w:ascii="Times New Roman" w:hAnsi="Times New Roman" w:eastAsia="Times New Roman"/>
          <w:sz w:val="24"/>
        </w:rPr>
        <w:t xml:space="preserve">bootstrap interval of +0.1245 to +0.1398. At moderate weakness and intensity</w:t>
      </w:r>
      <w:r>
        <w:rPr>
          <w:rFonts w:ascii="Times New Roman" w:hAnsi="Times New Roman" w:eastAsia="Times New Roman"/>
          <w:sz w:val="24"/>
        </w:rPr>
        <w:t xml:space="preserve"> </w:t>
      </w:r>
      <w:r>
        <w:rPr>
          <w:rFonts w:ascii="Times New Roman" w:hAnsi="Times New Roman" w:eastAsia="Times New Roman"/>
          <w:sz w:val="24"/>
        </w:rPr>
        <w:t xml:space="preserve">1.0, the contrast is approximately +0.1853 [0.1236, 0.2398]. At severe weakness</w:t>
      </w:r>
      <w:r>
        <w:rPr>
          <w:rFonts w:ascii="Times New Roman" w:hAnsi="Times New Roman" w:eastAsia="Times New Roman"/>
          <w:sz w:val="24"/>
        </w:rPr>
        <w:t xml:space="preserve"> </w:t>
      </w:r>
      <w:r>
        <w:rPr>
          <w:rFonts w:ascii="Times New Roman" w:hAnsi="Times New Roman" w:eastAsia="Times New Roman"/>
          <w:sz w:val="24"/>
        </w:rPr>
        <w:t xml:space="preserve">and intensity 0.5, it is approximately +0.2542 [0.2388, 0.2687]. At severe</w:t>
      </w:r>
      <w:r>
        <w:rPr>
          <w:rFonts w:ascii="Times New Roman" w:hAnsi="Times New Roman" w:eastAsia="Times New Roman"/>
          <w:sz w:val="24"/>
        </w:rPr>
        <w:t xml:space="preserve"> </w:t>
      </w:r>
      <w:r>
        <w:rPr>
          <w:rFonts w:ascii="Times New Roman" w:hAnsi="Times New Roman" w:eastAsia="Times New Roman"/>
          <w:sz w:val="24"/>
        </w:rPr>
        <w:t xml:space="preserve">weakness and intensity 1.0, it reaches approximately +0.4328 [0.4169, 0.4516].</w:t>
      </w:r>
    </w:p>
    <w:p>
      <w:pPr>
        <w:pStyle w:val="BodyText"/>
        <w:spacing w:line="480" w:lineRule="auto" w:before="0" w:after="0"/>
        <w:ind w:firstLine="720" w:left="0"/>
      </w:pPr>
      <w:r>
        <w:rPr>
          <w:rFonts w:ascii="Times New Roman" w:hAnsi="Times New Roman" w:eastAsia="Times New Roman"/>
          <w:sz w:val="24"/>
        </w:rPr>
        <w:t xml:space="preserve">Across logistics-targeted cells, development has a less negative mean terminal</w:t>
      </w:r>
      <w:r>
        <w:rPr>
          <w:rFonts w:ascii="Times New Roman" w:hAnsi="Times New Roman" w:eastAsia="Times New Roman"/>
          <w:sz w:val="24"/>
        </w:rPr>
        <w:t xml:space="preserve"> </w:t>
      </w:r>
      <w:r>
        <w:rPr>
          <w:rFonts w:ascii="Times New Roman" w:hAnsi="Times New Roman" w:eastAsia="Times New Roman"/>
          <w:sz w:val="24"/>
        </w:rPr>
        <w:t xml:space="preserve">coverage effect than substitution and increases indigenous logistics service</w:t>
      </w:r>
      <w:r>
        <w:rPr>
          <w:rFonts w:ascii="Times New Roman" w:hAnsi="Times New Roman" w:eastAsia="Times New Roman"/>
          <w:sz w:val="24"/>
        </w:rPr>
        <w:t xml:space="preserve"> </w:t>
      </w:r>
      <w:r>
        <w:rPr>
          <w:rFonts w:ascii="Times New Roman" w:hAnsi="Times New Roman" w:eastAsia="Times New Roman"/>
          <w:sz w:val="24"/>
        </w:rPr>
        <w:t xml:space="preserve">substantially, but it is also slightly more expensive on the model’s donor-cost</w:t>
      </w:r>
      <w:r>
        <w:rPr>
          <w:rFonts w:ascii="Times New Roman" w:hAnsi="Times New Roman" w:eastAsia="Times New Roman"/>
          <w:sz w:val="24"/>
        </w:rPr>
        <w:t xml:space="preserve"> </w:t>
      </w:r>
      <w:r>
        <w:rPr>
          <w:rFonts w:ascii="Times New Roman" w:hAnsi="Times New Roman" w:eastAsia="Times New Roman"/>
          <w:sz w:val="24"/>
        </w:rPr>
        <w:t xml:space="preserve">ledger and does not dominate on early capability in every condition. Averaged</w:t>
      </w:r>
      <w:r>
        <w:rPr>
          <w:rFonts w:ascii="Times New Roman" w:hAnsi="Times New Roman" w:eastAsia="Times New Roman"/>
          <w:sz w:val="24"/>
        </w:rPr>
        <w:t xml:space="preserve"> </w:t>
      </w:r>
      <w:r>
        <w:rPr>
          <w:rFonts w:ascii="Times New Roman" w:hAnsi="Times New Roman" w:eastAsia="Times New Roman"/>
          <w:sz w:val="24"/>
        </w:rPr>
        <w:t xml:space="preserve">over the logistics-targeted cells, the mean +30-day capability effects are</w:t>
      </w:r>
      <w:r>
        <w:rPr>
          <w:rFonts w:ascii="Times New Roman" w:hAnsi="Times New Roman" w:eastAsia="Times New Roman"/>
          <w:sz w:val="24"/>
        </w:rPr>
        <w:t xml:space="preserve"> </w:t>
      </w:r>
      <w:r>
        <w:rPr>
          <w:rFonts w:ascii="Times New Roman" w:hAnsi="Times New Roman" w:eastAsia="Times New Roman"/>
          <w:sz w:val="24"/>
        </w:rPr>
        <w:t xml:space="preserve">approximately +0.038 for development, +0.070 for hybrid assistance, and +0.047</w:t>
      </w:r>
      <w:r>
        <w:rPr>
          <w:rFonts w:ascii="Times New Roman" w:hAnsi="Times New Roman" w:eastAsia="Times New Roman"/>
          <w:sz w:val="24"/>
        </w:rPr>
        <w:t xml:space="preserve"> </w:t>
      </w:r>
      <w:r>
        <w:rPr>
          <w:rFonts w:ascii="Times New Roman" w:hAnsi="Times New Roman" w:eastAsia="Times New Roman"/>
          <w:sz w:val="24"/>
        </w:rPr>
        <w:t xml:space="preserve">for substitution. The corresponding mean +360-day coverage effects are -0.033,</w:t>
      </w:r>
      <w:r>
        <w:rPr>
          <w:rFonts w:ascii="Times New Roman" w:hAnsi="Times New Roman" w:eastAsia="Times New Roman"/>
          <w:sz w:val="24"/>
        </w:rPr>
        <w:t xml:space="preserve"> </w:t>
      </w:r>
      <w:r>
        <w:rPr>
          <w:rFonts w:ascii="Times New Roman" w:hAnsi="Times New Roman" w:eastAsia="Times New Roman"/>
          <w:sz w:val="24"/>
        </w:rPr>
        <w:t xml:space="preserve">-0.129, and -0.284, while modeled cumulative donor costs are approximately 3.32,</w:t>
      </w:r>
      <w:r>
        <w:rPr>
          <w:rFonts w:ascii="Times New Roman" w:hAnsi="Times New Roman" w:eastAsia="Times New Roman"/>
          <w:sz w:val="24"/>
        </w:rPr>
        <w:t xml:space="preserve"> </w:t>
      </w:r>
      <w:r>
        <w:rPr>
          <w:rFonts w:ascii="Times New Roman" w:hAnsi="Times New Roman" w:eastAsia="Times New Roman"/>
          <w:sz w:val="24"/>
        </w:rPr>
        <w:t xml:space="preserve">3.28, and 3.24 million units.</w:t>
      </w:r>
    </w:p>
    <w:p>
      <w:pPr>
        <w:pStyle w:val="BodyText"/>
        <w:spacing w:line="480" w:lineRule="auto" w:before="0" w:after="0"/>
        <w:ind w:firstLine="720" w:left="0"/>
      </w:pPr>
      <w:r>
        <w:rPr>
          <w:rFonts w:ascii="Times New Roman" w:hAnsi="Times New Roman" w:eastAsia="Times New Roman"/>
          <w:sz w:val="24"/>
        </w:rPr>
        <w:t xml:space="preserve">The indigenous-production mechanism is also visible directly. Relative to</w:t>
      </w:r>
      <w:r>
        <w:rPr>
          <w:rFonts w:ascii="Times New Roman" w:hAnsi="Times New Roman" w:eastAsia="Times New Roman"/>
          <w:sz w:val="24"/>
        </w:rPr>
        <w:t xml:space="preserve"> </w:t>
      </w:r>
      <w:r>
        <w:rPr>
          <w:rFonts w:ascii="Times New Roman" w:hAnsi="Times New Roman" w:eastAsia="Times New Roman"/>
          <w:sz w:val="24"/>
        </w:rPr>
        <w:t xml:space="preserve">substitution, developmental logistics generates approximately +172,859 to</w:t>
      </w:r>
      <w:r>
        <w:rPr>
          <w:rFonts w:ascii="Times New Roman" w:hAnsi="Times New Roman" w:eastAsia="Times New Roman"/>
          <w:sz w:val="24"/>
        </w:rPr>
        <w:t xml:space="preserve"> </w:t>
      </w:r>
      <w:r>
        <w:rPr>
          <w:rFonts w:ascii="Times New Roman" w:hAnsi="Times New Roman" w:eastAsia="Times New Roman"/>
          <w:sz w:val="24"/>
        </w:rPr>
        <w:t xml:space="preserve">+1,249,115 additional units of indigenous cumulative logistics service across</w:t>
      </w:r>
      <w:r>
        <w:rPr>
          <w:rFonts w:ascii="Times New Roman" w:hAnsi="Times New Roman" w:eastAsia="Times New Roman"/>
          <w:sz w:val="24"/>
        </w:rPr>
        <w:t xml:space="preserve"> </w:t>
      </w:r>
      <w:r>
        <w:rPr>
          <w:rFonts w:ascii="Times New Roman" w:hAnsi="Times New Roman" w:eastAsia="Times New Roman"/>
          <w:sz w:val="24"/>
        </w:rPr>
        <w:t xml:space="preserve">the tested conditions. Capped indigenous coverage of cumulative logistics</w:t>
      </w:r>
      <w:r>
        <w:rPr>
          <w:rFonts w:ascii="Times New Roman" w:hAnsi="Times New Roman" w:eastAsia="Times New Roman"/>
          <w:sz w:val="24"/>
        </w:rPr>
        <w:t xml:space="preserve"> </w:t>
      </w:r>
      <w:r>
        <w:rPr>
          <w:rFonts w:ascii="Times New Roman" w:hAnsi="Times New Roman" w:eastAsia="Times New Roman"/>
          <w:sz w:val="24"/>
        </w:rPr>
        <w:t xml:space="preserve">demand improves by approximately +0.114 to +0.411.</w:t>
      </w:r>
    </w:p>
    <w:p>
      <w:pPr>
        <w:pStyle w:val="BodyText"/>
        <w:spacing w:line="480" w:lineRule="auto" w:before="0" w:after="0"/>
        <w:ind w:firstLine="720" w:left="0"/>
      </w:pPr>
      <w:r>
        <w:rPr>
          <w:rFonts w:ascii="Times New Roman" w:hAnsi="Times New Roman" w:eastAsia="Times New Roman"/>
          <w:sz w:val="24"/>
        </w:rPr>
        <w:t xml:space="preserve">Development is therefore not simply another route to the same supported</w:t>
      </w:r>
      <w:r>
        <w:rPr>
          <w:rFonts w:ascii="Times New Roman" w:hAnsi="Times New Roman" w:eastAsia="Times New Roman"/>
          <w:sz w:val="24"/>
        </w:rPr>
        <w:t xml:space="preserve"> </w:t>
      </w:r>
      <w:r>
        <w:rPr>
          <w:rFonts w:ascii="Times New Roman" w:hAnsi="Times New Roman" w:eastAsia="Times New Roman"/>
          <w:sz w:val="24"/>
        </w:rPr>
        <w:t xml:space="preserve">capability, but neither is it a free improvement. It changes who produces the</w:t>
      </w:r>
      <w:r>
        <w:rPr>
          <w:rFonts w:ascii="Times New Roman" w:hAnsi="Times New Roman" w:eastAsia="Times New Roman"/>
          <w:sz w:val="24"/>
        </w:rPr>
        <w:t xml:space="preserve"> </w:t>
      </w:r>
      <w:r>
        <w:rPr>
          <w:rFonts w:ascii="Times New Roman" w:hAnsi="Times New Roman" w:eastAsia="Times New Roman"/>
          <w:sz w:val="24"/>
        </w:rPr>
        <w:t xml:space="preserve">service and moves the modeled capability-retention-cost frontier.</w:t>
      </w:r>
    </w:p>
    <w:p>
      <w:pPr>
        <w:pStyle w:val="CaptionedFigure"/>
        <w:keepNext/>
        <w:spacing w:before="240" w:after="120"/>
        <w:ind w:firstLine="0" w:left="0"/>
        <w:jc w:val="center"/>
      </w:pPr>
      <w:r>
        <w:rPr/>
        <w:drawing>
          <wp:inline>
            <wp:extent cx="5552041" cy="4370496"/>
            <wp:effectExtent b="0" l="0" r="0" t="0"/>
            <wp:docPr descr="Figure 5. Logistics-targeted assistance on the capability-retention-cost frontier. Horizontal position is the mean +30-day capability branch effect, vertical position is the mean +360-day indigenous-coverage branch effect, and marker area scales with modeled cumulative donor cost." title="" id="103" name="Picture"/>
            <a:graphic>
              <a:graphicData uri="http://schemas.openxmlformats.org/drawingml/2006/picture">
                <pic:pic>
                  <pic:nvPicPr>
                    <pic:cNvPr descr="figures/figure5_assistance_frontier.png" id="104" name="Picture"/>
                    <pic:cNvPicPr>
                      <a:picLocks noChangeArrowheads="1" noChangeAspect="1"/>
                    </pic:cNvPicPr>
                  </pic:nvPicPr>
                  <pic:blipFill>
                    <a:blip r:embed="rId102"/>
                    <a:stretch>
                      <a:fillRect/>
                    </a:stretch>
                  </pic:blipFill>
                  <pic:spPr bwMode="auto">
                    <a:xfrm>
                      <a:off x="0" y="0"/>
                      <a:ext cx="5552041" cy="4370496"/>
                    </a:xfrm>
                    <a:prstGeom prst="rect">
                      <a:avLst/>
                    </a:prstGeom>
                    <a:noFill/>
                    <a:ln w="9525">
                      <a:noFill/>
                      <a:headEnd/>
                      <a:tailEnd/>
                    </a:ln>
                  </pic:spPr>
                </pic:pic>
              </a:graphicData>
            </a:graphic>
          </wp:inline>
        </w:drawing>
      </w:r>
    </w:p>
    <w:p>
      <w:pPr>
        <w:pStyle w:val="ImageCaption"/>
        <w:keepNext w:val="0"/>
        <w:spacing w:line="276" w:lineRule="auto" w:before="120" w:after="240"/>
        <w:ind w:firstLine="0" w:left="0"/>
      </w:pPr>
      <w:r>
        <w:rPr>
          <w:rFonts w:ascii="Times New Roman" w:hAnsi="Times New Roman" w:eastAsia="Times New Roman"/>
          <w:sz w:val="20"/>
        </w:rPr>
        <w:t xml:space="preserve">Figure 5. Logistics-targeted assistance on the capability-retention-cost</w:t>
      </w:r>
      <w:r>
        <w:rPr>
          <w:rFonts w:ascii="Times New Roman" w:hAnsi="Times New Roman" w:eastAsia="Times New Roman"/>
          <w:sz w:val="20"/>
        </w:rPr>
        <w:t xml:space="preserve"> </w:t>
      </w:r>
      <w:r>
        <w:rPr>
          <w:rFonts w:ascii="Times New Roman" w:hAnsi="Times New Roman" w:eastAsia="Times New Roman"/>
          <w:sz w:val="20"/>
        </w:rPr>
        <w:t xml:space="preserve">frontier. Horizontal position is the mean +30-day capability branch effect,</w:t>
      </w:r>
      <w:r>
        <w:rPr>
          <w:rFonts w:ascii="Times New Roman" w:hAnsi="Times New Roman" w:eastAsia="Times New Roman"/>
          <w:sz w:val="20"/>
        </w:rPr>
        <w:t xml:space="preserve"> </w:t>
      </w:r>
      <w:r>
        <w:rPr>
          <w:rFonts w:ascii="Times New Roman" w:hAnsi="Times New Roman" w:eastAsia="Times New Roman"/>
          <w:sz w:val="20"/>
        </w:rPr>
        <w:t xml:space="preserve">vertical position is the mean +360-day indigenous-coverage branch effect, and</w:t>
      </w:r>
      <w:r>
        <w:rPr>
          <w:rFonts w:ascii="Times New Roman" w:hAnsi="Times New Roman" w:eastAsia="Times New Roman"/>
          <w:sz w:val="20"/>
        </w:rPr>
        <w:t xml:space="preserve"> </w:t>
      </w:r>
      <w:r>
        <w:rPr>
          <w:rFonts w:ascii="Times New Roman" w:hAnsi="Times New Roman" w:eastAsia="Times New Roman"/>
          <w:sz w:val="20"/>
        </w:rPr>
        <w:t xml:space="preserve">marker area scales with modeled cumulative donor cost.</w:t>
      </w:r>
    </w:p>
    <w:bookmarkEnd w:id="105"/>
    <w:bookmarkStart w:id="106" w:name="X8d0dff416c03f9431616fb98cd326a1216320e0"/>
    <w:p>
      <w:pPr>
        <w:pStyle w:val="Heading2"/>
        <w:keepNext/>
        <w:spacing w:line="480" w:lineRule="auto" w:after="0" w:before="120"/>
        <w:ind w:firstLine="0" w:left="0"/>
      </w:pPr>
      <w:r>
        <w:rPr>
          <w:rFonts w:ascii="Times New Roman" w:hAnsi="Times New Roman" w:eastAsia="Times New Roman"/>
          <w:b/>
          <w:i/>
          <w:sz w:val="24"/>
        </w:rPr>
        <w:t xml:space="preserve">5.8 Local development does not guarantee system yield</w:t>
      </w:r>
    </w:p>
    <w:p>
      <w:pPr>
        <w:pStyle w:val="FirstParagraph"/>
        <w:spacing w:line="480" w:lineRule="auto" w:before="0" w:after="0"/>
        <w:ind w:firstLine="720" w:left="0"/>
      </w:pPr>
      <w:r>
        <w:rPr>
          <w:rFonts w:ascii="Times New Roman" w:hAnsi="Times New Roman" w:eastAsia="Times New Roman"/>
          <w:sz w:val="24"/>
        </w:rPr>
        <w:t xml:space="preserve">Force generation provides a clean test of Proposition 5. Developmental</w:t>
      </w:r>
      <w:r>
        <w:rPr>
          <w:rFonts w:ascii="Times New Roman" w:hAnsi="Times New Roman" w:eastAsia="Times New Roman"/>
          <w:sz w:val="24"/>
        </w:rPr>
        <w:t xml:space="preserve"> </w:t>
      </w:r>
      <w:r>
        <w:rPr>
          <w:rFonts w:ascii="Times New Roman" w:hAnsi="Times New Roman" w:eastAsia="Times New Roman"/>
          <w:sz w:val="24"/>
        </w:rPr>
        <w:t xml:space="preserve">force-generation assistance produces large indigenous gains relative to direct</w:t>
      </w:r>
      <w:r>
        <w:rPr>
          <w:rFonts w:ascii="Times New Roman" w:hAnsi="Times New Roman" w:eastAsia="Times New Roman"/>
          <w:sz w:val="24"/>
        </w:rPr>
        <w:t xml:space="preserve"> </w:t>
      </w:r>
      <w:r>
        <w:rPr>
          <w:rFonts w:ascii="Times New Roman" w:hAnsi="Times New Roman" w:eastAsia="Times New Roman"/>
          <w:sz w:val="24"/>
        </w:rPr>
        <w:t xml:space="preserve">substitution. The matched development-minus-substitution contrasts in cumulative</w:t>
      </w:r>
      <w:r>
        <w:rPr>
          <w:rFonts w:ascii="Times New Roman" w:hAnsi="Times New Roman" w:eastAsia="Times New Roman"/>
          <w:sz w:val="24"/>
        </w:rPr>
        <w:t xml:space="preserve"> </w:t>
      </w:r>
      <w:r>
        <w:rPr>
          <w:rFonts w:ascii="Times New Roman" w:hAnsi="Times New Roman" w:eastAsia="Times New Roman"/>
          <w:sz w:val="24"/>
        </w:rPr>
        <w:t xml:space="preserve">indigenous force-generation output range from approximately +121 to +674 across</w:t>
      </w:r>
      <w:r>
        <w:rPr>
          <w:rFonts w:ascii="Times New Roman" w:hAnsi="Times New Roman" w:eastAsia="Times New Roman"/>
          <w:sz w:val="24"/>
        </w:rPr>
        <w:t xml:space="preserve"> </w:t>
      </w:r>
      <w:r>
        <w:rPr>
          <w:rFonts w:ascii="Times New Roman" w:hAnsi="Times New Roman" w:eastAsia="Times New Roman"/>
          <w:sz w:val="24"/>
        </w:rPr>
        <w:t xml:space="preserve">the four severity and intensity conditions, with narrow bootstrap intervals.</w:t>
      </w:r>
    </w:p>
    <w:p>
      <w:pPr>
        <w:pStyle w:val="BodyText"/>
        <w:spacing w:line="480" w:lineRule="auto" w:before="0" w:after="0"/>
        <w:ind w:firstLine="720" w:left="0"/>
      </w:pPr>
      <w:r>
        <w:rPr>
          <w:rFonts w:ascii="Times New Roman" w:hAnsi="Times New Roman" w:eastAsia="Times New Roman"/>
          <w:sz w:val="24"/>
        </w:rPr>
        <w:t xml:space="preserve">Yet the corresponding whole-system terminal-coverage contrast is exactly zero</w:t>
      </w:r>
      <w:r>
        <w:rPr>
          <w:rFonts w:ascii="Times New Roman" w:hAnsi="Times New Roman" w:eastAsia="Times New Roman"/>
          <w:sz w:val="24"/>
        </w:rPr>
        <w:t xml:space="preserve"> </w:t>
      </w:r>
      <w:r>
        <w:rPr>
          <w:rFonts w:ascii="Times New Roman" w:hAnsi="Times New Roman" w:eastAsia="Times New Roman"/>
          <w:sz w:val="24"/>
        </w:rPr>
        <w:t xml:space="preserve">in all four cells. By +360 days, every force-generation-targeted world in the</w:t>
      </w:r>
      <w:r>
        <w:rPr>
          <w:rFonts w:ascii="Times New Roman" w:hAnsi="Times New Roman" w:eastAsia="Times New Roman"/>
          <w:sz w:val="24"/>
        </w:rPr>
        <w:t xml:space="preserve"> </w:t>
      </w:r>
      <w:r>
        <w:rPr>
          <w:rFonts w:ascii="Times New Roman" w:hAnsi="Times New Roman" w:eastAsia="Times New Roman"/>
          <w:sz w:val="24"/>
        </w:rPr>
        <w:t xml:space="preserve">mechanism experiment is logistics-bottlenecked. The intervention succeeds in</w:t>
      </w:r>
      <w:r>
        <w:rPr>
          <w:rFonts w:ascii="Times New Roman" w:hAnsi="Times New Roman" w:eastAsia="Times New Roman"/>
          <w:sz w:val="24"/>
        </w:rPr>
        <w:t xml:space="preserve"> </w:t>
      </w:r>
      <w:r>
        <w:rPr>
          <w:rFonts w:ascii="Times New Roman" w:hAnsi="Times New Roman" w:eastAsia="Times New Roman"/>
          <w:sz w:val="24"/>
        </w:rPr>
        <w:t xml:space="preserve">the subsystem it targets, but the targeted subsystem no longer limits the</w:t>
      </w:r>
      <w:r>
        <w:rPr>
          <w:rFonts w:ascii="Times New Roman" w:hAnsi="Times New Roman" w:eastAsia="Times New Roman"/>
          <w:sz w:val="24"/>
        </w:rPr>
        <w:t xml:space="preserve"> </w:t>
      </w:r>
      <w:r>
        <w:rPr>
          <w:rFonts w:ascii="Times New Roman" w:hAnsi="Times New Roman" w:eastAsia="Times New Roman"/>
          <w:sz w:val="24"/>
        </w:rPr>
        <w:t xml:space="preserve">system.</w:t>
      </w:r>
    </w:p>
    <w:p>
      <w:pPr>
        <w:pStyle w:val="BodyText"/>
        <w:spacing w:line="480" w:lineRule="auto" w:before="0" w:after="0"/>
        <w:ind w:firstLine="720" w:left="0"/>
      </w:pPr>
      <w:r>
        <w:rPr>
          <w:rFonts w:ascii="Times New Roman" w:hAnsi="Times New Roman" w:eastAsia="Times New Roman"/>
          <w:sz w:val="24"/>
        </w:rPr>
        <w:t xml:space="preserve">Command development generates the same logic in a less uniform form. It raises</w:t>
      </w:r>
      <w:r>
        <w:rPr>
          <w:rFonts w:ascii="Times New Roman" w:hAnsi="Times New Roman" w:eastAsia="Times New Roman"/>
          <w:sz w:val="24"/>
        </w:rPr>
        <w:t xml:space="preserve"> </w:t>
      </w:r>
      <w:r>
        <w:rPr>
          <w:rFonts w:ascii="Times New Roman" w:hAnsi="Times New Roman" w:eastAsia="Times New Roman"/>
          <w:sz w:val="24"/>
        </w:rPr>
        <w:t xml:space="preserve">indigenous command service and coverage, but command-development worlds migrate</w:t>
      </w:r>
      <w:r>
        <w:rPr>
          <w:rFonts w:ascii="Times New Roman" w:hAnsi="Times New Roman" w:eastAsia="Times New Roman"/>
          <w:sz w:val="24"/>
        </w:rPr>
        <w:t xml:space="preserve"> </w:t>
      </w:r>
      <w:r>
        <w:rPr>
          <w:rFonts w:ascii="Times New Roman" w:hAnsi="Times New Roman" w:eastAsia="Times New Roman"/>
          <w:sz w:val="24"/>
        </w:rPr>
        <w:t xml:space="preserve">away from command as the binding constraint, overwhelmingly toward logistics.</w:t>
      </w:r>
      <w:r>
        <w:rPr>
          <w:rFonts w:ascii="Times New Roman" w:hAnsi="Times New Roman" w:eastAsia="Times New Roman"/>
          <w:sz w:val="24"/>
        </w:rPr>
        <w:t xml:space="preserve"> </w:t>
      </w:r>
      <w:r>
        <w:rPr>
          <w:rFonts w:ascii="Times New Roman" w:hAnsi="Times New Roman" w:eastAsia="Times New Roman"/>
          <w:sz w:val="24"/>
        </w:rPr>
        <w:t xml:space="preserve">In the moderate-weakness, high-intensity condition, development produces a</w:t>
      </w:r>
      <w:r>
        <w:rPr>
          <w:rFonts w:ascii="Times New Roman" w:hAnsi="Times New Roman" w:eastAsia="Times New Roman"/>
          <w:sz w:val="24"/>
        </w:rPr>
        <w:t xml:space="preserve"> </w:t>
      </w:r>
      <w:r>
        <w:rPr>
          <w:rFonts w:ascii="Times New Roman" w:hAnsi="Times New Roman" w:eastAsia="Times New Roman"/>
          <w:sz w:val="24"/>
        </w:rPr>
        <w:t xml:space="preserve">terminal system-coverage contrast of approximately -0.132 relative to</w:t>
      </w:r>
      <w:r>
        <w:rPr>
          <w:rFonts w:ascii="Times New Roman" w:hAnsi="Times New Roman" w:eastAsia="Times New Roman"/>
          <w:sz w:val="24"/>
        </w:rPr>
        <w:t xml:space="preserve"> </w:t>
      </w:r>
      <w:r>
        <w:rPr>
          <w:rFonts w:ascii="Times New Roman" w:hAnsi="Times New Roman" w:eastAsia="Times New Roman"/>
          <w:sz w:val="24"/>
        </w:rPr>
        <w:t xml:space="preserve">substitution, with a bootstrap interval of about -0.231 to -0.046, despite</w:t>
      </w:r>
      <w:r>
        <w:rPr>
          <w:rFonts w:ascii="Times New Roman" w:hAnsi="Times New Roman" w:eastAsia="Times New Roman"/>
          <w:sz w:val="24"/>
        </w:rPr>
        <w:t xml:space="preserve"> </w:t>
      </w:r>
      <w:r>
        <w:rPr>
          <w:rFonts w:ascii="Times New Roman" w:hAnsi="Times New Roman" w:eastAsia="Times New Roman"/>
          <w:sz w:val="24"/>
        </w:rPr>
        <w:t xml:space="preserve">improving the indigenous command subsystem.</w:t>
      </w:r>
    </w:p>
    <w:p>
      <w:pPr>
        <w:pStyle w:val="BodyText"/>
        <w:spacing w:line="480" w:lineRule="auto" w:before="0" w:after="0"/>
        <w:ind w:firstLine="720" w:left="0"/>
      </w:pPr>
      <w:r>
        <w:rPr>
          <w:rFonts w:ascii="Times New Roman" w:hAnsi="Times New Roman" w:eastAsia="Times New Roman"/>
          <w:sz w:val="24"/>
        </w:rPr>
        <w:t xml:space="preserve">The result should not be read as evidence that command development is generally</w:t>
      </w:r>
      <w:r>
        <w:rPr>
          <w:rFonts w:ascii="Times New Roman" w:hAnsi="Times New Roman" w:eastAsia="Times New Roman"/>
          <w:sz w:val="24"/>
        </w:rPr>
        <w:t xml:space="preserve"> </w:t>
      </w:r>
      <w:r>
        <w:rPr>
          <w:rFonts w:ascii="Times New Roman" w:hAnsi="Times New Roman" w:eastAsia="Times New Roman"/>
          <w:sz w:val="24"/>
        </w:rPr>
        <w:t xml:space="preserve">harmful. It shows that improving a nonbinding or transient capacity can have a</w:t>
      </w:r>
      <w:r>
        <w:rPr>
          <w:rFonts w:ascii="Times New Roman" w:hAnsi="Times New Roman" w:eastAsia="Times New Roman"/>
          <w:sz w:val="24"/>
        </w:rPr>
        <w:t xml:space="preserve"> </w:t>
      </w:r>
      <w:r>
        <w:rPr>
          <w:rFonts w:ascii="Times New Roman" w:hAnsi="Times New Roman" w:eastAsia="Times New Roman"/>
          <w:sz w:val="24"/>
        </w:rPr>
        <w:t xml:space="preserve">low system return. Once another service binds, further improvements in the</w:t>
      </w:r>
      <w:r>
        <w:rPr>
          <w:rFonts w:ascii="Times New Roman" w:hAnsi="Times New Roman" w:eastAsia="Times New Roman"/>
          <w:sz w:val="24"/>
        </w:rPr>
        <w:t xml:space="preserve"> </w:t>
      </w:r>
      <w:r>
        <w:rPr>
          <w:rFonts w:ascii="Times New Roman" w:hAnsi="Times New Roman" w:eastAsia="Times New Roman"/>
          <w:sz w:val="24"/>
        </w:rPr>
        <w:t xml:space="preserve">relieved subsystem cannot raise whole-system feasibility by themselves.</w:t>
      </w:r>
    </w:p>
    <w:bookmarkEnd w:id="106"/>
    <w:bookmarkStart w:id="107" w:name="X9d8342c83879a3af401a1cb330bab662b78b086"/>
    <w:p>
      <w:pPr>
        <w:pStyle w:val="Heading2"/>
        <w:keepNext/>
        <w:spacing w:line="480" w:lineRule="auto" w:after="0" w:before="120"/>
        <w:ind w:firstLine="0" w:left="0"/>
      </w:pPr>
      <w:r>
        <w:rPr>
          <w:rFonts w:ascii="Times New Roman" w:hAnsi="Times New Roman" w:eastAsia="Times New Roman"/>
          <w:b/>
          <w:i/>
          <w:sz w:val="24"/>
        </w:rPr>
        <w:t xml:space="preserve">5.9 Integrated evidence: separate outcomes and uneven mechanism evidence</w:t>
      </w:r>
    </w:p>
    <w:p>
      <w:pPr>
        <w:pStyle w:val="FirstParagraph"/>
        <w:spacing w:line="480" w:lineRule="auto" w:before="0" w:after="0"/>
        <w:ind w:firstLine="720" w:left="0"/>
      </w:pPr>
      <w:r>
        <w:rPr>
          <w:rFonts w:ascii="Times New Roman" w:hAnsi="Times New Roman" w:eastAsia="Times New Roman"/>
          <w:sz w:val="24"/>
        </w:rPr>
        <w:t xml:space="preserve">The revised evidence no longer supports a single migration-mediated retention</w:t>
      </w:r>
      <w:r>
        <w:rPr>
          <w:rFonts w:ascii="Times New Roman" w:hAnsi="Times New Roman" w:eastAsia="Times New Roman"/>
          <w:sz w:val="24"/>
        </w:rPr>
        <w:t xml:space="preserve"> </w:t>
      </w:r>
      <w:r>
        <w:rPr>
          <w:rFonts w:ascii="Times New Roman" w:hAnsi="Times New Roman" w:eastAsia="Times New Roman"/>
          <w:sz w:val="24"/>
        </w:rPr>
        <w:t xml:space="preserve">mechanism, and it does not support equally strong claims about the two candidate</w:t>
      </w:r>
      <w:r>
        <w:rPr>
          <w:rFonts w:ascii="Times New Roman" w:hAnsi="Times New Roman" w:eastAsia="Times New Roman"/>
          <w:sz w:val="24"/>
        </w:rPr>
        <w:t xml:space="preserve"> </w:t>
      </w:r>
      <w:r>
        <w:rPr>
          <w:rFonts w:ascii="Times New Roman" w:hAnsi="Times New Roman" w:eastAsia="Times New Roman"/>
          <w:sz w:val="24"/>
        </w:rPr>
        <w:t xml:space="preserve">production dynamics. Constraint displacement is directly demonstrated and helps</w:t>
      </w:r>
      <w:r>
        <w:rPr>
          <w:rFonts w:ascii="Times New Roman" w:hAnsi="Times New Roman" w:eastAsia="Times New Roman"/>
          <w:sz w:val="24"/>
        </w:rPr>
        <w:t xml:space="preserve"> </w:t>
      </w:r>
      <w:r>
        <w:rPr>
          <w:rFonts w:ascii="Times New Roman" w:hAnsi="Times New Roman" w:eastAsia="Times New Roman"/>
          <w:sz w:val="24"/>
        </w:rPr>
        <w:t xml:space="preserve">explain why successful local relief can produce little whole-system yield.</w:t>
      </w:r>
      <w:r>
        <w:rPr>
          <w:rFonts w:ascii="Times New Roman" w:hAnsi="Times New Roman" w:eastAsia="Times New Roman"/>
          <w:sz w:val="24"/>
        </w:rPr>
        <w:t xml:space="preserve"> </w:t>
      </w:r>
      <w:r>
        <w:rPr>
          <w:rFonts w:ascii="Times New Roman" w:hAnsi="Times New Roman" w:eastAsia="Times New Roman"/>
          <w:sz w:val="24"/>
        </w:rPr>
        <w:t xml:space="preserve">Requirement expansion is descriptively consistent with the Stage-4 supply-demand</w:t>
      </w:r>
      <w:r>
        <w:rPr>
          <w:rFonts w:ascii="Times New Roman" w:hAnsi="Times New Roman" w:eastAsia="Times New Roman"/>
          <w:sz w:val="24"/>
        </w:rPr>
        <w:t xml:space="preserve"> </w:t>
      </w:r>
      <w:r>
        <w:rPr>
          <w:rFonts w:ascii="Times New Roman" w:hAnsi="Times New Roman" w:eastAsia="Times New Roman"/>
          <w:sz w:val="24"/>
        </w:rPr>
        <w:t xml:space="preserve">decomposition, but the prospective clamp test evaluated a static pre-split baseline coordinate rather than dynamic coverage flows and therefore does not identify requirement expansion as its cause.</w:t>
      </w:r>
    </w:p>
    <w:p>
      <w:pPr>
        <w:pStyle w:val="BodyText"/>
        <w:keepNext/>
        <w:spacing w:line="276" w:lineRule="auto" w:before="240" w:after="80"/>
        <w:ind w:firstLine="0" w:left="0"/>
      </w:pPr>
      <w:r>
        <w:rPr>
          <w:rFonts w:ascii="Times New Roman" w:hAnsi="Times New Roman" w:eastAsia="Times New Roman"/>
          <w:b/>
          <w:bCs/>
          <w:sz w:val="20"/>
        </w:rPr>
        <w:t xml:space="preserve">Table 3. Headline evidence after separating outcomes from mechanism claims.</w:t>
      </w:r>
      <w:r>
        <w:rPr>
          <w:rFonts w:ascii="Times New Roman" w:hAnsi="Times New Roman" w:eastAsia="Times New Roman"/>
          <w:sz w:val="20"/>
        </w:rPr>
        <w:t xml:space="preserve"> </w:t>
      </w:r>
      <w:r>
        <w:rPr>
          <w:rFonts w:ascii="Times New Roman" w:hAnsi="Times New Roman" w:eastAsia="Times New Roman"/>
          <w:sz w:val="20"/>
        </w:rPr>
        <w:t xml:space="preserve">The matched-control and supply-demand decompositions were added after external review and are labeled post-completion diagnostics. The demand-clamp rows come from a separately frozen post-review experiment and show a successful demand manipulation alongside an uninformative coverage test: the ablation runner recorded the pre-split baseline coordinate evaluated at withdrawal day 120, structurally guaranteeing a zero branch difference, while dynamic capability effects diverged significantly.</w:t>
      </w:r>
    </w:p>
    <w:tbl>
      <w:tblPr>
        <w:tblStyle w:val="Table"/>
        <w:tblW w:type="pct" w:w="5000"/>
        <w:tblLayout w:type="fixed"/>
        <w:tblLook w:firstRow="1" w:lastRow="0" w:firstColumn="0" w:lastColumn="0" w:noHBand="0" w:noVBand="0" w:val="0020"/>
        <w:jc w:val="center"/>
        <w:tblBorders>
          <w:top w:val="single" w:sz="12" w:space="0" w:color="000000"/>
          <w:left w:val="none"/>
          <w:bottom w:val="single" w:sz="12" w:space="0" w:color="000000"/>
          <w:right w:val="none"/>
          <w:insideH w:val="none"/>
          <w:insideV w:val="none"/>
        </w:tblBorders>
        <w:tblCellMar>
          <w:top w:w="120" w:type="dxa"/>
          <w:bottom w:w="120" w:type="dxa"/>
          <w:left w:w="160" w:type="dxa"/>
          <w:right w:w="160" w:type="dxa"/>
        </w:tblCellMar>
      </w:tblPr>
      <w:tblGrid>
        <w:gridCol w:w="2376"/>
        <w:gridCol w:w="3168"/>
        <w:gridCol w:w="2376"/>
      </w:tblGrid>
      <w:tr>
        <w:trPr>
          <w:tblHeader w:val="on"/>
          <w:cantSplit/>
          <w:tblHeader/>
        </w:trPr>
        <w:tc>
          <w:tcPr>
            <w:tcBorders>
              <w:bottom w:val="single" w:sz="6" w:space="0" w:color="000000"/>
              <w:top w:val="none"/>
              <w:left w:val="none"/>
              <w:right w:val="none"/>
            </w:tcBorders>
          </w:tcPr>
          <w:p>
            <w:pPr>
              <w:pStyle w:val="Compact"/>
              <w:keepNext/>
              <w:spacing w:line="252" w:lineRule="auto" w:after="40" w:before="40"/>
              <w:ind w:firstLine="0" w:left="0"/>
            </w:pPr>
            <w:r>
              <w:rPr>
                <w:rFonts w:ascii="Times New Roman" w:hAnsi="Times New Roman" w:eastAsia="Times New Roman"/>
                <w:b/>
                <w:sz w:val="19"/>
              </w:rPr>
              <w:t xml:space="preserve">Result</w:t>
            </w:r>
          </w:p>
        </w:tc>
        <w:tc>
          <w:tcPr>
            <w:tcBorders>
              <w:bottom w:val="single" w:sz="6" w:space="0" w:color="000000"/>
              <w:top w:val="none"/>
              <w:left w:val="none"/>
              <w:right w:val="none"/>
            </w:tcBorders>
          </w:tcPr>
          <w:p>
            <w:pPr>
              <w:pStyle w:val="Compact"/>
              <w:keepNext/>
              <w:spacing w:line="252" w:lineRule="auto" w:after="40" w:before="40"/>
              <w:ind w:firstLine="0" w:left="0"/>
              <w:jc w:val="right"/>
            </w:pPr>
            <w:r>
              <w:rPr>
                <w:rFonts w:ascii="Times New Roman" w:hAnsi="Times New Roman" w:eastAsia="Times New Roman"/>
                <w:b/>
                <w:sz w:val="19"/>
              </w:rPr>
              <w:t xml:space="preserve">Estimate</w:t>
            </w:r>
          </w:p>
        </w:tc>
        <w:tc>
          <w:tcPr>
            <w:tcBorders>
              <w:bottom w:val="single" w:sz="6" w:space="0" w:color="000000"/>
              <w:top w:val="none"/>
              <w:left w:val="none"/>
              <w:right w:val="none"/>
            </w:tcBorders>
          </w:tcPr>
          <w:p>
            <w:pPr>
              <w:pStyle w:val="Compact"/>
              <w:keepNext/>
              <w:spacing w:line="252" w:lineRule="auto" w:after="40" w:before="40"/>
              <w:ind w:firstLine="0" w:left="0"/>
            </w:pPr>
            <w:r>
              <w:rPr>
                <w:rFonts w:ascii="Times New Roman" w:hAnsi="Times New Roman" w:eastAsia="Times New Roman"/>
                <w:b/>
                <w:sz w:val="19"/>
              </w:rPr>
              <w:t xml:space="preserve">Status</w:t>
            </w:r>
          </w:p>
        </w:tc>
      </w:tr>
      <w:tr>
        <w:trPr>
          <w:cantSplit/>
        </w:trPr>
        <w:tc>
          <w:tcPr/>
          <w:p>
            <w:pPr>
              <w:pStyle w:val="Compact"/>
              <w:keepNext/>
              <w:spacing w:line="252" w:lineRule="auto" w:after="40" w:before="40"/>
              <w:ind w:firstLine="0" w:left="0"/>
            </w:pPr>
            <w:r>
              <w:rPr>
                <w:rFonts w:ascii="Times New Roman" w:hAnsi="Times New Roman" w:eastAsia="Times New Roman"/>
                <w:sz w:val="19"/>
              </w:rPr>
              <w:t xml:space="preserve">+30d cells with supported capability above no aid and retained capability below no aid</w:t>
            </w:r>
          </w:p>
        </w:tc>
        <w:tc>
          <w:tcPr/>
          <w:p>
            <w:pPr>
              <w:pStyle w:val="Compact"/>
              <w:keepNext/>
              <w:spacing w:line="252" w:lineRule="auto" w:after="40" w:before="40"/>
              <w:ind w:firstLine="0" w:left="0"/>
              <w:jc w:val="right"/>
            </w:pPr>
            <w:r>
              <w:rPr>
                <w:rFonts w:ascii="Times New Roman" w:hAnsi="Times New Roman" w:eastAsia="Times New Roman"/>
                <w:sz w:val="19"/>
              </w:rPr>
              <w:t xml:space="preserve">26/120</w:t>
            </w:r>
          </w:p>
        </w:tc>
        <w:tc>
          <w:tcPr/>
          <w:p>
            <w:pPr>
              <w:pStyle w:val="Compact"/>
              <w:keepNext/>
              <w:spacing w:line="252" w:lineRule="auto" w:after="40" w:before="40"/>
              <w:ind w:firstLine="0" w:left="0"/>
            </w:pPr>
            <w:r>
              <w:rPr>
                <w:rFonts w:ascii="Times New Roman" w:hAnsi="Times New Roman" w:eastAsia="Times New Roman"/>
                <w:sz w:val="19"/>
              </w:rPr>
              <w:t xml:space="preserve">Post-completion matched-control diagnostic</w:t>
            </w:r>
          </w:p>
        </w:tc>
      </w:tr>
      <w:tr>
        <w:trPr>
          <w:cantSplit/>
        </w:trPr>
        <w:tc>
          <w:tcPr/>
          <w:p>
            <w:pPr>
              <w:pStyle w:val="Compact"/>
              <w:keepNext/>
              <w:spacing w:line="252" w:lineRule="auto" w:after="40" w:before="40"/>
              <w:ind w:firstLine="0" w:left="0"/>
            </w:pPr>
            <w:r>
              <w:rPr>
                <w:rFonts w:ascii="Times New Roman" w:hAnsi="Times New Roman" w:eastAsia="Times New Roman"/>
                <w:sz w:val="19"/>
              </w:rPr>
              <w:t xml:space="preserve">+30d cells with both supported and retained capability above no aid</w:t>
            </w:r>
          </w:p>
        </w:tc>
        <w:tc>
          <w:tcPr/>
          <w:p>
            <w:pPr>
              <w:pStyle w:val="Compact"/>
              <w:keepNext/>
              <w:spacing w:line="252" w:lineRule="auto" w:after="40" w:before="40"/>
              <w:ind w:firstLine="0" w:left="0"/>
              <w:jc w:val="right"/>
            </w:pPr>
            <w:r>
              <w:rPr>
                <w:rFonts w:ascii="Times New Roman" w:hAnsi="Times New Roman" w:eastAsia="Times New Roman"/>
                <w:sz w:val="19"/>
              </w:rPr>
              <w:t xml:space="preserve">30/120</w:t>
            </w:r>
          </w:p>
        </w:tc>
        <w:tc>
          <w:tcPr/>
          <w:p>
            <w:pPr>
              <w:pStyle w:val="Compact"/>
              <w:keepNext/>
              <w:spacing w:line="252" w:lineRule="auto" w:after="40" w:before="40"/>
              <w:ind w:firstLine="0" w:left="0"/>
            </w:pPr>
            <w:r>
              <w:rPr>
                <w:rFonts w:ascii="Times New Roman" w:hAnsi="Times New Roman" w:eastAsia="Times New Roman"/>
                <w:sz w:val="19"/>
              </w:rPr>
              <w:t xml:space="preserve">Post-completion matched-control diagnostic</w:t>
            </w:r>
          </w:p>
        </w:tc>
      </w:tr>
      <w:tr>
        <w:trPr>
          <w:cantSplit/>
        </w:trPr>
        <w:tc>
          <w:tcPr/>
          <w:p>
            <w:pPr>
              <w:pStyle w:val="Compact"/>
              <w:keepNext/>
              <w:spacing w:line="252" w:lineRule="auto" w:after="40" w:before="40"/>
              <w:ind w:firstLine="0" w:left="0"/>
            </w:pPr>
            <w:r>
              <w:rPr>
                <w:rFonts w:ascii="Times New Roman" w:hAnsi="Times New Roman" w:eastAsia="Times New Roman"/>
                <w:sz w:val="19"/>
              </w:rPr>
              <w:t xml:space="preserve">Same-terminal coverage-penalty worlds with higher continued-support logistics demand</w:t>
            </w:r>
          </w:p>
        </w:tc>
        <w:tc>
          <w:tcPr/>
          <w:p>
            <w:pPr>
              <w:pStyle w:val="Compact"/>
              <w:keepNext/>
              <w:spacing w:line="252" w:lineRule="auto" w:after="40" w:before="40"/>
              <w:ind w:firstLine="0" w:left="0"/>
              <w:jc w:val="right"/>
            </w:pPr>
            <w:r>
              <w:rPr>
                <w:rFonts w:ascii="Times New Roman" w:hAnsi="Times New Roman" w:eastAsia="Times New Roman"/>
                <w:sz w:val="19"/>
              </w:rPr>
              <w:t xml:space="preserve">95.9% of 1,174</w:t>
            </w:r>
          </w:p>
        </w:tc>
        <w:tc>
          <w:tcPr/>
          <w:p>
            <w:pPr>
              <w:pStyle w:val="Compact"/>
              <w:keepNext/>
              <w:spacing w:line="252" w:lineRule="auto" w:after="40" w:before="40"/>
              <w:ind w:firstLine="0" w:left="0"/>
            </w:pPr>
            <w:r>
              <w:rPr>
                <w:rFonts w:ascii="Times New Roman" w:hAnsi="Times New Roman" w:eastAsia="Times New Roman"/>
                <w:sz w:val="19"/>
              </w:rPr>
              <w:t xml:space="preserve">Post-completion telemetry decomposition</w:t>
            </w:r>
          </w:p>
        </w:tc>
      </w:tr>
      <w:tr>
        <w:trPr>
          <w:cantSplit/>
        </w:trPr>
        <w:tc>
          <w:tcPr/>
          <w:p>
            <w:pPr>
              <w:pStyle w:val="Compact"/>
              <w:keepNext/>
              <w:spacing w:line="252" w:lineRule="auto" w:after="40" w:before="40"/>
              <w:ind w:firstLine="0" w:left="0"/>
            </w:pPr>
            <w:r>
              <w:rPr>
                <w:rFonts w:ascii="Times New Roman" w:hAnsi="Times New Roman" w:eastAsia="Times New Roman"/>
                <w:sz w:val="19"/>
              </w:rPr>
              <w:t xml:space="preserve">Mean standardized coverage effect in +30d-effective logistics-penalty worlds</w:t>
            </w:r>
          </w:p>
        </w:tc>
        <w:tc>
          <w:tcPr/>
          <w:p>
            <w:pPr>
              <w:pStyle w:val="Compact"/>
              <w:keepNext/>
              <w:spacing w:line="252" w:lineRule="auto" w:after="40" w:before="40"/>
              <w:ind w:firstLine="0" w:left="0"/>
              <w:jc w:val="right"/>
            </w:pPr>
            <w:r>
              <w:rPr>
                <w:rFonts w:ascii="Times New Roman" w:hAnsi="Times New Roman" w:eastAsia="Times New Roman"/>
                <w:sz w:val="19"/>
              </w:rPr>
              <w:t xml:space="preserve">observed -0.0823; production-only -0.0301; demand-only -0.0534</w:t>
            </w:r>
          </w:p>
        </w:tc>
        <w:tc>
          <w:tcPr/>
          <w:p>
            <w:pPr>
              <w:pStyle w:val="Compact"/>
              <w:keepNext/>
              <w:spacing w:line="252" w:lineRule="auto" w:after="40" w:before="40"/>
              <w:ind w:firstLine="0" w:left="0"/>
            </w:pPr>
            <w:r>
              <w:rPr>
                <w:rFonts w:ascii="Times New Roman" w:hAnsi="Times New Roman" w:eastAsia="Times New Roman"/>
                <w:sz w:val="19"/>
              </w:rPr>
              <w:t xml:space="preserve">Post-completion diagnostic</w:t>
            </w:r>
          </w:p>
        </w:tc>
      </w:tr>
      <w:tr>
        <w:trPr>
          <w:cantSplit/>
        </w:trPr>
        <w:tc>
          <w:tcPr/>
          <w:p>
            <w:pPr>
              <w:pStyle w:val="Compact"/>
              <w:keepNext/>
              <w:spacing w:line="252" w:lineRule="auto" w:after="40" w:before="40"/>
              <w:ind w:firstLine="0" w:left="0"/>
            </w:pPr>
            <w:r>
              <w:rPr>
                <w:rFonts w:ascii="Times New Roman" w:hAnsi="Times New Roman" w:eastAsia="Times New Roman"/>
                <w:sz w:val="19"/>
              </w:rPr>
              <w:t xml:space="preserve">Fresh-seed normal worlds with nonzero coverage branch gap in static-field ablation test</w:t>
            </w:r>
          </w:p>
        </w:tc>
        <w:tc>
          <w:tcPr/>
          <w:p>
            <w:pPr>
              <w:pStyle w:val="Compact"/>
              <w:keepNext/>
              <w:spacing w:line="252" w:lineRule="auto" w:after="40" w:before="40"/>
              <w:ind w:firstLine="0" w:left="0"/>
              <w:jc w:val="right"/>
            </w:pPr>
            <w:r>
              <w:rPr>
                <w:rFonts w:ascii="Times New Roman" w:hAnsi="Times New Roman" w:eastAsia="Times New Roman"/>
                <w:sz w:val="19"/>
              </w:rPr>
              <w:t xml:space="preserve">0/48 at every registered horizon</w:t>
            </w:r>
          </w:p>
        </w:tc>
        <w:tc>
          <w:tcPr/>
          <w:p>
            <w:pPr>
              <w:pStyle w:val="Compact"/>
              <w:keepNext/>
              <w:spacing w:line="252" w:lineRule="auto" w:after="40" w:before="40"/>
              <w:ind w:firstLine="0" w:left="0"/>
            </w:pPr>
            <w:r>
              <w:rPr>
                <w:rFonts w:ascii="Times New Roman" w:hAnsi="Times New Roman" w:eastAsia="Times New Roman"/>
                <w:sz w:val="19"/>
              </w:rPr>
              <w:t xml:space="preserve">Post-review ablation harness artifact (evaluated static pre-split baseline coordinate)</w:t>
            </w:r>
          </w:p>
        </w:tc>
      </w:tr>
      <w:tr>
        <w:trPr>
          <w:cantSplit/>
        </w:trPr>
        <w:tc>
          <w:tcPr/>
          <w:p>
            <w:pPr>
              <w:pStyle w:val="Compact"/>
              <w:keepNext/>
              <w:spacing w:line="252" w:lineRule="auto" w:after="40" w:before="40"/>
              <w:ind w:firstLine="0" w:left="0"/>
            </w:pPr>
            <w:r>
              <w:rPr>
                <w:rFonts w:ascii="Times New Roman" w:hAnsi="Times New Roman" w:eastAsia="Times New Roman"/>
                <w:sz w:val="19"/>
              </w:rPr>
              <w:t xml:space="preserve">Demand-clamp manipulation intervals within 5% of paired withdrawal demand</w:t>
            </w:r>
          </w:p>
        </w:tc>
        <w:tc>
          <w:tcPr/>
          <w:p>
            <w:pPr>
              <w:pStyle w:val="Compact"/>
              <w:keepNext/>
              <w:spacing w:line="252" w:lineRule="auto" w:after="40" w:before="40"/>
              <w:ind w:firstLine="0" w:left="0"/>
              <w:jc w:val="right"/>
            </w:pPr>
            <w:r>
              <w:rPr>
                <w:rFonts w:ascii="Times New Roman" w:hAnsi="Times New Roman" w:eastAsia="Times New Roman"/>
                <w:sz w:val="19"/>
              </w:rPr>
              <w:t xml:space="preserve">2,640/2,640</w:t>
            </w:r>
          </w:p>
        </w:tc>
        <w:tc>
          <w:tcPr/>
          <w:p>
            <w:pPr>
              <w:pStyle w:val="Compact"/>
              <w:keepNext/>
              <w:spacing w:line="252" w:lineRule="auto" w:after="40" w:before="40"/>
              <w:ind w:firstLine="0" w:left="0"/>
            </w:pPr>
            <w:r>
              <w:rPr>
                <w:rFonts w:ascii="Times New Roman" w:hAnsi="Times New Roman" w:eastAsia="Times New Roman"/>
                <w:sz w:val="19"/>
              </w:rPr>
              <w:t xml:space="preserve">Post-review prospectively frozen manipulation check</w:t>
            </w:r>
          </w:p>
        </w:tc>
      </w:tr>
      <w:tr>
        <w:trPr>
          <w:cantSplit/>
        </w:trPr>
        <w:tc>
          <w:tcPr/>
          <w:p>
            <w:pPr>
              <w:pStyle w:val="Compact"/>
              <w:keepNext/>
              <w:spacing w:line="252" w:lineRule="auto" w:after="40" w:before="40"/>
              <w:ind w:firstLine="0" w:left="0"/>
            </w:pPr>
            <w:r>
              <w:rPr>
                <w:rFonts w:ascii="Times New Roman" w:hAnsi="Times New Roman" w:eastAsia="Times New Roman"/>
                <w:sz w:val="19"/>
              </w:rPr>
              <w:t xml:space="preserve">Observed-matched command migration</w:t>
            </w:r>
          </w:p>
        </w:tc>
        <w:tc>
          <w:tcPr/>
          <w:p>
            <w:pPr>
              <w:pStyle w:val="Compact"/>
              <w:keepNext/>
              <w:spacing w:line="252" w:lineRule="auto" w:after="40" w:before="40"/>
              <w:ind w:firstLine="0" w:left="0"/>
              <w:jc w:val="right"/>
            </w:pPr>
            <w:r>
              <w:rPr>
                <w:rFonts w:ascii="Times New Roman" w:hAnsi="Times New Roman" w:eastAsia="Times New Roman"/>
                <w:sz w:val="19"/>
              </w:rPr>
              <w:t xml:space="preserve">38/38</w:t>
            </w:r>
          </w:p>
        </w:tc>
        <w:tc>
          <w:tcPr/>
          <w:p>
            <w:pPr>
              <w:pStyle w:val="Compact"/>
              <w:keepNext/>
              <w:spacing w:line="252" w:lineRule="auto" w:after="40" w:before="40"/>
              <w:ind w:firstLine="0" w:left="0"/>
            </w:pPr>
            <w:r>
              <w:rPr>
                <w:rFonts w:ascii="Times New Roman" w:hAnsi="Times New Roman" w:eastAsia="Times New Roman"/>
                <w:sz w:val="19"/>
              </w:rPr>
              <w:t xml:space="preserve">Frozen Stage-4 Migration module</w:t>
            </w:r>
          </w:p>
        </w:tc>
      </w:tr>
      <w:tr>
        <w:trPr>
          <w:cantSplit/>
        </w:trPr>
        <w:tc>
          <w:tcPr/>
          <w:p>
            <w:pPr>
              <w:pStyle w:val="Compact"/>
              <w:keepNext/>
              <w:spacing w:line="252" w:lineRule="auto" w:after="40" w:before="40"/>
              <w:ind w:firstLine="0" w:left="0"/>
            </w:pPr>
            <w:r>
              <w:rPr>
                <w:rFonts w:ascii="Times New Roman" w:hAnsi="Times New Roman" w:eastAsia="Times New Roman"/>
                <w:sz w:val="19"/>
              </w:rPr>
              <w:t xml:space="preserve">Observed-matched force-generation migration</w:t>
            </w:r>
          </w:p>
        </w:tc>
        <w:tc>
          <w:tcPr/>
          <w:p>
            <w:pPr>
              <w:pStyle w:val="Compact"/>
              <w:keepNext/>
              <w:spacing w:line="252" w:lineRule="auto" w:after="40" w:before="40"/>
              <w:ind w:firstLine="0" w:left="0"/>
              <w:jc w:val="right"/>
            </w:pPr>
            <w:r>
              <w:rPr>
                <w:rFonts w:ascii="Times New Roman" w:hAnsi="Times New Roman" w:eastAsia="Times New Roman"/>
                <w:sz w:val="19"/>
              </w:rPr>
              <w:t xml:space="preserve">46/46</w:t>
            </w:r>
          </w:p>
        </w:tc>
        <w:tc>
          <w:tcPr/>
          <w:p>
            <w:pPr>
              <w:pStyle w:val="Compact"/>
              <w:keepNext/>
              <w:spacing w:line="252" w:lineRule="auto" w:after="40" w:before="40"/>
              <w:ind w:firstLine="0" w:left="0"/>
            </w:pPr>
            <w:r>
              <w:rPr>
                <w:rFonts w:ascii="Times New Roman" w:hAnsi="Times New Roman" w:eastAsia="Times New Roman"/>
                <w:sz w:val="19"/>
              </w:rPr>
              <w:t xml:space="preserve">Frozen Stage-4 Migration module</w:t>
            </w:r>
          </w:p>
        </w:tc>
      </w:tr>
      <w:tr>
        <w:trPr>
          <w:cantSplit/>
        </w:trPr>
        <w:tc>
          <w:tcPr/>
          <w:p>
            <w:pPr>
              <w:pStyle w:val="Compact"/>
              <w:keepNext/>
              <w:spacing w:line="252" w:lineRule="auto" w:after="40" w:before="40"/>
              <w:ind w:firstLine="0" w:left="0"/>
            </w:pPr>
            <w:r>
              <w:rPr>
                <w:rFonts w:ascii="Times New Roman" w:hAnsi="Times New Roman" w:eastAsia="Times New Roman"/>
                <w:sz w:val="19"/>
              </w:rPr>
              <w:t xml:space="preserve">Observed-matched logistics migration</w:t>
            </w:r>
          </w:p>
        </w:tc>
        <w:tc>
          <w:tcPr/>
          <w:p>
            <w:pPr>
              <w:pStyle w:val="Compact"/>
              <w:keepNext/>
              <w:spacing w:line="252" w:lineRule="auto" w:after="40" w:before="40"/>
              <w:ind w:firstLine="0" w:left="0"/>
              <w:jc w:val="right"/>
            </w:pPr>
            <w:r>
              <w:rPr>
                <w:rFonts w:ascii="Times New Roman" w:hAnsi="Times New Roman" w:eastAsia="Times New Roman"/>
                <w:sz w:val="19"/>
              </w:rPr>
              <w:t xml:space="preserve">0/85</w:t>
            </w:r>
          </w:p>
        </w:tc>
        <w:tc>
          <w:tcPr/>
          <w:p>
            <w:pPr>
              <w:pStyle w:val="Compact"/>
              <w:keepNext/>
              <w:spacing w:line="252" w:lineRule="auto" w:after="40" w:before="40"/>
              <w:ind w:firstLine="0" w:left="0"/>
            </w:pPr>
            <w:r>
              <w:rPr>
                <w:rFonts w:ascii="Times New Roman" w:hAnsi="Times New Roman" w:eastAsia="Times New Roman"/>
                <w:sz w:val="19"/>
              </w:rPr>
              <w:t xml:space="preserve">Frozen Stage-4 Migration module</w:t>
            </w:r>
          </w:p>
        </w:tc>
      </w:tr>
      <w:tr>
        <w:trPr>
          <w:cantSplit/>
        </w:trPr>
        <w:tc>
          <w:tcPr/>
          <w:p>
            <w:pPr>
              <w:pStyle w:val="Compact"/>
              <w:spacing w:line="252" w:lineRule="auto" w:after="40" w:before="40"/>
              <w:ind w:firstLine="0" w:left="0"/>
            </w:pPr>
            <w:r>
              <w:rPr>
                <w:rFonts w:ascii="Times New Roman" w:hAnsi="Times New Roman" w:eastAsia="Times New Roman"/>
                <w:sz w:val="19"/>
              </w:rPr>
              <w:t xml:space="preserve">Force-generation development minus substitution on terminal system coverage</w:t>
            </w:r>
          </w:p>
        </w:tc>
        <w:tc>
          <w:tcPr/>
          <w:p>
            <w:pPr>
              <w:pStyle w:val="Compact"/>
              <w:spacing w:line="252" w:lineRule="auto" w:after="40" w:before="40"/>
              <w:ind w:firstLine="0" w:left="0"/>
              <w:jc w:val="right"/>
            </w:pPr>
            <w:r>
              <w:rPr>
                <w:rFonts w:ascii="Times New Roman" w:hAnsi="Times New Roman" w:eastAsia="Times New Roman"/>
                <w:sz w:val="19"/>
              </w:rPr>
              <w:t xml:space="preserve">0 in all four cells</w:t>
            </w:r>
          </w:p>
        </w:tc>
        <w:tc>
          <w:tcPr/>
          <w:p>
            <w:pPr>
              <w:pStyle w:val="Compact"/>
              <w:spacing w:line="252" w:lineRule="auto" w:after="40" w:before="40"/>
              <w:ind w:firstLine="0" w:left="0"/>
            </w:pPr>
            <w:r>
              <w:rPr>
                <w:rFonts w:ascii="Times New Roman" w:hAnsi="Times New Roman" w:eastAsia="Times New Roman"/>
                <w:sz w:val="19"/>
              </w:rPr>
              <w:t xml:space="preserve">Frozen Stage-4 mechanism module</w:t>
            </w:r>
          </w:p>
        </w:tc>
      </w:tr>
    </w:tbl>
    <w:p>
      <w:pPr>
        <w:pStyle w:val="BodyText"/>
        <w:spacing w:line="480" w:lineRule="auto" w:before="0" w:after="0"/>
        <w:ind w:firstLine="720" w:left="0"/>
      </w:pPr>
      <w:r>
        <w:rPr>
          <w:rFonts w:ascii="Times New Roman" w:hAnsi="Times New Roman" w:eastAsia="Times New Roman"/>
          <w:sz w:val="24"/>
        </w:rPr>
        <w:t xml:space="preserve">The constraint-displacement result is also highly insensitive to replacing the hard</w:t>
      </w:r>
      <w:r>
        <w:rPr>
          <w:rFonts w:ascii="Times New Roman" w:hAnsi="Times New Roman" w:eastAsia="Times New Roman"/>
          <w:sz w:val="24"/>
        </w:rPr>
        <w:t xml:space="preserve"> </w:t>
      </w:r>
      <w:r>
        <w:rPr>
          <w:rFonts w:ascii="Times New Roman" w:hAnsi="Times New Roman" w:eastAsia="Times New Roman"/>
          <w:sz w:val="24"/>
        </w:rPr>
        <w:t xml:space="preserve">minimum coverage coordinate with smooth service aggregators in the Migration</w:t>
      </w:r>
      <w:r>
        <w:rPr>
          <w:rFonts w:ascii="Times New Roman" w:hAnsi="Times New Roman" w:eastAsia="Times New Roman"/>
          <w:sz w:val="24"/>
        </w:rPr>
        <w:t xml:space="preserve"> </w:t>
      </w:r>
      <w:r>
        <w:rPr>
          <w:rFonts w:ascii="Times New Roman" w:hAnsi="Times New Roman" w:eastAsia="Times New Roman"/>
          <w:sz w:val="24"/>
        </w:rPr>
        <w:t xml:space="preserve">module. Across the 169 worlds in which the assistance target matched the</w:t>
      </w:r>
      <w:r>
        <w:rPr>
          <w:rFonts w:ascii="Times New Roman" w:hAnsi="Times New Roman" w:eastAsia="Times New Roman"/>
          <w:sz w:val="24"/>
        </w:rPr>
        <w:t xml:space="preserve"> </w:t>
      </w:r>
      <w:r>
        <w:rPr>
          <w:rFonts w:ascii="Times New Roman" w:hAnsi="Times New Roman" w:eastAsia="Times New Roman"/>
          <w:sz w:val="24"/>
        </w:rPr>
        <w:t xml:space="preserve">observed pre-withdrawal bottleneck, the sign of the +360-day coverage effect</w:t>
      </w:r>
      <w:r>
        <w:rPr>
          <w:rFonts w:ascii="Times New Roman" w:hAnsi="Times New Roman" w:eastAsia="Times New Roman"/>
          <w:sz w:val="24"/>
        </w:rPr>
        <w:t xml:space="preserve"> </w:t>
      </w:r>
      <w:r>
        <w:rPr>
          <w:rFonts w:ascii="Times New Roman" w:hAnsi="Times New Roman" w:eastAsia="Times New Roman"/>
          <w:sz w:val="24"/>
        </w:rPr>
        <w:t xml:space="preserve">agrees between the hard-minimum measure and each of the arithmetic, geometric,</w:t>
      </w:r>
      <w:r>
        <w:rPr>
          <w:rFonts w:ascii="Times New Roman" w:hAnsi="Times New Roman" w:eastAsia="Times New Roman"/>
          <w:sz w:val="24"/>
        </w:rPr>
        <w:t xml:space="preserve"> </w:t>
      </w:r>
      <w:r>
        <w:rPr>
          <w:rFonts w:ascii="Times New Roman" w:hAnsi="Times New Roman" w:eastAsia="Times New Roman"/>
          <w:sz w:val="24"/>
        </w:rPr>
        <w:t xml:space="preserve">and harmonic smooth measures in 167 worlds, or 98.8 percent. The two discordant</w:t>
      </w:r>
      <w:r>
        <w:rPr>
          <w:rFonts w:ascii="Times New Roman" w:hAnsi="Times New Roman" w:eastAsia="Times New Roman"/>
          <w:sz w:val="24"/>
        </w:rPr>
        <w:t xml:space="preserve"> </w:t>
      </w:r>
      <w:r>
        <w:rPr>
          <w:rFonts w:ascii="Times New Roman" w:hAnsi="Times New Roman" w:eastAsia="Times New Roman"/>
          <w:sz w:val="24"/>
        </w:rPr>
        <w:t xml:space="preserve">worlds are one command-targeted world and one logistics-targeted world.</w:t>
      </w:r>
    </w:p>
    <w:p>
      <w:pPr>
        <w:pStyle w:val="BodyText"/>
        <w:keepNext/>
        <w:spacing w:line="276" w:lineRule="auto" w:before="240" w:after="80"/>
        <w:ind w:firstLine="0" w:left="0"/>
      </w:pPr>
      <w:r>
        <w:rPr>
          <w:rFonts w:ascii="Times New Roman" w:hAnsi="Times New Roman" w:eastAsia="Times New Roman"/>
          <w:b/>
          <w:bCs/>
          <w:sz w:val="20"/>
        </w:rPr>
        <w:t xml:space="preserve">Table 4. Sign robustness of terminal-coverage effects to smooth feasibility aggregation in observed-matched Migration worlds.</w:t>
      </w:r>
      <w:r>
        <w:rPr>
          <w:rFonts w:ascii="Times New Roman" w:hAnsi="Times New Roman" w:eastAsia="Times New Roman"/>
          <w:sz w:val="20"/>
        </w:rPr>
        <w:t xml:space="preserve"> </w:t>
      </w:r>
      <w:r>
        <w:rPr>
          <w:rFonts w:ascii="Times New Roman" w:hAnsi="Times New Roman" w:eastAsia="Times New Roman"/>
          <w:sz w:val="20"/>
        </w:rPr>
        <w:t xml:space="preserve">This check is specific to the Migration evidence package and should not be read as a robustness result for every Phase-Map or mechanism-module estimand.</w:t>
      </w:r>
    </w:p>
    <w:tbl>
      <w:tblPr>
        <w:tblStyle w:val="Table"/>
        <w:tblW w:type="pct" w:w="5000"/>
        <w:tblLayout w:type="fixed"/>
        <w:tblLook w:firstRow="1" w:lastRow="0" w:firstColumn="0" w:lastColumn="0" w:noHBand="0" w:noVBand="0" w:val="0020"/>
        <w:jc w:val="center"/>
        <w:tblBorders>
          <w:top w:val="single" w:sz="12" w:space="0" w:color="000000"/>
          <w:left w:val="none"/>
          <w:bottom w:val="single" w:sz="12" w:space="0" w:color="000000"/>
          <w:right w:val="none"/>
          <w:insideH w:val="none"/>
          <w:insideV w:val="none"/>
        </w:tblBorders>
        <w:tblCellMar>
          <w:top w:w="120" w:type="dxa"/>
          <w:bottom w:w="120" w:type="dxa"/>
          <w:left w:w="160" w:type="dxa"/>
          <w:right w:w="160" w:type="dxa"/>
        </w:tblCellMar>
      </w:tblPr>
      <w:tblGrid>
        <w:gridCol w:w="1250"/>
        <w:gridCol w:w="1667"/>
        <w:gridCol w:w="1667"/>
        <w:gridCol w:w="1667"/>
        <w:gridCol w:w="1667"/>
      </w:tblGrid>
      <w:tr>
        <w:trPr>
          <w:tblHeader w:val="on"/>
          <w:cantSplit/>
          <w:tblHeader/>
        </w:trPr>
        <w:tc>
          <w:tcPr>
            <w:tcBorders>
              <w:bottom w:val="single" w:sz="6" w:space="0" w:color="000000"/>
              <w:top w:val="none"/>
              <w:left w:val="none"/>
              <w:right w:val="none"/>
            </w:tcBorders>
          </w:tcPr>
          <w:p>
            <w:pPr>
              <w:pStyle w:val="Compact"/>
              <w:keepNext/>
              <w:spacing w:line="252" w:lineRule="auto" w:after="40" w:before="40"/>
              <w:ind w:firstLine="0" w:left="0"/>
            </w:pPr>
            <w:r>
              <w:rPr>
                <w:rFonts w:ascii="Times New Roman" w:hAnsi="Times New Roman" w:eastAsia="Times New Roman"/>
                <w:b/>
                <w:sz w:val="19"/>
              </w:rPr>
              <w:t xml:space="preserve">Observed-matched target</w:t>
            </w:r>
          </w:p>
        </w:tc>
        <w:tc>
          <w:tcPr>
            <w:tcBorders>
              <w:bottom w:val="single" w:sz="6" w:space="0" w:color="000000"/>
              <w:top w:val="none"/>
              <w:left w:val="none"/>
              <w:right w:val="none"/>
            </w:tcBorders>
          </w:tcPr>
          <w:p>
            <w:pPr>
              <w:pStyle w:val="Compact"/>
              <w:keepNext/>
              <w:spacing w:line="252" w:lineRule="auto" w:after="40" w:before="40"/>
              <w:ind w:firstLine="0" w:left="0"/>
              <w:jc w:val="right"/>
            </w:pPr>
            <w:r>
              <w:rPr>
                <w:rFonts w:ascii="Times New Roman" w:hAnsi="Times New Roman" w:eastAsia="Times New Roman"/>
                <w:b/>
                <w:sz w:val="19"/>
              </w:rPr>
              <w:t xml:space="preserve">Worlds</w:t>
            </w:r>
          </w:p>
        </w:tc>
        <w:tc>
          <w:tcPr>
            <w:tcBorders>
              <w:bottom w:val="single" w:sz="6" w:space="0" w:color="000000"/>
              <w:top w:val="none"/>
              <w:left w:val="none"/>
              <w:right w:val="none"/>
            </w:tcBorders>
          </w:tcPr>
          <w:p>
            <w:pPr>
              <w:pStyle w:val="Compact"/>
              <w:keepNext/>
              <w:spacing w:line="252" w:lineRule="auto" w:after="40" w:before="40"/>
              <w:ind w:firstLine="0" w:left="0"/>
              <w:jc w:val="right"/>
            </w:pPr>
            <w:r>
              <w:rPr>
                <w:rFonts w:ascii="Times New Roman" w:hAnsi="Times New Roman" w:eastAsia="Times New Roman"/>
                <w:b/>
                <w:sz w:val="19"/>
              </w:rPr>
              <w:t xml:space="preserve">Hard minimum vs arithmetic</w:t>
            </w:r>
          </w:p>
        </w:tc>
        <w:tc>
          <w:tcPr>
            <w:tcBorders>
              <w:bottom w:val="single" w:sz="6" w:space="0" w:color="000000"/>
              <w:top w:val="none"/>
              <w:left w:val="none"/>
              <w:right w:val="none"/>
            </w:tcBorders>
          </w:tcPr>
          <w:p>
            <w:pPr>
              <w:pStyle w:val="Compact"/>
              <w:keepNext/>
              <w:spacing w:line="252" w:lineRule="auto" w:after="40" w:before="40"/>
              <w:ind w:firstLine="0" w:left="0"/>
              <w:jc w:val="right"/>
            </w:pPr>
            <w:r>
              <w:rPr>
                <w:rFonts w:ascii="Times New Roman" w:hAnsi="Times New Roman" w:eastAsia="Times New Roman"/>
                <w:b/>
                <w:sz w:val="19"/>
              </w:rPr>
              <w:t xml:space="preserve">Hard minimum vs geometric</w:t>
            </w:r>
          </w:p>
        </w:tc>
        <w:tc>
          <w:tcPr>
            <w:tcBorders>
              <w:bottom w:val="single" w:sz="6" w:space="0" w:color="000000"/>
              <w:top w:val="none"/>
              <w:left w:val="none"/>
              <w:right w:val="none"/>
            </w:tcBorders>
          </w:tcPr>
          <w:p>
            <w:pPr>
              <w:pStyle w:val="Compact"/>
              <w:keepNext/>
              <w:spacing w:line="252" w:lineRule="auto" w:after="40" w:before="40"/>
              <w:ind w:firstLine="0" w:left="0"/>
              <w:jc w:val="right"/>
            </w:pPr>
            <w:r>
              <w:rPr>
                <w:rFonts w:ascii="Times New Roman" w:hAnsi="Times New Roman" w:eastAsia="Times New Roman"/>
                <w:b/>
                <w:sz w:val="19"/>
              </w:rPr>
              <w:t xml:space="preserve">Hard minimum vs harmonic</w:t>
            </w:r>
          </w:p>
        </w:tc>
      </w:tr>
      <w:tr>
        <w:trPr>
          <w:cantSplit/>
        </w:trPr>
        <w:tc>
          <w:tcPr/>
          <w:p>
            <w:pPr>
              <w:pStyle w:val="Compact"/>
              <w:keepNext/>
              <w:spacing w:line="252" w:lineRule="auto" w:after="40" w:before="40"/>
              <w:ind w:firstLine="0" w:left="0"/>
            </w:pPr>
            <w:r>
              <w:rPr>
                <w:rFonts w:ascii="Times New Roman" w:hAnsi="Times New Roman" w:eastAsia="Times New Roman"/>
                <w:sz w:val="19"/>
              </w:rPr>
              <w:t xml:space="preserve">Command</w:t>
            </w:r>
          </w:p>
        </w:tc>
        <w:tc>
          <w:tcPr/>
          <w:p>
            <w:pPr>
              <w:pStyle w:val="Compact"/>
              <w:keepNext/>
              <w:spacing w:line="252" w:lineRule="auto" w:after="40" w:before="40"/>
              <w:ind w:firstLine="0" w:left="0"/>
              <w:jc w:val="right"/>
            </w:pPr>
            <w:r>
              <w:rPr>
                <w:rFonts w:ascii="Times New Roman" w:hAnsi="Times New Roman" w:eastAsia="Times New Roman"/>
                <w:sz w:val="19"/>
              </w:rPr>
              <w:t xml:space="preserve">38</w:t>
            </w:r>
          </w:p>
        </w:tc>
        <w:tc>
          <w:tcPr/>
          <w:p>
            <w:pPr>
              <w:pStyle w:val="Compact"/>
              <w:keepNext/>
              <w:spacing w:line="252" w:lineRule="auto" w:after="40" w:before="40"/>
              <w:ind w:firstLine="0" w:left="0"/>
              <w:jc w:val="right"/>
            </w:pPr>
            <w:r>
              <w:rPr>
                <w:rFonts w:ascii="Times New Roman" w:hAnsi="Times New Roman" w:eastAsia="Times New Roman"/>
                <w:sz w:val="19"/>
              </w:rPr>
              <w:t xml:space="preserve">37/38, 97.4%</w:t>
            </w:r>
          </w:p>
        </w:tc>
        <w:tc>
          <w:tcPr/>
          <w:p>
            <w:pPr>
              <w:pStyle w:val="Compact"/>
              <w:keepNext/>
              <w:spacing w:line="252" w:lineRule="auto" w:after="40" w:before="40"/>
              <w:ind w:firstLine="0" w:left="0"/>
              <w:jc w:val="right"/>
            </w:pPr>
            <w:r>
              <w:rPr>
                <w:rFonts w:ascii="Times New Roman" w:hAnsi="Times New Roman" w:eastAsia="Times New Roman"/>
                <w:sz w:val="19"/>
              </w:rPr>
              <w:t xml:space="preserve">37/38, 97.4%</w:t>
            </w:r>
          </w:p>
        </w:tc>
        <w:tc>
          <w:tcPr/>
          <w:p>
            <w:pPr>
              <w:pStyle w:val="Compact"/>
              <w:keepNext/>
              <w:spacing w:line="252" w:lineRule="auto" w:after="40" w:before="40"/>
              <w:ind w:firstLine="0" w:left="0"/>
              <w:jc w:val="right"/>
            </w:pPr>
            <w:r>
              <w:rPr>
                <w:rFonts w:ascii="Times New Roman" w:hAnsi="Times New Roman" w:eastAsia="Times New Roman"/>
                <w:sz w:val="19"/>
              </w:rPr>
              <w:t xml:space="preserve">37/38, 97.4%</w:t>
            </w:r>
          </w:p>
        </w:tc>
      </w:tr>
      <w:tr>
        <w:trPr>
          <w:cantSplit/>
        </w:trPr>
        <w:tc>
          <w:tcPr/>
          <w:p>
            <w:pPr>
              <w:pStyle w:val="Compact"/>
              <w:keepNext/>
              <w:spacing w:line="252" w:lineRule="auto" w:after="40" w:before="40"/>
              <w:ind w:firstLine="0" w:left="0"/>
            </w:pPr>
            <w:r>
              <w:rPr>
                <w:rFonts w:ascii="Times New Roman" w:hAnsi="Times New Roman" w:eastAsia="Times New Roman"/>
                <w:sz w:val="19"/>
              </w:rPr>
              <w:t xml:space="preserve">Force generation</w:t>
            </w:r>
          </w:p>
        </w:tc>
        <w:tc>
          <w:tcPr/>
          <w:p>
            <w:pPr>
              <w:pStyle w:val="Compact"/>
              <w:keepNext/>
              <w:spacing w:line="252" w:lineRule="auto" w:after="40" w:before="40"/>
              <w:ind w:firstLine="0" w:left="0"/>
              <w:jc w:val="right"/>
            </w:pPr>
            <w:r>
              <w:rPr>
                <w:rFonts w:ascii="Times New Roman" w:hAnsi="Times New Roman" w:eastAsia="Times New Roman"/>
                <w:sz w:val="19"/>
              </w:rPr>
              <w:t xml:space="preserve">46</w:t>
            </w:r>
          </w:p>
        </w:tc>
        <w:tc>
          <w:tcPr/>
          <w:p>
            <w:pPr>
              <w:pStyle w:val="Compact"/>
              <w:keepNext/>
              <w:spacing w:line="252" w:lineRule="auto" w:after="40" w:before="40"/>
              <w:ind w:firstLine="0" w:left="0"/>
              <w:jc w:val="right"/>
            </w:pPr>
            <w:r>
              <w:rPr>
                <w:rFonts w:ascii="Times New Roman" w:hAnsi="Times New Roman" w:eastAsia="Times New Roman"/>
                <w:sz w:val="19"/>
              </w:rPr>
              <w:t xml:space="preserve">46/46, 100%</w:t>
            </w:r>
          </w:p>
        </w:tc>
        <w:tc>
          <w:tcPr/>
          <w:p>
            <w:pPr>
              <w:pStyle w:val="Compact"/>
              <w:keepNext/>
              <w:spacing w:line="252" w:lineRule="auto" w:after="40" w:before="40"/>
              <w:ind w:firstLine="0" w:left="0"/>
              <w:jc w:val="right"/>
            </w:pPr>
            <w:r>
              <w:rPr>
                <w:rFonts w:ascii="Times New Roman" w:hAnsi="Times New Roman" w:eastAsia="Times New Roman"/>
                <w:sz w:val="19"/>
              </w:rPr>
              <w:t xml:space="preserve">46/46, 100%</w:t>
            </w:r>
          </w:p>
        </w:tc>
        <w:tc>
          <w:tcPr/>
          <w:p>
            <w:pPr>
              <w:pStyle w:val="Compact"/>
              <w:keepNext/>
              <w:spacing w:line="252" w:lineRule="auto" w:after="40" w:before="40"/>
              <w:ind w:firstLine="0" w:left="0"/>
              <w:jc w:val="right"/>
            </w:pPr>
            <w:r>
              <w:rPr>
                <w:rFonts w:ascii="Times New Roman" w:hAnsi="Times New Roman" w:eastAsia="Times New Roman"/>
                <w:sz w:val="19"/>
              </w:rPr>
              <w:t xml:space="preserve">46/46, 100%</w:t>
            </w:r>
          </w:p>
        </w:tc>
      </w:tr>
      <w:tr>
        <w:trPr>
          <w:cantSplit/>
        </w:trPr>
        <w:tc>
          <w:tcPr/>
          <w:p>
            <w:pPr>
              <w:pStyle w:val="Compact"/>
              <w:keepNext/>
              <w:spacing w:line="252" w:lineRule="auto" w:after="40" w:before="40"/>
              <w:ind w:firstLine="0" w:left="0"/>
            </w:pPr>
            <w:r>
              <w:rPr>
                <w:rFonts w:ascii="Times New Roman" w:hAnsi="Times New Roman" w:eastAsia="Times New Roman"/>
                <w:sz w:val="19"/>
              </w:rPr>
              <w:t xml:space="preserve">Logistics</w:t>
            </w:r>
          </w:p>
        </w:tc>
        <w:tc>
          <w:tcPr/>
          <w:p>
            <w:pPr>
              <w:pStyle w:val="Compact"/>
              <w:keepNext/>
              <w:spacing w:line="252" w:lineRule="auto" w:after="40" w:before="40"/>
              <w:ind w:firstLine="0" w:left="0"/>
              <w:jc w:val="right"/>
            </w:pPr>
            <w:r>
              <w:rPr>
                <w:rFonts w:ascii="Times New Roman" w:hAnsi="Times New Roman" w:eastAsia="Times New Roman"/>
                <w:sz w:val="19"/>
              </w:rPr>
              <w:t xml:space="preserve">85</w:t>
            </w:r>
          </w:p>
        </w:tc>
        <w:tc>
          <w:tcPr/>
          <w:p>
            <w:pPr>
              <w:pStyle w:val="Compact"/>
              <w:keepNext/>
              <w:spacing w:line="252" w:lineRule="auto" w:after="40" w:before="40"/>
              <w:ind w:firstLine="0" w:left="0"/>
              <w:jc w:val="right"/>
            </w:pPr>
            <w:r>
              <w:rPr>
                <w:rFonts w:ascii="Times New Roman" w:hAnsi="Times New Roman" w:eastAsia="Times New Roman"/>
                <w:sz w:val="19"/>
              </w:rPr>
              <w:t xml:space="preserve">84/85, 98.8%</w:t>
            </w:r>
          </w:p>
        </w:tc>
        <w:tc>
          <w:tcPr/>
          <w:p>
            <w:pPr>
              <w:pStyle w:val="Compact"/>
              <w:keepNext/>
              <w:spacing w:line="252" w:lineRule="auto" w:after="40" w:before="40"/>
              <w:ind w:firstLine="0" w:left="0"/>
              <w:jc w:val="right"/>
            </w:pPr>
            <w:r>
              <w:rPr>
                <w:rFonts w:ascii="Times New Roman" w:hAnsi="Times New Roman" w:eastAsia="Times New Roman"/>
                <w:sz w:val="19"/>
              </w:rPr>
              <w:t xml:space="preserve">84/85, 98.8%</w:t>
            </w:r>
          </w:p>
        </w:tc>
        <w:tc>
          <w:tcPr/>
          <w:p>
            <w:pPr>
              <w:pStyle w:val="Compact"/>
              <w:keepNext/>
              <w:spacing w:line="252" w:lineRule="auto" w:after="40" w:before="40"/>
              <w:ind w:firstLine="0" w:left="0"/>
              <w:jc w:val="right"/>
            </w:pPr>
            <w:r>
              <w:rPr>
                <w:rFonts w:ascii="Times New Roman" w:hAnsi="Times New Roman" w:eastAsia="Times New Roman"/>
                <w:sz w:val="19"/>
              </w:rPr>
              <w:t xml:space="preserve">84/85, 98.8%</w:t>
            </w:r>
          </w:p>
        </w:tc>
      </w:tr>
      <w:tr>
        <w:trPr>
          <w:cantSplit/>
        </w:trPr>
        <w:tc>
          <w:tcPr>
            <w:tcBorders>
              <w:top w:val="single" w:sz="6" w:space="0" w:color="000000"/>
            </w:tcBorders>
          </w:tcPr>
          <w:p>
            <w:pPr>
              <w:pStyle w:val="Compact"/>
              <w:spacing w:line="252" w:lineRule="auto" w:after="40" w:before="40"/>
              <w:ind w:firstLine="0" w:left="0"/>
            </w:pPr>
            <w:r>
              <w:rPr>
                <w:rFonts w:ascii="Times New Roman" w:hAnsi="Times New Roman" w:eastAsia="Times New Roman"/>
                <w:b/>
                <w:bCs/>
                <w:sz w:val="19"/>
              </w:rPr>
              <w:t xml:space="preserve">Total</w:t>
            </w:r>
          </w:p>
        </w:tc>
        <w:tc>
          <w:tcPr>
            <w:tcBorders>
              <w:top w:val="single" w:sz="6" w:space="0" w:color="000000"/>
            </w:tcBorders>
          </w:tcPr>
          <w:p>
            <w:pPr>
              <w:pStyle w:val="Compact"/>
              <w:spacing w:line="252" w:lineRule="auto" w:after="40" w:before="40"/>
              <w:ind w:firstLine="0" w:left="0"/>
              <w:jc w:val="right"/>
            </w:pPr>
            <w:r>
              <w:rPr>
                <w:rFonts w:ascii="Times New Roman" w:hAnsi="Times New Roman" w:eastAsia="Times New Roman"/>
                <w:b/>
                <w:bCs/>
                <w:sz w:val="19"/>
              </w:rPr>
              <w:t xml:space="preserve">169</w:t>
            </w:r>
          </w:p>
        </w:tc>
        <w:tc>
          <w:tcPr>
            <w:tcBorders>
              <w:top w:val="single" w:sz="6" w:space="0" w:color="000000"/>
            </w:tcBorders>
          </w:tcPr>
          <w:p>
            <w:pPr>
              <w:pStyle w:val="Compact"/>
              <w:spacing w:line="252" w:lineRule="auto" w:after="40" w:before="40"/>
              <w:ind w:firstLine="0" w:left="0"/>
              <w:jc w:val="right"/>
            </w:pPr>
            <w:r>
              <w:rPr>
                <w:rFonts w:ascii="Times New Roman" w:hAnsi="Times New Roman" w:eastAsia="Times New Roman"/>
                <w:b/>
                <w:bCs/>
                <w:sz w:val="19"/>
              </w:rPr>
              <w:t xml:space="preserve">167/169, 98.8%</w:t>
            </w:r>
          </w:p>
        </w:tc>
        <w:tc>
          <w:tcPr>
            <w:tcBorders>
              <w:top w:val="single" w:sz="6" w:space="0" w:color="000000"/>
            </w:tcBorders>
          </w:tcPr>
          <w:p>
            <w:pPr>
              <w:pStyle w:val="Compact"/>
              <w:spacing w:line="252" w:lineRule="auto" w:after="40" w:before="40"/>
              <w:ind w:firstLine="0" w:left="0"/>
              <w:jc w:val="right"/>
            </w:pPr>
            <w:r>
              <w:rPr>
                <w:rFonts w:ascii="Times New Roman" w:hAnsi="Times New Roman" w:eastAsia="Times New Roman"/>
                <w:b/>
                <w:bCs/>
                <w:sz w:val="19"/>
              </w:rPr>
              <w:t xml:space="preserve">167/169, 98.8%</w:t>
            </w:r>
          </w:p>
        </w:tc>
        <w:tc>
          <w:tcPr>
            <w:tcBorders>
              <w:top w:val="single" w:sz="6" w:space="0" w:color="000000"/>
            </w:tcBorders>
          </w:tcPr>
          <w:p>
            <w:pPr>
              <w:pStyle w:val="Compact"/>
              <w:spacing w:line="252" w:lineRule="auto" w:after="40" w:before="40"/>
              <w:ind w:firstLine="0" w:left="0"/>
              <w:jc w:val="right"/>
            </w:pPr>
            <w:r>
              <w:rPr>
                <w:rFonts w:ascii="Times New Roman" w:hAnsi="Times New Roman" w:eastAsia="Times New Roman"/>
                <w:b/>
                <w:bCs/>
                <w:sz w:val="19"/>
              </w:rPr>
              <w:t xml:space="preserve">167/169, 98.8%</w:t>
            </w:r>
          </w:p>
        </w:tc>
      </w:tr>
    </w:tbl>
    <w:bookmarkEnd w:id="107"/>
    <w:bookmarkStart w:id="108" w:name="X33fab4be62a9d27991626827efd4f10a0bee322"/>
    <w:p>
      <w:pPr>
        <w:pStyle w:val="Heading2"/>
        <w:keepNext/>
        <w:spacing w:line="480" w:lineRule="auto" w:after="0" w:before="120"/>
        <w:ind w:firstLine="0" w:left="0"/>
      </w:pPr>
      <w:r>
        <w:rPr>
          <w:rFonts w:ascii="Times New Roman" w:hAnsi="Times New Roman" w:eastAsia="Times New Roman"/>
          <w:b/>
          <w:i/>
          <w:sz w:val="24"/>
        </w:rPr>
        <w:t xml:space="preserve">5.10 Stage 5 identifies selective complementarity but does not validate the intended near-tie allocation test</w:t>
      </w:r>
    </w:p>
    <w:p>
      <w:pPr>
        <w:pStyle w:val="FirstParagraph"/>
        <w:spacing w:line="480" w:lineRule="auto" w:before="0" w:after="0"/>
        <w:ind w:firstLine="720" w:left="0"/>
      </w:pPr>
      <w:r>
        <w:rPr>
          <w:rFonts w:ascii="Times New Roman" w:hAnsi="Times New Roman" w:eastAsia="Times New Roman"/>
          <w:sz w:val="24"/>
        </w:rPr>
        <w:t xml:space="preserve">Stage 5 separates equal-channel-dose technical complementarity from fixed-budget</w:t>
      </w:r>
      <w:r>
        <w:rPr>
          <w:rFonts w:ascii="Times New Roman" w:hAnsi="Times New Roman" w:eastAsia="Times New Roman"/>
          <w:sz w:val="24"/>
        </w:rPr>
        <w:t xml:space="preserve"> </w:t>
      </w:r>
      <w:r>
        <w:rPr>
          <w:rFonts w:ascii="Times New Roman" w:hAnsi="Times New Roman" w:eastAsia="Times New Roman"/>
          <w:sz w:val="24"/>
        </w:rPr>
        <w:t xml:space="preserve">allocation efficiency. Its intended scope-condition manipulation fails: 365 of</w:t>
      </w:r>
      <w:r>
        <w:rPr>
          <w:rFonts w:ascii="Times New Roman" w:hAnsi="Times New Roman" w:eastAsia="Times New Roman"/>
          <w:sz w:val="24"/>
        </w:rPr>
        <w:t xml:space="preserve"> </w:t>
      </w:r>
      <w:r>
        <w:rPr>
          <w:rFonts w:ascii="Times New Roman" w:hAnsi="Times New Roman" w:eastAsia="Times New Roman"/>
          <w:sz w:val="24"/>
        </w:rPr>
        <w:t xml:space="preserve">368 nominal near-tie worlds are logistics-bound by the split, so most fixed-</w:t>
      </w:r>
      <w:r>
        <w:rPr>
          <w:rFonts w:ascii="Times New Roman" w:hAnsi="Times New Roman" w:eastAsia="Times New Roman"/>
          <w:sz w:val="24"/>
        </w:rPr>
        <w:t xml:space="preserve"> </w:t>
      </w:r>
      <w:r>
        <w:rPr>
          <w:rFonts w:ascii="Times New Roman" w:hAnsi="Times New Roman" w:eastAsia="Times New Roman"/>
          <w:sz w:val="24"/>
        </w:rPr>
        <w:t xml:space="preserve">effort comparisons occur in realized single-bottleneck regimes. In those</w:t>
      </w:r>
      <w:r>
        <w:rPr>
          <w:rFonts w:ascii="Times New Roman" w:hAnsi="Times New Roman" w:eastAsia="Times New Roman"/>
          <w:sz w:val="24"/>
        </w:rPr>
        <w:t xml:space="preserve"> </w:t>
      </w:r>
      <w:r>
        <w:rPr>
          <w:rFonts w:ascii="Times New Roman" w:hAnsi="Times New Roman" w:eastAsia="Times New Roman"/>
          <w:sz w:val="24"/>
        </w:rPr>
        <w:t xml:space="preserve">regimes, none of 32 breadth comparisons has an interval entirely above zero and</w:t>
      </w:r>
      <w:r>
        <w:rPr>
          <w:rFonts w:ascii="Times New Roman" w:hAnsi="Times New Roman" w:eastAsia="Times New Roman"/>
          <w:sz w:val="24"/>
        </w:rPr>
        <w:t xml:space="preserve"> </w:t>
      </w:r>
      <w:r>
        <w:rPr>
          <w:rFonts w:ascii="Times New Roman" w:hAnsi="Times New Roman" w:eastAsia="Times New Roman"/>
          <w:sz w:val="24"/>
        </w:rPr>
        <w:t xml:space="preserve">21 have intervals entirely below zero. This shows that spreading a fixed dose</w:t>
      </w:r>
      <w:r>
        <w:rPr>
          <w:rFonts w:ascii="Times New Roman" w:hAnsi="Times New Roman" w:eastAsia="Times New Roman"/>
          <w:sz w:val="24"/>
        </w:rPr>
        <w:t xml:space="preserve"> </w:t>
      </w:r>
      <w:r>
        <w:rPr>
          <w:rFonts w:ascii="Times New Roman" w:hAnsi="Times New Roman" w:eastAsia="Times New Roman"/>
          <w:sz w:val="24"/>
        </w:rPr>
        <w:t xml:space="preserve">can be costly when one service already dominates, not that breadth would fail</w:t>
      </w:r>
      <w:r>
        <w:rPr>
          <w:rFonts w:ascii="Times New Roman" w:hAnsi="Times New Roman" w:eastAsia="Times New Roman"/>
          <w:sz w:val="24"/>
        </w:rPr>
        <w:t xml:space="preserve"> </w:t>
      </w:r>
      <w:r>
        <w:rPr>
          <w:rFonts w:ascii="Times New Roman" w:hAnsi="Times New Roman" w:eastAsia="Times New Roman"/>
          <w:sz w:val="24"/>
        </w:rPr>
        <w:t xml:space="preserve">under a genuine near-tie.</w:t>
      </w:r>
    </w:p>
    <w:p>
      <w:pPr>
        <w:pStyle w:val="BodyText"/>
        <w:spacing w:line="480" w:lineRule="auto" w:before="0" w:after="0"/>
        <w:ind w:firstLine="720" w:left="0"/>
      </w:pPr>
      <w:r>
        <w:rPr>
          <w:rFonts w:ascii="Times New Roman" w:hAnsi="Times New Roman" w:eastAsia="Times New Roman"/>
          <w:sz w:val="24"/>
        </w:rPr>
        <w:t xml:space="preserve">Equal-channel-dose results show narrower complementarity. Two high-intensity</w:t>
      </w:r>
      <w:r>
        <w:rPr>
          <w:rFonts w:ascii="Times New Roman" w:hAnsi="Times New Roman" w:eastAsia="Times New Roman"/>
          <w:sz w:val="24"/>
        </w:rPr>
        <w:t xml:space="preserve"> </w:t>
      </w:r>
      <w:r>
        <w:rPr>
          <w:rFonts w:ascii="Times New Roman" w:hAnsi="Times New Roman" w:eastAsia="Times New Roman"/>
          <w:sz w:val="24"/>
        </w:rPr>
        <w:t xml:space="preserve">pairwise interactions in the nominal near-tie design are positive, about +0.025</w:t>
      </w:r>
      <w:r>
        <w:rPr>
          <w:rFonts w:ascii="Times New Roman" w:hAnsi="Times New Roman" w:eastAsia="Times New Roman"/>
          <w:sz w:val="24"/>
        </w:rPr>
        <w:t xml:space="preserve"> </w:t>
      </w:r>
      <w:r>
        <w:rPr>
          <w:rFonts w:ascii="Times New Roman" w:hAnsi="Times New Roman" w:eastAsia="Times New Roman"/>
          <w:sz w:val="24"/>
        </w:rPr>
        <w:t xml:space="preserve">for force generation plus logistics and +0.172 for logistics plus command, while</w:t>
      </w:r>
      <w:r>
        <w:rPr>
          <w:rFonts w:ascii="Times New Roman" w:hAnsi="Times New Roman" w:eastAsia="Times New Roman"/>
          <w:sz w:val="24"/>
        </w:rPr>
        <w:t xml:space="preserve"> </w:t>
      </w:r>
      <w:r>
        <w:rPr>
          <w:rFonts w:ascii="Times New Roman" w:hAnsi="Times New Roman" w:eastAsia="Times New Roman"/>
          <w:sz w:val="24"/>
        </w:rPr>
        <w:t xml:space="preserve">the corresponding three-way interaction is negative (-0.056). However, this pattern</w:t>
      </w:r>
      <w:r>
        <w:rPr>
          <w:rFonts w:ascii="Times New Roman" w:hAnsi="Times New Roman" w:eastAsia="Times New Roman"/>
          <w:sz w:val="24"/>
        </w:rPr>
        <w:t xml:space="preserve"> </w:t>
      </w:r>
      <w:r>
        <w:rPr>
          <w:rFonts w:ascii="Times New Roman" w:hAnsi="Times New Roman" w:eastAsia="Times New Roman"/>
          <w:sz w:val="24"/>
        </w:rPr>
        <w:t xml:space="preserve">must be interpreted with caution. In any bounded</w:t>
      </w:r>
      <w:r>
        <w:rPr>
          <w:rFonts w:ascii="Times New Roman" w:hAnsi="Times New Roman" w:eastAsia="Times New Roman"/>
          <w:sz w:val="24"/>
        </w:rPr>
        <w:t xml:space="preserve"> </w:t>
      </w:r>
      <m:oMath>
        <m:r>
          <m:rPr>
            <m:sty m:val="p"/>
          </m:rPr>
          <m:t>[</m:t>
        </m:r>
        <m:r>
          <m:t>0</m:t>
        </m:r>
        <m:r>
          <m:rPr>
            <m:sty m:val="p"/>
          </m:rPr>
          <m:t>,</m:t>
        </m:r>
        <m:r>
          <m:t>1</m:t>
        </m:r>
        <m:r>
          <m:rPr>
            <m:sty m:val="p"/>
          </m:rPr>
          <m:t>]</m:t>
        </m:r>
      </m:oMath>
      <w:r>
        <w:rPr>
          <w:rFonts w:ascii="Times New Roman" w:hAnsi="Times New Roman" w:eastAsia="Times New Roman"/>
          <w:sz w:val="24"/>
        </w:rPr>
        <w:t xml:space="preserve"> </w:t>
      </w:r>
      <w:r>
        <w:rPr>
          <w:rFonts w:ascii="Times New Roman" w:hAnsi="Times New Roman" w:eastAsia="Times New Roman"/>
          <w:sz w:val="24"/>
        </w:rPr>
        <w:t xml:space="preserve">metric, two strong positive</w:t>
      </w:r>
      <w:r>
        <w:rPr>
          <w:rFonts w:ascii="Times New Roman" w:hAnsi="Times New Roman" w:eastAsia="Times New Roman"/>
          <w:sz w:val="24"/>
        </w:rPr>
        <w:t xml:space="preserve"> </w:t>
      </w:r>
      <w:r>
        <w:rPr>
          <w:rFonts w:ascii="Times New Roman" w:hAnsi="Times New Roman" w:eastAsia="Times New Roman"/>
          <w:sz w:val="24"/>
        </w:rPr>
        <w:t xml:space="preserve">pairwise interventions can push system feasibility close to its theoretical upper bound.</w:t>
      </w:r>
      <w:r>
        <w:rPr>
          <w:rFonts w:ascii="Times New Roman" w:hAnsi="Times New Roman" w:eastAsia="Times New Roman"/>
          <w:sz w:val="24"/>
        </w:rPr>
        <w:t xml:space="preserve"> </w:t>
      </w:r>
      <w:r>
        <w:rPr>
          <w:rFonts w:ascii="Times New Roman" w:hAnsi="Times New Roman" w:eastAsia="Times New Roman"/>
          <w:sz w:val="24"/>
        </w:rPr>
        <w:t xml:space="preserve">When an outcome approaches saturation, the incremental gain available to a three-way</w:t>
      </w:r>
      <w:r>
        <w:rPr>
          <w:rFonts w:ascii="Times New Roman" w:hAnsi="Times New Roman" w:eastAsia="Times New Roman"/>
          <w:sz w:val="24"/>
        </w:rPr>
        <w:t xml:space="preserve"> </w:t>
      </w:r>
      <w:r>
        <w:rPr>
          <w:rFonts w:ascii="Times New Roman" w:hAnsi="Times New Roman" w:eastAsia="Times New Roman"/>
          <w:sz w:val="24"/>
        </w:rPr>
        <w:t xml:space="preserve">combination is mechanically capped, producing a negative three-way interaction as a generic</w:t>
      </w:r>
      <w:r>
        <w:rPr>
          <w:rFonts w:ascii="Times New Roman" w:hAnsi="Times New Roman" w:eastAsia="Times New Roman"/>
          <w:sz w:val="24"/>
        </w:rPr>
        <w:t xml:space="preserve"> </w:t>
      </w:r>
      <w:r>
        <w:rPr>
          <w:rFonts w:ascii="Times New Roman" w:hAnsi="Times New Roman" w:eastAsia="Times New Roman"/>
          <w:sz w:val="24"/>
        </w:rPr>
        <w:t xml:space="preserve">mathematical signature of compressive ceiling effects rather than genuine destructive</w:t>
      </w:r>
      <w:r>
        <w:rPr>
          <w:rFonts w:ascii="Times New Roman" w:hAnsi="Times New Roman" w:eastAsia="Times New Roman"/>
          <w:sz w:val="24"/>
        </w:rPr>
        <w:t xml:space="preserve"> </w:t>
      </w:r>
      <w:r>
        <w:rPr>
          <w:rFonts w:ascii="Times New Roman" w:hAnsi="Times New Roman" w:eastAsia="Times New Roman"/>
          <w:sz w:val="24"/>
        </w:rPr>
        <w:t xml:space="preserve">interference among the three investments. Combined with multiplicity and the failed</w:t>
      </w:r>
      <w:r>
        <w:rPr>
          <w:rFonts w:ascii="Times New Roman" w:hAnsi="Times New Roman" w:eastAsia="Times New Roman"/>
          <w:sz w:val="24"/>
        </w:rPr>
        <w:t xml:space="preserve"> </w:t>
      </w:r>
      <w:r>
        <w:rPr>
          <w:rFonts w:ascii="Times New Roman" w:hAnsi="Times New Roman" w:eastAsia="Times New Roman"/>
          <w:sz w:val="24"/>
        </w:rPr>
        <w:t xml:space="preserve">near-tie manipulation, this ceiling confound means that the conditional allocation question</w:t>
      </w:r>
      <w:r>
        <w:rPr>
          <w:rFonts w:ascii="Times New Roman" w:hAnsi="Times New Roman" w:eastAsia="Times New Roman"/>
          <w:sz w:val="24"/>
        </w:rPr>
        <w:t xml:space="preserve"> </w:t>
      </w:r>
      <w:r>
        <w:rPr>
          <w:rFonts w:ascii="Times New Roman" w:hAnsi="Times New Roman" w:eastAsia="Times New Roman"/>
          <w:sz w:val="24"/>
        </w:rPr>
        <w:t xml:space="preserve">for a verified multi-constraint near-tie remains open.</w:t>
      </w:r>
    </w:p>
    <w:bookmarkEnd w:id="108"/>
    <w:bookmarkStart w:id="109" w:name="supplemental-robustness"/>
    <w:p>
      <w:pPr>
        <w:pStyle w:val="Heading2"/>
        <w:keepNext/>
        <w:spacing w:line="480" w:lineRule="auto" w:after="0" w:before="120"/>
        <w:ind w:firstLine="0" w:left="0"/>
      </w:pPr>
      <w:r>
        <w:rPr>
          <w:rFonts w:ascii="Times New Roman" w:hAnsi="Times New Roman" w:eastAsia="Times New Roman"/>
          <w:b/>
          <w:i/>
          <w:sz w:val="24"/>
        </w:rPr>
        <w:t xml:space="preserve">5.11 Supplemental robustness</w:t>
      </w:r>
    </w:p>
    <w:p>
      <w:pPr>
        <w:pStyle w:val="FirstParagraph"/>
        <w:spacing w:line="480" w:lineRule="auto" w:before="0" w:after="0"/>
        <w:ind w:firstLine="720" w:left="0"/>
      </w:pPr>
      <w:r>
        <w:rPr>
          <w:rFonts w:ascii="Times New Roman" w:hAnsi="Times New Roman" w:eastAsia="Times New Roman"/>
          <w:sz w:val="24"/>
        </w:rPr>
        <w:t xml:space="preserve">Alternative service aggregators, the adversarial structural sidecar, complete Stage-5 contrasts, and distributional diagnostics are reported in the supplementary appendix. The sidecar establishes only that all three service channels can be terminal under adversarial structures; it is not treated as a global sensitivity analysis.</w:t>
      </w:r>
    </w:p>
    <w:bookmarkEnd w:id="109"/>
    <w:bookmarkEnd w:id="110"/>
    <w:bookmarkStart w:id="121" w:name="discussion"/>
    <w:p>
      <w:pPr>
        <w:pStyle w:val="Heading1"/>
        <w:keepNext/>
        <w:spacing w:line="480" w:lineRule="auto" w:after="0" w:before="240"/>
        <w:ind w:firstLine="0" w:left="0"/>
      </w:pPr>
      <w:r>
        <w:rPr>
          <w:rFonts w:ascii="Times New Roman" w:hAnsi="Times New Roman" w:eastAsia="Times New Roman"/>
          <w:b/>
          <w:i w:val="0"/>
          <w:sz w:val="24"/>
        </w:rPr>
        <w:t xml:space="preserve">6. Discussion</w:t>
      </w:r>
    </w:p>
    <w:bookmarkStart w:id="114" w:name="X8df49ab6024cf04d598c0e8c9c33bda53538421"/>
    <w:p>
      <w:pPr>
        <w:pStyle w:val="Heading2"/>
        <w:keepNext/>
        <w:spacing w:line="480" w:lineRule="auto" w:after="0" w:before="120"/>
        <w:ind w:firstLine="0" w:left="0"/>
      </w:pPr>
      <w:r>
        <w:rPr>
          <w:rFonts w:ascii="Times New Roman" w:hAnsi="Times New Roman" w:eastAsia="Times New Roman"/>
          <w:b/>
          <w:i/>
          <w:sz w:val="24"/>
        </w:rPr>
        <w:t xml:space="preserve">6.1 Separate outcomes, uneven mechanism identification</w:t>
      </w:r>
    </w:p>
    <w:p>
      <w:pPr>
        <w:pStyle w:val="FirstParagraph"/>
        <w:spacing w:line="480" w:lineRule="auto" w:before="0" w:after="0"/>
        <w:ind w:firstLine="720" w:left="0"/>
      </w:pPr>
      <w:r>
        <w:rPr>
          <w:rFonts w:ascii="Times New Roman" w:hAnsi="Times New Roman" w:eastAsia="Times New Roman"/>
          <w:sz w:val="24"/>
        </w:rPr>
        <w:t xml:space="preserve">The revised evidence changes the causal interpretation of the paper. The original manuscript treated constraint migration as the mechanism linking successful relief to lower indigenous coverage. The data do not support that claim. Migration is common when command or force generation is targeted, but the strongest terminal coverage penalties occur where logistics remains binding. In the Phase Map, migrated worlds with a positive early branch capability gap have a less negative mean terminal coverage contrast than non-migrated worlds. Constraint displacement is therefore not the mediator of the retention penalty.</w:t>
      </w:r>
    </w:p>
    <w:p>
      <w:pPr>
        <w:pStyle w:val="BodyText"/>
        <w:spacing w:line="480" w:lineRule="auto" w:before="0" w:after="0"/>
        <w:ind w:firstLine="720" w:left="0"/>
      </w:pPr>
      <w:r>
        <w:rPr>
          <w:rFonts w:ascii="Times New Roman" w:hAnsi="Times New Roman" w:eastAsia="Times New Roman"/>
          <w:sz w:val="24"/>
        </w:rPr>
        <w:t xml:space="preserve">What survives is more useful because it is more specific. The framework identifies two separate production problems, but the experiments identify them with different strength. Requirement expansion concerns the scale of service demand relative to indigenous production. The Stage-4 telemetry is consistent with that process, but the prospective demand-clamp test evaluated a static pre-split baseline coordinate rather than dynamic post-split coverage flows, preventing it from testing mediation. Constraint displacement concerns the marginal value of improving one complementary service after another becomes limiting and is directly observed in the Migration module. It can produce relief without material whole-force yield and without any negative retention effect.</w:t>
      </w:r>
    </w:p>
    <w:p>
      <w:pPr>
        <w:pStyle w:val="BodyText"/>
        <w:spacing w:line="480" w:lineRule="auto" w:before="0" w:after="0"/>
        <w:ind w:firstLine="720" w:left="0"/>
      </w:pPr>
      <w:r>
        <w:rPr>
          <w:rFonts w:ascii="Times New Roman" w:hAnsi="Times New Roman" w:eastAsia="Times New Roman"/>
          <w:sz w:val="24"/>
        </w:rPr>
        <w:t xml:space="preserve">This distinction connects security-assistance research to established theories without claiming novelty for generic bottleneck logic or donor dependence. Operations management already expects changing constraints.</w:t>
      </w:r>
      <w:r>
        <w:rPr>
          <w:rStyle w:val="FootnoteReference"/>
          <w:rFonts w:ascii="Times New Roman" w:hAnsi="Times New Roman" w:eastAsia="Times New Roman"/>
          <w:sz w:val="24"/>
        </w:rPr>
        <w:footnoteReference w:id="111"/>
      </w:r>
      <w:r>
        <w:rPr>
          <w:rFonts w:ascii="Times New Roman" w:hAnsi="Times New Roman" w:eastAsia="Times New Roman"/>
          <w:sz w:val="24"/>
        </w:rPr>
        <w:t xml:space="preserve"> Development economics already treats expansion as a source of new complementary requirements.</w:t>
      </w:r>
      <w:r>
        <w:rPr>
          <w:rStyle w:val="FootnoteReference"/>
          <w:rFonts w:ascii="Times New Roman" w:hAnsi="Times New Roman" w:eastAsia="Times New Roman"/>
          <w:sz w:val="24"/>
        </w:rPr>
        <w:footnoteReference w:id="112"/>
      </w:r>
      <w:r>
        <w:rPr>
          <w:rFonts w:ascii="Times New Roman" w:hAnsi="Times New Roman" w:eastAsia="Times New Roman"/>
          <w:sz w:val="24"/>
        </w:rPr>
        <w:t xml:space="preserve"> Aid research already recognizes recurrent-cost and absorptive-capacity problems.</w:t>
      </w:r>
      <w:r>
        <w:rPr>
          <w:rStyle w:val="FootnoteReference"/>
          <w:rFonts w:ascii="Times New Roman" w:hAnsi="Times New Roman" w:eastAsia="Times New Roman"/>
          <w:sz w:val="24"/>
        </w:rPr>
        <w:footnoteReference w:id="113"/>
      </w:r>
      <w:r>
        <w:rPr>
          <w:rFonts w:ascii="Times New Roman" w:hAnsi="Times New Roman" w:eastAsia="Times New Roman"/>
          <w:sz w:val="24"/>
        </w:rPr>
        <w:t xml:space="preserve"> The contribution is a military-production formulation that places supported capability, retained capability, service demand, indigenous production, and changing constraints in the same analytic framework, while making explicit what evidence would actually identify each proposed mechanism.</w:t>
      </w:r>
    </w:p>
    <w:bookmarkEnd w:id="114"/>
    <w:bookmarkStart w:id="115" w:name="why-the-no-aid-benchmark-matters"/>
    <w:p>
      <w:pPr>
        <w:pStyle w:val="Heading2"/>
        <w:keepNext/>
        <w:spacing w:line="480" w:lineRule="auto" w:after="0" w:before="120"/>
        <w:ind w:firstLine="0" w:left="0"/>
      </w:pPr>
      <w:r>
        <w:rPr>
          <w:rFonts w:ascii="Times New Roman" w:hAnsi="Times New Roman" w:eastAsia="Times New Roman"/>
          <w:b/>
          <w:i/>
          <w:sz w:val="24"/>
        </w:rPr>
        <w:t xml:space="preserve">6.2 Why the no-aid benchmark matters</w:t>
      </w:r>
    </w:p>
    <w:p>
      <w:pPr>
        <w:pStyle w:val="FirstParagraph"/>
        <w:spacing w:line="480" w:lineRule="auto" w:before="0" w:after="0"/>
        <w:ind w:firstLine="720" w:left="0"/>
      </w:pPr>
      <w:r>
        <w:rPr>
          <w:rFonts w:ascii="Times New Roman" w:hAnsi="Times New Roman" w:eastAsia="Times New Roman"/>
          <w:sz w:val="24"/>
        </w:rPr>
        <w:t xml:space="preserve">The distinction between a dependency gap and a net treatment effect is substantively important. If continued support outperforms withdrawal after 120 days of prior support, the donor is supplying something the withdrawal branch no longer has. That difference may represent valuable ongoing support. It may also reflect deterioration caused by the removal of an externally supported operating system. Without a matched no-aid benchmark, those possibilities cannot be separated.</w:t>
      </w:r>
    </w:p>
    <w:p>
      <w:pPr>
        <w:pStyle w:val="BodyText"/>
        <w:spacing w:line="480" w:lineRule="auto" w:before="0" w:after="0"/>
        <w:ind w:firstLine="720" w:left="0"/>
      </w:pPr>
      <w:r>
        <w:rPr>
          <w:rFonts w:ascii="Times New Roman" w:hAnsi="Times New Roman" w:eastAsia="Times New Roman"/>
          <w:sz w:val="24"/>
        </w:rPr>
        <w:t xml:space="preserve">The Phase Map demonstrates the point. The original frozen branch contrast classified 106 treated cells as having a positive mean +30-day continued-support advantage over withdrawal. The stricter no-aid comparison finds only 26 cells in which supported capability is above no aid while post-withdrawal capability is below no aid. Thirty cells are above no aid in both branches. Fifty-one are below no aid in both. A useful evaluation framework must therefore report at least three quantities: the supported effect relative to no aid, the retained effect relative to no aid, and the gap between continued support and withdrawal.</w:t>
      </w:r>
    </w:p>
    <w:p>
      <w:pPr>
        <w:pStyle w:val="BodyText"/>
        <w:spacing w:line="480" w:lineRule="auto" w:before="0" w:after="0"/>
        <w:ind w:firstLine="720" w:left="0"/>
      </w:pPr>
      <w:r>
        <w:rPr>
          <w:rFonts w:ascii="Times New Roman" w:hAnsi="Times New Roman" w:eastAsia="Times New Roman"/>
          <w:sz w:val="24"/>
        </w:rPr>
        <w:t xml:space="preserve">This also clarifies the meaning of the phrase</w:t>
      </w:r>
      <w:r>
        <w:rPr>
          <w:rFonts w:ascii="Times New Roman" w:hAnsi="Times New Roman" w:eastAsia="Times New Roman"/>
          <w:sz w:val="24"/>
        </w:rPr>
        <w:t xml:space="preserve"> </w:t>
      </w:r>
      <w:r>
        <w:rPr>
          <w:rFonts w:ascii="Times New Roman" w:hAnsi="Times New Roman" w:eastAsia="Times New Roman"/>
          <w:b/>
          <w:bCs/>
          <w:sz w:val="24"/>
        </w:rPr>
        <w:t xml:space="preserve">Suffering from Success</w:t>
      </w:r>
      <w:r>
        <w:rPr>
          <w:rFonts w:ascii="Times New Roman" w:hAnsi="Times New Roman" w:eastAsia="Times New Roman"/>
          <w:sz w:val="24"/>
        </w:rPr>
        <w:t xml:space="preserve">. It is not a description of every assistance program in the model. It denotes a conditional regime in which support produces a real capability gain but the supported system is not reproduced after withdrawal. The regime is analytically important precisely because it can be distinguished from simple program failure.</w:t>
      </w:r>
    </w:p>
    <w:bookmarkEnd w:id="115"/>
    <w:bookmarkStart w:id="116" w:name="Xbf362d39a6ffc6bb87349e42d744eeb08ba2e86"/>
    <w:p>
      <w:pPr>
        <w:pStyle w:val="Heading2"/>
        <w:keepNext/>
        <w:spacing w:line="480" w:lineRule="auto" w:after="0" w:before="120"/>
        <w:ind w:firstLine="0" w:left="0"/>
      </w:pPr>
      <w:r>
        <w:rPr>
          <w:rFonts w:ascii="Times New Roman" w:hAnsi="Times New Roman" w:eastAsia="Times New Roman"/>
          <w:b/>
          <w:i/>
          <w:sz w:val="24"/>
        </w:rPr>
        <w:t xml:space="preserve">6.3 Requirement expansion remains a candidate retention mechanism</w:t>
      </w:r>
    </w:p>
    <w:p>
      <w:pPr>
        <w:pStyle w:val="FirstParagraph"/>
        <w:spacing w:line="480" w:lineRule="auto" w:before="0" w:after="0"/>
        <w:ind w:firstLine="720" w:left="0"/>
      </w:pPr>
      <w:r>
        <w:rPr>
          <w:rFonts w:ascii="Times New Roman" w:hAnsi="Times New Roman" w:eastAsia="Times New Roman"/>
          <w:sz w:val="24"/>
        </w:rPr>
        <w:t xml:space="preserve">The post-completion telemetry analysis shows why the indigenous-coverage coordinate must be decomposed. In same-terminal logistics worlds with a negative coverage contrast, the continued-support branch usually faces higher logistics demand, while a smaller share also has lower indigenous delivery. On the log scale, both components matter, and requirement growth contributes slightly more to the average gap than indigenous-service decline. The standardized capped-coverage calculation points in the same direction. These are descriptive decompositions of realized Stage-4 trajectories, not causal mediation estimates.</w:t>
      </w:r>
    </w:p>
    <w:p>
      <w:pPr>
        <w:pStyle w:val="BodyText"/>
        <w:spacing w:line="480" w:lineRule="auto" w:before="0" w:after="0"/>
        <w:ind w:firstLine="720" w:left="0"/>
      </w:pPr>
      <w:r>
        <w:rPr>
          <w:rFonts w:ascii="Times New Roman" w:hAnsi="Times New Roman" w:eastAsia="Times New Roman"/>
          <w:sz w:val="24"/>
        </w:rPr>
        <w:t xml:space="preserve">The prospective demand-clamp experiment was intended to provide the stronger test and does not do so. Its manipulation check passes, and clamping logistics demand materially changes composite capability, especially in the M1 and M2 scenarios. However, the ablation runner evaluated the static pre-split baseline coordinate (</w:t>
      </w:r>
      <w:r>
        <w:rPr>
          <w:rStyle w:val="VerbatimChar"/>
          <w:rFonts w:ascii="Times New Roman" w:hAnsi="Times New Roman" w:eastAsia="Times New Roman"/>
          <w:sz w:val="24"/>
        </w:rPr>
        <w:t xml:space="preserve">formal_q_indigenous</w:t>
      </w:r>
      <w:r>
        <w:rPr>
          <w:rFonts w:ascii="Times New Roman" w:hAnsi="Times New Roman" w:eastAsia="Times New Roman"/>
          <w:sz w:val="24"/>
        </w:rPr>
        <w:t xml:space="preserve"> </w:t>
      </w:r>
      <w:r>
        <w:rPr>
          <w:rFonts w:ascii="Times New Roman" w:hAnsi="Times New Roman" w:eastAsia="Times New Roman"/>
          <w:sz w:val="24"/>
        </w:rPr>
        <w:t xml:space="preserve">at withdrawal day 120) rather than dynamic post-split coverage flows. Because both branches share an identical 120-day prehistory, their pre-split structural coordinates were identical by construction, structurally guaranteeing a zero branch gap across all 48 seeds and all five horizons. The zero attenuation estimate is thus an artifact of the static metric rather than evidence that requirement expansion is irrelevant or that fresh seeds failed to reproduce retention dynamics. The direct experiment therefore leaves requirement expansion unconfirmed as a causally identified retention mechanism.</w:t>
      </w:r>
    </w:p>
    <w:p>
      <w:pPr>
        <w:pStyle w:val="BodyText"/>
        <w:spacing w:line="480" w:lineRule="auto" w:before="0" w:after="0"/>
        <w:ind w:firstLine="720" w:left="0"/>
      </w:pPr>
      <w:r>
        <w:rPr>
          <w:rFonts w:ascii="Times New Roman" w:hAnsi="Times New Roman" w:eastAsia="Times New Roman"/>
          <w:sz w:val="24"/>
        </w:rPr>
        <w:t xml:space="preserve">That result does not imply that demand should be held fixed in substantive policy. A larger requirement can be the consequence of more activity, more surviving formations, more territory, or other real operational gains. The point is diagnostic. A falling service-to-demand ratio is not equivalent to destroyed indigenous capacity. It can instead mean that the force has grown into a larger sustainment problem. The policy question then becomes whether indigenous production can catch up with the supported operating requirement, not merely whether the ratio fell.</w:t>
      </w:r>
    </w:p>
    <w:p>
      <w:pPr>
        <w:pStyle w:val="BodyText"/>
        <w:spacing w:line="480" w:lineRule="auto" w:before="0" w:after="0"/>
        <w:ind w:firstLine="720" w:left="0"/>
      </w:pPr>
      <w:r>
        <w:rPr>
          <w:rFonts w:ascii="Times New Roman" w:hAnsi="Times New Roman" w:eastAsia="Times New Roman"/>
          <w:sz w:val="24"/>
        </w:rPr>
        <w:t xml:space="preserve">This is why the paper reports absolute capability alongside coverage and why the final interpretation does not equate a decomposed association with mechanism identification. A donor can improve supported capability, leave indigenous service unchanged or higher, and still create a larger post-support shortfall if the new operating system requires more service than the partner can produce alone. The Stage-4 telemetry contains that pattern, but confirming it causally requires a unified harness tracking dynamic post-withdrawal coverage ratios. Conversely, a coverage decline with no supported capability gain is not a success-induced retention problem. It is simply a poor outcome.</w:t>
      </w:r>
    </w:p>
    <w:bookmarkEnd w:id="116"/>
    <w:bookmarkStart w:id="117" w:name="X5fa7f77ea97c7bb1ef6fc82cdede1d354d3f852"/>
    <w:p>
      <w:pPr>
        <w:pStyle w:val="Heading2"/>
        <w:keepNext/>
        <w:spacing w:line="480" w:lineRule="auto" w:after="0" w:before="120"/>
        <w:ind w:firstLine="0" w:left="0"/>
      </w:pPr>
      <w:r>
        <w:rPr>
          <w:rFonts w:ascii="Times New Roman" w:hAnsi="Times New Roman" w:eastAsia="Times New Roman"/>
          <w:b/>
          <w:i/>
          <w:sz w:val="24"/>
        </w:rPr>
        <w:t xml:space="preserve">6.4 Constraint displacement is mainly a yield problem</w:t>
      </w:r>
    </w:p>
    <w:p>
      <w:pPr>
        <w:pStyle w:val="FirstParagraph"/>
        <w:spacing w:line="480" w:lineRule="auto" w:before="0" w:after="0"/>
        <w:ind w:firstLine="720" w:left="0"/>
      </w:pPr>
      <w:r>
        <w:rPr>
          <w:rFonts w:ascii="Times New Roman" w:hAnsi="Times New Roman" w:eastAsia="Times New Roman"/>
          <w:sz w:val="24"/>
        </w:rPr>
        <w:t xml:space="preserve">The Migration module gives bottleneck logic a different role. Command and force-generation constraints are easy to displace in the tested parameter region. Force-generation relief is the cleanest example: 46 of 46 observed-matched worlds migrate, yet the average +30-day composite-capability effect is essentially zero. The system changes, but the force barely improves because another service is already limiting.</w:t>
      </w:r>
    </w:p>
    <w:p>
      <w:pPr>
        <w:pStyle w:val="BodyText"/>
        <w:spacing w:line="480" w:lineRule="auto" w:before="0" w:after="0"/>
        <w:ind w:firstLine="720" w:left="0"/>
      </w:pPr>
      <w:r>
        <w:rPr>
          <w:rFonts w:ascii="Times New Roman" w:hAnsi="Times New Roman" w:eastAsia="Times New Roman"/>
          <w:sz w:val="24"/>
        </w:rPr>
        <w:t xml:space="preserve">This is the practical value of tracking constraint identity. Assistance can report a successful local output, such as more trained personnel or better command performance, while whole-force output remains flat. A program manager looking only at the treated subsystem would record progress. A system-level evaluation would ask whether the intervention changed the limiting service and whether any capability gain followed.</w:t>
      </w:r>
    </w:p>
    <w:p>
      <w:pPr>
        <w:pStyle w:val="BodyText"/>
        <w:spacing w:line="480" w:lineRule="auto" w:before="0" w:after="0"/>
        <w:ind w:firstLine="720" w:left="0"/>
      </w:pPr>
      <w:r>
        <w:rPr>
          <w:rFonts w:ascii="Times New Roman" w:hAnsi="Times New Roman" w:eastAsia="Times New Roman"/>
          <w:sz w:val="24"/>
        </w:rPr>
        <w:t xml:space="preserve">Static headroom is only a partial diagnostic for this problem. The post-completion reconstruction does not show a monotonic relationship between initial coverage spacing and realized yield. Once operations, losses, movement, stocks, and service demand respond endogenously, the initial distance between the first and second constraints is not a sufficient predictor. For applied use, direct measurement of the current constraint and the realized system response is more defensible than a simple headroom rule.</w:t>
      </w:r>
    </w:p>
    <w:bookmarkEnd w:id="117"/>
    <w:bookmarkStart w:id="118" w:name="assistance-modes-lie-on-a-frontier"/>
    <w:p>
      <w:pPr>
        <w:pStyle w:val="Heading2"/>
        <w:keepNext/>
        <w:spacing w:line="480" w:lineRule="auto" w:after="0" w:before="120"/>
        <w:ind w:firstLine="0" w:left="0"/>
      </w:pPr>
      <w:r>
        <w:rPr>
          <w:rFonts w:ascii="Times New Roman" w:hAnsi="Times New Roman" w:eastAsia="Times New Roman"/>
          <w:b/>
          <w:i/>
          <w:sz w:val="24"/>
        </w:rPr>
        <w:t xml:space="preserve">6.5 Assistance modes lie on a frontier</w:t>
      </w:r>
    </w:p>
    <w:p>
      <w:pPr>
        <w:pStyle w:val="FirstParagraph"/>
        <w:spacing w:line="480" w:lineRule="auto" w:before="0" w:after="0"/>
        <w:ind w:firstLine="720" w:left="0"/>
      </w:pPr>
      <w:r>
        <w:rPr>
          <w:rFonts w:ascii="Times New Roman" w:hAnsi="Times New Roman" w:eastAsia="Times New Roman"/>
          <w:sz w:val="24"/>
        </w:rPr>
        <w:t xml:space="preserve">The substitution-versus-development results also become clearer under the revised framework. Developmental logistics assistance produces more indigenous service and much better terminal coverage than substitution, but it is not uniformly superior on early capability and it carries a somewhat higher modeled donor cost. The relevant comparison is therefore not</w:t>
      </w:r>
      <w:r>
        <w:rPr>
          <w:rFonts w:ascii="Times New Roman" w:hAnsi="Times New Roman" w:eastAsia="Times New Roman"/>
          <w:sz w:val="24"/>
        </w:rPr>
        <w:t xml:space="preserve"> </w:t>
      </w:r>
      <w:r>
        <w:rPr>
          <w:rFonts w:ascii="Times New Roman" w:hAnsi="Times New Roman" w:eastAsia="Times New Roman"/>
          <w:sz w:val="24"/>
        </w:rPr>
        <w:t xml:space="preserve">“development good, substitution bad.”</w:t>
      </w:r>
      <w:r>
        <w:rPr>
          <w:rFonts w:ascii="Times New Roman" w:hAnsi="Times New Roman" w:eastAsia="Times New Roman"/>
          <w:sz w:val="24"/>
        </w:rPr>
        <w:t xml:space="preserve"> </w:t>
      </w:r>
      <w:r>
        <w:rPr>
          <w:rFonts w:ascii="Times New Roman" w:hAnsi="Times New Roman" w:eastAsia="Times New Roman"/>
          <w:sz w:val="24"/>
        </w:rPr>
        <w:t xml:space="preserve">It is a frontier among immediate supported performance, retained capability, indigenous service production, cost, and time.</w:t>
      </w:r>
    </w:p>
    <w:p>
      <w:pPr>
        <w:pStyle w:val="BodyText"/>
        <w:spacing w:line="480" w:lineRule="auto" w:before="0" w:after="0"/>
        <w:ind w:firstLine="720" w:left="0"/>
      </w:pPr>
      <w:r>
        <w:rPr>
          <w:rFonts w:ascii="Times New Roman" w:hAnsi="Times New Roman" w:eastAsia="Times New Roman"/>
          <w:sz w:val="24"/>
        </w:rPr>
        <w:t xml:space="preserve">This matters because real assistance programs face different objectives. A donor trying to prevent an immediate battlefield collapse may rationally value rapid substitution. A donor trying to reduce long-run external dependence should care more about partner-owned production. The model cannot assign the political value of those objectives. It can make the tradeoff visible and prevent one outcome from being mislabeled as another.</w:t>
      </w:r>
    </w:p>
    <w:p>
      <w:pPr>
        <w:pStyle w:val="BodyText"/>
        <w:spacing w:line="480" w:lineRule="auto" w:before="0" w:after="0"/>
        <w:ind w:firstLine="720" w:left="0"/>
      </w:pPr>
      <w:r>
        <w:rPr>
          <w:rFonts w:ascii="Times New Roman" w:hAnsi="Times New Roman" w:eastAsia="Times New Roman"/>
          <w:sz w:val="24"/>
        </w:rPr>
        <w:t xml:space="preserve">The force-generation result adds a systems warning. Development can succeed locally and still have zero whole-system return when a different service binds. Capacity building should therefore be evaluated both at the targeted subsystem and at the force level.</w:t>
      </w:r>
    </w:p>
    <w:bookmarkEnd w:id="118"/>
    <w:bookmarkStart w:id="119" w:name="X50607f457df597614c89da4cd325e467eed5b4b"/>
    <w:p>
      <w:pPr>
        <w:pStyle w:val="Heading2"/>
        <w:keepNext/>
        <w:spacing w:line="480" w:lineRule="auto" w:after="0" w:before="120"/>
        <w:ind w:firstLine="0" w:left="0"/>
      </w:pPr>
      <w:r>
        <w:rPr>
          <w:rFonts w:ascii="Times New Roman" w:hAnsi="Times New Roman" w:eastAsia="Times New Roman"/>
          <w:b/>
          <w:i/>
          <w:sz w:val="24"/>
        </w:rPr>
        <w:t xml:space="preserve">6.6 Coordinated development remains an open allocation problem</w:t>
      </w:r>
    </w:p>
    <w:p>
      <w:pPr>
        <w:pStyle w:val="FirstParagraph"/>
        <w:spacing w:line="480" w:lineRule="auto" w:before="0" w:after="0"/>
        <w:ind w:firstLine="720" w:left="0"/>
      </w:pPr>
      <w:r>
        <w:rPr>
          <w:rFonts w:ascii="Times New Roman" w:hAnsi="Times New Roman" w:eastAsia="Times New Roman"/>
          <w:sz w:val="24"/>
        </w:rPr>
        <w:t xml:space="preserve">Stage 5 does not provide the clean near-tie test originally intended because its nominal near-tie worlds become logistics-bound before the main comparison. The fixed-effort results are still informative about the realized single-bottleneck regimes: spreading a fixed dose across several services rarely beats concentrating it in the best included channel. But that result should not be generalized to genuinely co-binding systems.</w:t>
      </w:r>
    </w:p>
    <w:p>
      <w:pPr>
        <w:pStyle w:val="BodyText"/>
        <w:spacing w:line="480" w:lineRule="auto" w:before="0" w:after="0"/>
        <w:ind w:firstLine="720" w:left="0"/>
      </w:pPr>
      <w:r>
        <w:rPr>
          <w:rFonts w:ascii="Times New Roman" w:hAnsi="Times New Roman" w:eastAsia="Times New Roman"/>
          <w:sz w:val="24"/>
        </w:rPr>
        <w:t xml:space="preserve">The equal-dose factorial results offer narrower evidence that technical complementarities can exist. A small number of pairwise interactions are positive, including one materially large logistics-command interaction. Those interactions do not imply that broad allocation is efficient under a fixed budget, and multiplicity and ceiling effects limit strong claims. A future experiment should create and verify true near-ties at the treatment split before testing whether breadth becomes advantageous as the number of binding constraints increases.</w:t>
      </w:r>
    </w:p>
    <w:bookmarkEnd w:id="119"/>
    <w:bookmarkStart w:id="120" w:name="Xc3ab722fff295904b03dfc9e7859e24d6fd131c"/>
    <w:p>
      <w:pPr>
        <w:pStyle w:val="Heading2"/>
        <w:keepNext/>
        <w:spacing w:line="480" w:lineRule="auto" w:after="0" w:before="120"/>
        <w:ind w:firstLine="0" w:left="0"/>
      </w:pPr>
      <w:r>
        <w:rPr>
          <w:rFonts w:ascii="Times New Roman" w:hAnsi="Times New Roman" w:eastAsia="Times New Roman"/>
          <w:b/>
          <w:i/>
          <w:sz w:val="24"/>
        </w:rPr>
        <w:t xml:space="preserve">6.7 What a security-assistance evaluation should measure</w:t>
      </w:r>
    </w:p>
    <w:p>
      <w:pPr>
        <w:pStyle w:val="FirstParagraph"/>
        <w:spacing w:line="480" w:lineRule="auto" w:before="0" w:after="0"/>
        <w:ind w:firstLine="720" w:left="0"/>
      </w:pPr>
      <w:r>
        <w:rPr>
          <w:rFonts w:ascii="Times New Roman" w:hAnsi="Times New Roman" w:eastAsia="Times New Roman"/>
          <w:sz w:val="24"/>
        </w:rPr>
        <w:t xml:space="preserve">The results suggest a practical diagnostic sequence rather than a universal prescription:</w:t>
      </w:r>
    </w:p>
    <w:p>
      <w:pPr>
        <w:pStyle w:val="Compact"/>
        <w:numPr>
          <w:ilvl w:val="0"/>
          <w:numId w:val="1002"/>
        </w:numPr>
        <w:spacing w:line="480" w:lineRule="auto" w:before="0" w:after="0"/>
        <w:ind w:firstLine="720" w:left="0"/>
      </w:pPr>
      <w:r>
        <w:rPr>
          <w:rFonts w:ascii="Times New Roman" w:hAnsi="Times New Roman" w:eastAsia="Times New Roman"/>
          <w:sz w:val="24"/>
        </w:rPr>
        <w:t xml:space="preserve">Identify the service actually limiting whole-force performance, not only the service named in the program design.</w:t>
      </w:r>
    </w:p>
    <w:p>
      <w:pPr>
        <w:pStyle w:val="Compact"/>
        <w:numPr>
          <w:ilvl w:val="0"/>
          <w:numId w:val="1002"/>
        </w:numPr>
        <w:spacing w:line="480" w:lineRule="auto" w:before="0" w:after="0"/>
        <w:ind w:firstLine="720" w:left="0"/>
      </w:pPr>
      <w:r>
        <w:rPr>
          <w:rFonts w:ascii="Times New Roman" w:hAnsi="Times New Roman" w:eastAsia="Times New Roman"/>
          <w:sz w:val="24"/>
        </w:rPr>
        <w:t xml:space="preserve">Measure the local treatment effect on that service.</w:t>
      </w:r>
    </w:p>
    <w:p>
      <w:pPr>
        <w:pStyle w:val="Compact"/>
        <w:numPr>
          <w:ilvl w:val="0"/>
          <w:numId w:val="1002"/>
        </w:numPr>
        <w:spacing w:line="480" w:lineRule="auto" w:before="0" w:after="0"/>
        <w:ind w:firstLine="720" w:left="0"/>
      </w:pPr>
      <w:r>
        <w:rPr>
          <w:rFonts w:ascii="Times New Roman" w:hAnsi="Times New Roman" w:eastAsia="Times New Roman"/>
          <w:sz w:val="24"/>
        </w:rPr>
        <w:t xml:space="preserve">Measure the whole-force capability effect relative to a credible no-aid benchmark where possible.</w:t>
      </w:r>
    </w:p>
    <w:p>
      <w:pPr>
        <w:pStyle w:val="Compact"/>
        <w:numPr>
          <w:ilvl w:val="0"/>
          <w:numId w:val="1002"/>
        </w:numPr>
        <w:spacing w:line="480" w:lineRule="auto" w:before="0" w:after="0"/>
        <w:ind w:firstLine="720" w:left="0"/>
      </w:pPr>
      <w:r>
        <w:rPr>
          <w:rFonts w:ascii="Times New Roman" w:hAnsi="Times New Roman" w:eastAsia="Times New Roman"/>
          <w:sz w:val="24"/>
        </w:rPr>
        <w:t xml:space="preserve">Track how the intervention changes service requirements as well as indigenous production.</w:t>
      </w:r>
    </w:p>
    <w:p>
      <w:pPr>
        <w:pStyle w:val="Compact"/>
        <w:numPr>
          <w:ilvl w:val="0"/>
          <w:numId w:val="1002"/>
        </w:numPr>
        <w:spacing w:line="480" w:lineRule="auto" w:before="0" w:after="0"/>
        <w:ind w:firstLine="720" w:left="0"/>
      </w:pPr>
      <w:r>
        <w:rPr>
          <w:rFonts w:ascii="Times New Roman" w:hAnsi="Times New Roman" w:eastAsia="Times New Roman"/>
          <w:sz w:val="24"/>
        </w:rPr>
        <w:t xml:space="preserve">After support changes, measure retained capability relative to the same benchmark.</w:t>
      </w:r>
    </w:p>
    <w:p>
      <w:pPr>
        <w:pStyle w:val="Compact"/>
        <w:numPr>
          <w:ilvl w:val="0"/>
          <w:numId w:val="1002"/>
        </w:numPr>
        <w:spacing w:line="480" w:lineRule="auto" w:before="0" w:after="0"/>
        <w:ind w:firstLine="720" w:left="0"/>
      </w:pPr>
      <w:r>
        <w:rPr>
          <w:rFonts w:ascii="Times New Roman" w:hAnsi="Times New Roman" w:eastAsia="Times New Roman"/>
          <w:sz w:val="24"/>
        </w:rPr>
        <w:t xml:space="preserve">Record whether another service becomes limiting and whether that displacement materially changes system yield.</w:t>
      </w:r>
    </w:p>
    <w:p>
      <w:pPr>
        <w:pStyle w:val="Compact"/>
        <w:numPr>
          <w:ilvl w:val="0"/>
          <w:numId w:val="1002"/>
        </w:numPr>
        <w:spacing w:line="480" w:lineRule="auto" w:before="0" w:after="0"/>
        <w:ind w:firstLine="720" w:left="0"/>
      </w:pPr>
      <w:r>
        <w:rPr>
          <w:rFonts w:ascii="Times New Roman" w:hAnsi="Times New Roman" w:eastAsia="Times New Roman"/>
          <w:sz w:val="24"/>
        </w:rPr>
        <w:t xml:space="preserve">Compare assistance architectures on capability, retention, time, and cost rather than one metric alone.</w:t>
      </w:r>
    </w:p>
    <w:p>
      <w:pPr>
        <w:pStyle w:val="FirstParagraph"/>
        <w:spacing w:line="480" w:lineRule="auto" w:before="0" w:after="0"/>
        <w:ind w:firstLine="720" w:left="0"/>
      </w:pPr>
      <w:r>
        <w:rPr>
          <w:rFonts w:ascii="Times New Roman" w:hAnsi="Times New Roman" w:eastAsia="Times New Roman"/>
          <w:sz w:val="24"/>
        </w:rPr>
        <w:t xml:space="preserve">This framework is compatible with political explanations rather than a substitute for them. Recipient incentives determine whether capacity investments are adopted and maintained. Patronage, corruption, command politics, coalition dynamics, and donor leverage shape both indigenous production and the operating requirement. The production model isolates one set of mechanisms conditional on those political processes. It should be combined with, not used to displace, agency and institutional analysis.</w:t>
      </w:r>
    </w:p>
    <w:bookmarkEnd w:id="120"/>
    <w:bookmarkEnd w:id="121"/>
    <w:bookmarkStart w:id="129" w:name="Xafcc4918997ea7bd4b3b56ea75c313f69ea6a79"/>
    <w:p>
      <w:pPr>
        <w:pStyle w:val="Heading1"/>
        <w:keepNext/>
        <w:spacing w:line="480" w:lineRule="auto" w:after="0" w:before="240"/>
        <w:ind w:firstLine="0" w:left="0"/>
      </w:pPr>
      <w:r>
        <w:rPr>
          <w:rFonts w:ascii="Times New Roman" w:hAnsi="Times New Roman" w:eastAsia="Times New Roman"/>
          <w:b/>
          <w:i w:val="0"/>
          <w:sz w:val="24"/>
        </w:rPr>
        <w:t xml:space="preserve">7. External Validity and Historical Validation</w:t>
      </w:r>
    </w:p>
    <w:p>
      <w:pPr>
        <w:pStyle w:val="FirstParagraph"/>
        <w:spacing w:line="480" w:lineRule="auto" w:before="0" w:after="0"/>
        <w:ind w:firstLine="720" w:left="0"/>
      </w:pPr>
      <w:r>
        <w:rPr>
          <w:rFonts w:ascii="Times New Roman" w:hAnsi="Times New Roman" w:eastAsia="Times New Roman"/>
          <w:sz w:val="24"/>
        </w:rPr>
        <w:t xml:space="preserve">The synthetic experiments are designed to establish internal causal logic under</w:t>
      </w:r>
      <w:r>
        <w:rPr>
          <w:rFonts w:ascii="Times New Roman" w:hAnsi="Times New Roman" w:eastAsia="Times New Roman"/>
          <w:sz w:val="24"/>
        </w:rPr>
        <w:t xml:space="preserve"> </w:t>
      </w:r>
      <w:r>
        <w:rPr>
          <w:rFonts w:ascii="Times New Roman" w:hAnsi="Times New Roman" w:eastAsia="Times New Roman"/>
          <w:sz w:val="24"/>
        </w:rPr>
        <w:t xml:space="preserve">explicit model assumptions. External validity requires a different evidentiary</w:t>
      </w:r>
      <w:r>
        <w:rPr>
          <w:rFonts w:ascii="Times New Roman" w:hAnsi="Times New Roman" w:eastAsia="Times New Roman"/>
          <w:sz w:val="24"/>
        </w:rPr>
        <w:t xml:space="preserve"> </w:t>
      </w:r>
      <w:r>
        <w:rPr>
          <w:rFonts w:ascii="Times New Roman" w:hAnsi="Times New Roman" w:eastAsia="Times New Roman"/>
          <w:sz w:val="24"/>
        </w:rPr>
        <w:t xml:space="preserve">strategy. Historical validation should therefore test observable implications</w:t>
      </w:r>
      <w:r>
        <w:rPr>
          <w:rFonts w:ascii="Times New Roman" w:hAnsi="Times New Roman" w:eastAsia="Times New Roman"/>
          <w:sz w:val="24"/>
        </w:rPr>
        <w:t xml:space="preserve"> </w:t>
      </w:r>
      <w:r>
        <w:rPr>
          <w:rFonts w:ascii="Times New Roman" w:hAnsi="Times New Roman" w:eastAsia="Times New Roman"/>
          <w:sz w:val="24"/>
        </w:rPr>
        <w:t xml:space="preserve">of the mechanism rather than search for cases that merely resemble the model.</w:t>
      </w:r>
    </w:p>
    <w:p>
      <w:pPr>
        <w:pStyle w:val="BodyText"/>
        <w:spacing w:line="480" w:lineRule="auto" w:before="0" w:after="0"/>
        <w:ind w:firstLine="720" w:left="0"/>
      </w:pPr>
      <w:r>
        <w:rPr>
          <w:rFonts w:ascii="Times New Roman" w:hAnsi="Times New Roman" w:eastAsia="Times New Roman"/>
          <w:sz w:val="24"/>
        </w:rPr>
        <w:t xml:space="preserve">The historical unit of analysis is an</w:t>
      </w:r>
      <w:r>
        <w:rPr>
          <w:rFonts w:ascii="Times New Roman" w:hAnsi="Times New Roman" w:eastAsia="Times New Roman"/>
          <w:sz w:val="24"/>
        </w:rPr>
        <w:t xml:space="preserve"> </w:t>
      </w:r>
      <w:r>
        <w:rPr>
          <w:rFonts w:ascii="Times New Roman" w:hAnsi="Times New Roman" w:eastAsia="Times New Roman"/>
          <w:b/>
          <w:bCs/>
          <w:sz w:val="24"/>
        </w:rPr>
        <w:t xml:space="preserve">assistance episode by military-service</w:t>
      </w:r>
      <w:r>
        <w:rPr>
          <w:rFonts w:ascii="Times New Roman" w:hAnsi="Times New Roman" w:eastAsia="Times New Roman"/>
          <w:b/>
          <w:bCs/>
          <w:sz w:val="24"/>
        </w:rPr>
        <w:t xml:space="preserve"> </w:t>
      </w:r>
      <w:r>
        <w:rPr>
          <w:rFonts w:ascii="Times New Roman" w:hAnsi="Times New Roman" w:eastAsia="Times New Roman"/>
          <w:b/>
          <w:bCs/>
          <w:sz w:val="24"/>
        </w:rPr>
        <w:t xml:space="preserve">constraint by time</w:t>
      </w:r>
      <w:r>
        <w:rPr>
          <w:rFonts w:ascii="Times New Roman" w:hAnsi="Times New Roman" w:eastAsia="Times New Roman"/>
          <w:sz w:val="24"/>
        </w:rPr>
        <w:t xml:space="preserve">. For each episode, the protocol asks whether seven</w:t>
      </w:r>
      <w:r>
        <w:rPr>
          <w:rFonts w:ascii="Times New Roman" w:hAnsi="Times New Roman" w:eastAsia="Times New Roman"/>
          <w:sz w:val="24"/>
        </w:rPr>
        <w:t xml:space="preserve"> </w:t>
      </w:r>
      <w:r>
        <w:rPr>
          <w:rFonts w:ascii="Times New Roman" w:hAnsi="Times New Roman" w:eastAsia="Times New Roman"/>
          <w:sz w:val="24"/>
        </w:rPr>
        <w:t xml:space="preserve">observable implications can be identified: the initial limiting service, the</w:t>
      </w:r>
      <w:r>
        <w:rPr>
          <w:rFonts w:ascii="Times New Roman" w:hAnsi="Times New Roman" w:eastAsia="Times New Roman"/>
          <w:sz w:val="24"/>
        </w:rPr>
        <w:t xml:space="preserve"> </w:t>
      </w:r>
      <w:r>
        <w:rPr>
          <w:rFonts w:ascii="Times New Roman" w:hAnsi="Times New Roman" w:eastAsia="Times New Roman"/>
          <w:sz w:val="24"/>
        </w:rPr>
        <w:t xml:space="preserve">assistance directed at it, improvement in the targeted function, expansion or</w:t>
      </w:r>
      <w:r>
        <w:rPr>
          <w:rFonts w:ascii="Times New Roman" w:hAnsi="Times New Roman" w:eastAsia="Times New Roman"/>
          <w:sz w:val="24"/>
        </w:rPr>
        <w:t xml:space="preserve"> </w:t>
      </w:r>
      <w:r>
        <w:rPr>
          <w:rFonts w:ascii="Times New Roman" w:hAnsi="Times New Roman" w:eastAsia="Times New Roman"/>
          <w:sz w:val="24"/>
        </w:rPr>
        <w:t xml:space="preserve">change in the operating requirement, migration or persistence of the limiting</w:t>
      </w:r>
      <w:r>
        <w:rPr>
          <w:rFonts w:ascii="Times New Roman" w:hAnsi="Times New Roman" w:eastAsia="Times New Roman"/>
          <w:sz w:val="24"/>
        </w:rPr>
        <w:t xml:space="preserve"> </w:t>
      </w:r>
      <w:r>
        <w:rPr>
          <w:rFonts w:ascii="Times New Roman" w:hAnsi="Times New Roman" w:eastAsia="Times New Roman"/>
          <w:sz w:val="24"/>
        </w:rPr>
        <w:t xml:space="preserve">constraint, the degree of indigenous replacement, and the response to a support</w:t>
      </w:r>
      <w:r>
        <w:rPr>
          <w:rFonts w:ascii="Times New Roman" w:hAnsi="Times New Roman" w:eastAsia="Times New Roman"/>
          <w:sz w:val="24"/>
        </w:rPr>
        <w:t xml:space="preserve"> </w:t>
      </w:r>
      <w:r>
        <w:rPr>
          <w:rFonts w:ascii="Times New Roman" w:hAnsi="Times New Roman" w:eastAsia="Times New Roman"/>
          <w:sz w:val="24"/>
        </w:rPr>
        <w:t xml:space="preserve">reduction or withdrawal shock. The purpose is process validation. Historical</w:t>
      </w:r>
      <w:r>
        <w:rPr>
          <w:rFonts w:ascii="Times New Roman" w:hAnsi="Times New Roman" w:eastAsia="Times New Roman"/>
          <w:sz w:val="24"/>
        </w:rPr>
        <w:t xml:space="preserve"> </w:t>
      </w:r>
      <w:r>
        <w:rPr>
          <w:rFonts w:ascii="Times New Roman" w:hAnsi="Times New Roman" w:eastAsia="Times New Roman"/>
          <w:sz w:val="24"/>
        </w:rPr>
        <w:t xml:space="preserve">evidence can show that the proposed sequence exists outside the model and can</w:t>
      </w:r>
      <w:r>
        <w:rPr>
          <w:rFonts w:ascii="Times New Roman" w:hAnsi="Times New Roman" w:eastAsia="Times New Roman"/>
          <w:sz w:val="24"/>
        </w:rPr>
        <w:t xml:space="preserve"> </w:t>
      </w:r>
      <w:r>
        <w:rPr>
          <w:rFonts w:ascii="Times New Roman" w:hAnsi="Times New Roman" w:eastAsia="Times New Roman"/>
          <w:sz w:val="24"/>
        </w:rPr>
        <w:t xml:space="preserve">identify important scope conditions. It cannot convert the synthetic treatment</w:t>
      </w:r>
      <w:r>
        <w:rPr>
          <w:rFonts w:ascii="Times New Roman" w:hAnsi="Times New Roman" w:eastAsia="Times New Roman"/>
          <w:sz w:val="24"/>
        </w:rPr>
        <w:t xml:space="preserve"> </w:t>
      </w:r>
      <w:r>
        <w:rPr>
          <w:rFonts w:ascii="Times New Roman" w:hAnsi="Times New Roman" w:eastAsia="Times New Roman"/>
          <w:sz w:val="24"/>
        </w:rPr>
        <w:t xml:space="preserve">effects into empirical causal estimates.</w:t>
      </w:r>
    </w:p>
    <w:p>
      <w:pPr>
        <w:pStyle w:val="BodyText"/>
        <w:spacing w:line="480" w:lineRule="auto" w:before="0" w:after="0"/>
        <w:ind w:firstLine="720" w:left="0"/>
      </w:pPr>
      <w:r>
        <w:rPr>
          <w:rFonts w:ascii="Times New Roman" w:hAnsi="Times New Roman" w:eastAsia="Times New Roman"/>
          <w:sz w:val="24"/>
        </w:rPr>
        <w:t xml:space="preserve">The protocol froze four cases before systematic coding:</w:t>
      </w:r>
      <w:r>
        <w:rPr>
          <w:rFonts w:ascii="Times New Roman" w:hAnsi="Times New Roman" w:eastAsia="Times New Roman"/>
          <w:sz w:val="24"/>
        </w:rPr>
        <w:t xml:space="preserve"> </w:t>
      </w:r>
      <w:r>
        <w:rPr>
          <w:rFonts w:ascii="Times New Roman" w:hAnsi="Times New Roman" w:eastAsia="Times New Roman"/>
          <w:sz w:val="24"/>
        </w:rPr>
        <w:t xml:space="preserve">Afghanistan, Iraq, Mali, and Colombia. They are selected for theoretical</w:t>
      </w:r>
      <w:r>
        <w:rPr>
          <w:rFonts w:ascii="Times New Roman" w:hAnsi="Times New Roman" w:eastAsia="Times New Roman"/>
          <w:sz w:val="24"/>
        </w:rPr>
        <w:t xml:space="preserve"> </w:t>
      </w:r>
      <w:r>
        <w:rPr>
          <w:rFonts w:ascii="Times New Roman" w:hAnsi="Times New Roman" w:eastAsia="Times New Roman"/>
          <w:sz w:val="24"/>
        </w:rPr>
        <w:t xml:space="preserve">variation rather than because all four are expected to support the argument.</w:t>
      </w:r>
    </w:p>
    <w:tbl>
      <w:tblPr>
        <w:tblStyle w:val="Table"/>
        <w:tblW w:type="pct" w:w="5000"/>
        <w:tblLayout w:type="fixed"/>
        <w:tblLook w:firstRow="1" w:lastRow="0" w:firstColumn="0" w:lastColumn="0" w:noHBand="0" w:noVBand="0" w:val="0020"/>
        <w:jc w:val="center"/>
        <w:tblBorders>
          <w:top w:val="single" w:sz="12" w:space="0" w:color="000000"/>
          <w:left w:val="none"/>
          <w:bottom w:val="single" w:sz="12" w:space="0" w:color="000000"/>
          <w:right w:val="none"/>
          <w:insideH w:val="none"/>
          <w:insideV w:val="none"/>
        </w:tblBorders>
        <w:tblCellMar>
          <w:top w:w="120" w:type="dxa"/>
          <w:bottom w:w="120" w:type="dxa"/>
          <w:left w:w="160" w:type="dxa"/>
          <w:right w:w="160" w:type="dxa"/>
        </w:tblCellMar>
      </w:tblPr>
      <w:tblGrid>
        <w:gridCol w:w="2640"/>
        <w:gridCol w:w="2640"/>
        <w:gridCol w:w="2640"/>
      </w:tblGrid>
      <w:tr>
        <w:trPr>
          <w:tblHeader w:val="on"/>
          <w:cantSplit/>
          <w:tblHeader/>
        </w:trPr>
        <w:tc>
          <w:tcPr>
            <w:tcBorders>
              <w:bottom w:val="single" w:sz="6" w:space="0" w:color="000000"/>
              <w:top w:val="none"/>
              <w:left w:val="none"/>
              <w:right w:val="none"/>
            </w:tcBorders>
          </w:tcPr>
          <w:p>
            <w:pPr>
              <w:pStyle w:val="Compact"/>
              <w:keepNext/>
              <w:spacing w:line="252" w:lineRule="auto" w:after="40" w:before="40"/>
              <w:ind w:firstLine="0" w:left="0"/>
            </w:pPr>
            <w:r>
              <w:rPr>
                <w:rFonts w:ascii="Times New Roman" w:hAnsi="Times New Roman" w:eastAsia="Times New Roman"/>
                <w:b/>
                <w:sz w:val="19"/>
              </w:rPr>
              <w:t xml:space="preserve">Case</w:t>
            </w:r>
          </w:p>
        </w:tc>
        <w:tc>
          <w:tcPr>
            <w:tcBorders>
              <w:bottom w:val="single" w:sz="6" w:space="0" w:color="000000"/>
              <w:top w:val="none"/>
              <w:left w:val="none"/>
              <w:right w:val="none"/>
            </w:tcBorders>
          </w:tcPr>
          <w:p>
            <w:pPr>
              <w:pStyle w:val="Compact"/>
              <w:keepNext/>
              <w:spacing w:line="252" w:lineRule="auto" w:after="40" w:before="40"/>
              <w:ind w:firstLine="0" w:left="0"/>
            </w:pPr>
            <w:r>
              <w:rPr>
                <w:rFonts w:ascii="Times New Roman" w:hAnsi="Times New Roman" w:eastAsia="Times New Roman"/>
                <w:b/>
                <w:sz w:val="19"/>
              </w:rPr>
              <w:t xml:space="preserve">Intended evidentiary role</w:t>
            </w:r>
          </w:p>
        </w:tc>
        <w:tc>
          <w:tcPr>
            <w:tcBorders>
              <w:bottom w:val="single" w:sz="6" w:space="0" w:color="000000"/>
              <w:top w:val="none"/>
              <w:left w:val="none"/>
              <w:right w:val="none"/>
            </w:tcBorders>
          </w:tcPr>
          <w:p>
            <w:pPr>
              <w:pStyle w:val="Compact"/>
              <w:keepNext/>
              <w:spacing w:line="252" w:lineRule="auto" w:after="40" w:before="40"/>
              <w:ind w:firstLine="0" w:left="0"/>
            </w:pPr>
            <w:r>
              <w:rPr>
                <w:rFonts w:ascii="Times New Roman" w:hAnsi="Times New Roman" w:eastAsia="Times New Roman"/>
                <w:b/>
                <w:sz w:val="19"/>
              </w:rPr>
              <w:t xml:space="preserve">Main question for the theory</w:t>
            </w:r>
          </w:p>
        </w:tc>
      </w:tr>
      <w:tr>
        <w:trPr>
          <w:cantSplit/>
        </w:trPr>
        <w:tc>
          <w:tcPr/>
          <w:p>
            <w:pPr>
              <w:pStyle w:val="Compact"/>
              <w:keepNext/>
              <w:spacing w:line="252" w:lineRule="auto" w:after="40" w:before="40"/>
              <w:ind w:firstLine="0" w:left="0"/>
            </w:pPr>
            <w:r>
              <w:rPr>
                <w:rFonts w:ascii="Times New Roman" w:hAnsi="Times New Roman" w:eastAsia="Times New Roman"/>
                <w:sz w:val="19"/>
              </w:rPr>
              <w:t xml:space="preserve">Afghanistan</w:t>
            </w:r>
          </w:p>
        </w:tc>
        <w:tc>
          <w:tcPr/>
          <w:p>
            <w:pPr>
              <w:pStyle w:val="Compact"/>
              <w:keepNext/>
              <w:spacing w:line="252" w:lineRule="auto" w:after="40" w:before="40"/>
              <w:ind w:firstLine="0" w:left="0"/>
            </w:pPr>
            <w:r>
              <w:rPr>
                <w:rFonts w:ascii="Times New Roman" w:hAnsi="Times New Roman" w:eastAsia="Times New Roman"/>
                <w:sz w:val="19"/>
              </w:rPr>
              <w:t xml:space="preserve">High-support, high-substitution episode with a major withdrawal shock</w:t>
            </w:r>
          </w:p>
        </w:tc>
        <w:tc>
          <w:tcPr/>
          <w:p>
            <w:pPr>
              <w:pStyle w:val="Compact"/>
              <w:keepNext/>
              <w:spacing w:line="252" w:lineRule="auto" w:after="40" w:before="40"/>
              <w:ind w:firstLine="0" w:left="0"/>
            </w:pPr>
            <w:r>
              <w:rPr>
                <w:rFonts w:ascii="Times New Roman" w:hAnsi="Times New Roman" w:eastAsia="Times New Roman"/>
                <w:sz w:val="19"/>
              </w:rPr>
              <w:t xml:space="preserve">Can supported sophistication outrun indigenous replacement even when the externally supplied function remains the core constraint?</w:t>
            </w:r>
          </w:p>
        </w:tc>
      </w:tr>
      <w:tr>
        <w:trPr>
          <w:cantSplit/>
        </w:trPr>
        <w:tc>
          <w:tcPr/>
          <w:p>
            <w:pPr>
              <w:pStyle w:val="Compact"/>
              <w:keepNext/>
              <w:spacing w:line="252" w:lineRule="auto" w:after="40" w:before="40"/>
              <w:ind w:firstLine="0" w:left="0"/>
            </w:pPr>
            <w:r>
              <w:rPr>
                <w:rFonts w:ascii="Times New Roman" w:hAnsi="Times New Roman" w:eastAsia="Times New Roman"/>
                <w:sz w:val="19"/>
              </w:rPr>
              <w:t xml:space="preserve">Iraq</w:t>
            </w:r>
          </w:p>
        </w:tc>
        <w:tc>
          <w:tcPr/>
          <w:p>
            <w:pPr>
              <w:pStyle w:val="Compact"/>
              <w:keepNext/>
              <w:spacing w:line="252" w:lineRule="auto" w:after="40" w:before="40"/>
              <w:ind w:firstLine="0" w:left="0"/>
            </w:pPr>
            <w:r>
              <w:rPr>
                <w:rFonts w:ascii="Times New Roman" w:hAnsi="Times New Roman" w:eastAsia="Times New Roman"/>
                <w:sz w:val="19"/>
              </w:rPr>
              <w:t xml:space="preserve">Force-generation and institutional expansion under heavy external assistance</w:t>
            </w:r>
          </w:p>
        </w:tc>
        <w:tc>
          <w:tcPr/>
          <w:p>
            <w:pPr>
              <w:pStyle w:val="Compact"/>
              <w:keepNext/>
              <w:spacing w:line="252" w:lineRule="auto" w:after="40" w:before="40"/>
              <w:ind w:firstLine="0" w:left="0"/>
            </w:pPr>
            <w:r>
              <w:rPr>
                <w:rFonts w:ascii="Times New Roman" w:hAnsi="Times New Roman" w:eastAsia="Times New Roman"/>
                <w:sz w:val="19"/>
              </w:rPr>
              <w:t xml:space="preserve">Does improvement in force generation reveal sustainment or logistics as a subsequent system constraint?</w:t>
            </w:r>
          </w:p>
        </w:tc>
      </w:tr>
      <w:tr>
        <w:trPr>
          <w:cantSplit/>
        </w:trPr>
        <w:tc>
          <w:tcPr/>
          <w:p>
            <w:pPr>
              <w:pStyle w:val="Compact"/>
              <w:keepNext/>
              <w:spacing w:line="252" w:lineRule="auto" w:after="40" w:before="40"/>
              <w:ind w:firstLine="0" w:left="0"/>
            </w:pPr>
            <w:r>
              <w:rPr>
                <w:rFonts w:ascii="Times New Roman" w:hAnsi="Times New Roman" w:eastAsia="Times New Roman"/>
                <w:sz w:val="19"/>
              </w:rPr>
              <w:t xml:space="preserve">Mali</w:t>
            </w:r>
          </w:p>
        </w:tc>
        <w:tc>
          <w:tcPr/>
          <w:p>
            <w:pPr>
              <w:pStyle w:val="Compact"/>
              <w:keepNext/>
              <w:spacing w:line="252" w:lineRule="auto" w:after="40" w:before="40"/>
              <w:ind w:firstLine="0" w:left="0"/>
            </w:pPr>
            <w:r>
              <w:rPr>
                <w:rFonts w:ascii="Times New Roman" w:hAnsi="Times New Roman" w:eastAsia="Times New Roman"/>
                <w:sz w:val="19"/>
              </w:rPr>
              <w:t xml:space="preserve">Politically fragmented, multi-provider and difficult case</w:t>
            </w:r>
          </w:p>
        </w:tc>
        <w:tc>
          <w:tcPr/>
          <w:p>
            <w:pPr>
              <w:pStyle w:val="Compact"/>
              <w:keepNext/>
              <w:spacing w:line="252" w:lineRule="auto" w:after="40" w:before="40"/>
              <w:ind w:firstLine="0" w:left="0"/>
            </w:pPr>
            <w:r>
              <w:rPr>
                <w:rFonts w:ascii="Times New Roman" w:hAnsi="Times New Roman" w:eastAsia="Times New Roman"/>
                <w:sz w:val="19"/>
              </w:rPr>
              <w:t xml:space="preserve">Does the production mechanism survive where political fragmentation and provider diversity complicate a clean constraint sequence?</w:t>
            </w:r>
          </w:p>
        </w:tc>
      </w:tr>
      <w:tr>
        <w:trPr>
          <w:cantSplit/>
        </w:trPr>
        <w:tc>
          <w:tcPr/>
          <w:p>
            <w:pPr>
              <w:pStyle w:val="Compact"/>
              <w:spacing w:line="252" w:lineRule="auto" w:after="40" w:before="40"/>
              <w:ind w:firstLine="0" w:left="0"/>
            </w:pPr>
            <w:r>
              <w:rPr>
                <w:rFonts w:ascii="Times New Roman" w:hAnsi="Times New Roman" w:eastAsia="Times New Roman"/>
                <w:sz w:val="19"/>
              </w:rPr>
              <w:t xml:space="preserve">Colombia</w:t>
            </w:r>
          </w:p>
        </w:tc>
        <w:tc>
          <w:tcPr/>
          <w:p>
            <w:pPr>
              <w:pStyle w:val="Compact"/>
              <w:spacing w:line="252" w:lineRule="auto" w:after="40" w:before="40"/>
              <w:ind w:firstLine="0" w:left="0"/>
            </w:pPr>
            <w:r>
              <w:rPr>
                <w:rFonts w:ascii="Times New Roman" w:hAnsi="Times New Roman" w:eastAsia="Times New Roman"/>
                <w:sz w:val="19"/>
              </w:rPr>
              <w:t xml:space="preserve">Comparatively durable long-run development case</w:t>
            </w:r>
          </w:p>
        </w:tc>
        <w:tc>
          <w:tcPr/>
          <w:p>
            <w:pPr>
              <w:pStyle w:val="Compact"/>
              <w:spacing w:line="252" w:lineRule="auto" w:after="40" w:before="40"/>
              <w:ind w:firstLine="0" w:left="0"/>
            </w:pPr>
            <w:r>
              <w:rPr>
                <w:rFonts w:ascii="Times New Roman" w:hAnsi="Times New Roman" w:eastAsia="Times New Roman"/>
                <w:sz w:val="19"/>
              </w:rPr>
              <w:t xml:space="preserve">Can indigenous institutions and sustainment grow fast enough for capability gains to become retained rather than externally reproduced?</w:t>
            </w:r>
          </w:p>
        </w:tc>
      </w:tr>
    </w:tbl>
    <w:p>
      <w:pPr>
        <w:pStyle w:val="BodyText"/>
        <w:spacing w:line="480" w:lineRule="auto" w:before="0" w:after="0"/>
        <w:ind w:firstLine="720" w:left="0"/>
      </w:pPr>
      <w:r>
        <w:rPr>
          <w:rFonts w:ascii="Times New Roman" w:hAnsi="Times New Roman" w:eastAsia="Times New Roman"/>
          <w:sz w:val="24"/>
        </w:rPr>
        <w:t xml:space="preserve">Source-audited coding under that frozen protocol produces meaningful</w:t>
      </w:r>
      <w:r>
        <w:rPr>
          <w:rFonts w:ascii="Times New Roman" w:hAnsi="Times New Roman" w:eastAsia="Times New Roman"/>
          <w:sz w:val="24"/>
        </w:rPr>
        <w:t xml:space="preserve"> </w:t>
      </w:r>
      <w:r>
        <w:rPr>
          <w:rFonts w:ascii="Times New Roman" w:hAnsi="Times New Roman" w:eastAsia="Times New Roman"/>
          <w:sz w:val="24"/>
        </w:rPr>
        <w:t xml:space="preserve">variation. Afghanistan provides strong evidence of persistent external</w:t>
      </w:r>
      <w:r>
        <w:rPr>
          <w:rFonts w:ascii="Times New Roman" w:hAnsi="Times New Roman" w:eastAsia="Times New Roman"/>
          <w:sz w:val="24"/>
        </w:rPr>
        <w:t xml:space="preserve"> </w:t>
      </w:r>
      <w:r>
        <w:rPr>
          <w:rFonts w:ascii="Times New Roman" w:hAnsi="Times New Roman" w:eastAsia="Times New Roman"/>
          <w:sz w:val="24"/>
        </w:rPr>
        <w:t xml:space="preserve">substitution in aviation maintenance and logistics rather than a clean migration</w:t>
      </w:r>
      <w:r>
        <w:rPr>
          <w:rFonts w:ascii="Times New Roman" w:hAnsi="Times New Roman" w:eastAsia="Times New Roman"/>
          <w:sz w:val="24"/>
        </w:rPr>
        <w:t xml:space="preserve"> </w:t>
      </w:r>
      <w:r>
        <w:rPr>
          <w:rFonts w:ascii="Times New Roman" w:hAnsi="Times New Roman" w:eastAsia="Times New Roman"/>
          <w:sz w:val="24"/>
        </w:rPr>
        <w:t xml:space="preserve">away from the original constraint. SIGAR found that the Afghan Air Force</w:t>
      </w:r>
      <w:r>
        <w:rPr>
          <w:rFonts w:ascii="Times New Roman" w:hAnsi="Times New Roman" w:eastAsia="Times New Roman"/>
          <w:sz w:val="24"/>
        </w:rPr>
        <w:t xml:space="preserve"> </w:t>
      </w:r>
      <w:r>
        <w:rPr>
          <w:rFonts w:ascii="Times New Roman" w:hAnsi="Times New Roman" w:eastAsia="Times New Roman"/>
          <w:sz w:val="24"/>
        </w:rPr>
        <w:t xml:space="preserve">remained heavily dependent on contractor maintenance and that the broader ANDSF</w:t>
      </w:r>
      <w:r>
        <w:rPr>
          <w:rFonts w:ascii="Times New Roman" w:hAnsi="Times New Roman" w:eastAsia="Times New Roman"/>
          <w:sz w:val="24"/>
        </w:rPr>
        <w:t xml:space="preserve"> </w:t>
      </w:r>
      <w:r>
        <w:rPr>
          <w:rFonts w:ascii="Times New Roman" w:hAnsi="Times New Roman" w:eastAsia="Times New Roman"/>
          <w:sz w:val="24"/>
        </w:rPr>
        <w:t xml:space="preserve">had failed to become independent and self-sustaining before the 2021 withdrawal</w:t>
      </w:r>
      <w:r>
        <w:rPr>
          <w:rFonts w:ascii="Times New Roman" w:hAnsi="Times New Roman" w:eastAsia="Times New Roman"/>
          <w:sz w:val="24"/>
        </w:rPr>
        <w:t xml:space="preserve"> </w:t>
      </w:r>
      <w:r>
        <w:rPr>
          <w:rFonts w:ascii="Times New Roman" w:hAnsi="Times New Roman" w:eastAsia="Times New Roman"/>
          <w:sz w:val="24"/>
        </w:rPr>
        <w:t xml:space="preserve">shock.</w:t>
      </w:r>
      <w:r>
        <w:rPr>
          <w:rStyle w:val="FootnoteReference"/>
          <w:rFonts w:ascii="Times New Roman" w:hAnsi="Times New Roman" w:eastAsia="Times New Roman"/>
          <w:sz w:val="24"/>
        </w:rPr>
        <w:footnoteReference w:id="122"/>
      </w:r>
      <w:r>
        <w:rPr>
          <w:rFonts w:ascii="Times New Roman" w:hAnsi="Times New Roman" w:eastAsia="Times New Roman"/>
          <w:sz w:val="24"/>
        </w:rPr>
        <w:t xml:space="preserve"> Iraq provides a clearer sequential</w:t>
      </w:r>
      <w:r>
        <w:rPr>
          <w:rFonts w:ascii="Times New Roman" w:hAnsi="Times New Roman" w:eastAsia="Times New Roman"/>
          <w:sz w:val="24"/>
        </w:rPr>
        <w:t xml:space="preserve"> </w:t>
      </w:r>
      <w:r>
        <w:rPr>
          <w:rFonts w:ascii="Times New Roman" w:hAnsi="Times New Roman" w:eastAsia="Times New Roman"/>
          <w:sz w:val="24"/>
        </w:rPr>
        <w:t xml:space="preserve">case. By late 2006, DOD reported hundreds of thousands of trained and equipped</w:t>
      </w:r>
      <w:r>
        <w:rPr>
          <w:rFonts w:ascii="Times New Roman" w:hAnsi="Times New Roman" w:eastAsia="Times New Roman"/>
          <w:sz w:val="24"/>
        </w:rPr>
        <w:t xml:space="preserve"> </w:t>
      </w:r>
      <w:r>
        <w:rPr>
          <w:rFonts w:ascii="Times New Roman" w:hAnsi="Times New Roman" w:eastAsia="Times New Roman"/>
          <w:sz w:val="24"/>
        </w:rPr>
        <w:t xml:space="preserve">Iraqi personnel, while GAO identified logistics and sustainment as a serious</w:t>
      </w:r>
      <w:r>
        <w:rPr>
          <w:rFonts w:ascii="Times New Roman" w:hAnsi="Times New Roman" w:eastAsia="Times New Roman"/>
          <w:sz w:val="24"/>
        </w:rPr>
        <w:t xml:space="preserve"> </w:t>
      </w:r>
      <w:r>
        <w:rPr>
          <w:rFonts w:ascii="Times New Roman" w:hAnsi="Times New Roman" w:eastAsia="Times New Roman"/>
          <w:sz w:val="24"/>
        </w:rPr>
        <w:t xml:space="preserve">shortcoming and documented lagging national and regional support institutions.</w:t>
      </w:r>
      <w:r>
        <w:rPr>
          <w:rStyle w:val="FootnoteReference"/>
          <w:rFonts w:ascii="Times New Roman" w:hAnsi="Times New Roman" w:eastAsia="Times New Roman"/>
          <w:sz w:val="24"/>
        </w:rPr>
        <w:footnoteReference w:id="123"/>
      </w:r>
      <w:r>
        <w:rPr>
          <w:rFonts w:ascii="Times New Roman" w:hAnsi="Times New Roman" w:eastAsia="Times New Roman"/>
          <w:sz w:val="24"/>
        </w:rPr>
        <w:t xml:space="preserve"> A later Department</w:t>
      </w:r>
      <w:r>
        <w:rPr>
          <w:rFonts w:ascii="Times New Roman" w:hAnsi="Times New Roman" w:eastAsia="Times New Roman"/>
          <w:sz w:val="24"/>
        </w:rPr>
        <w:t xml:space="preserve"> </w:t>
      </w:r>
      <w:r>
        <w:rPr>
          <w:rFonts w:ascii="Times New Roman" w:hAnsi="Times New Roman" w:eastAsia="Times New Roman"/>
          <w:sz w:val="24"/>
        </w:rPr>
        <w:t xml:space="preserve">of Defense Inspector General lessons-learned review likewise emphasized the need</w:t>
      </w:r>
      <w:r>
        <w:rPr>
          <w:rFonts w:ascii="Times New Roman" w:hAnsi="Times New Roman" w:eastAsia="Times New Roman"/>
          <w:sz w:val="24"/>
        </w:rPr>
        <w:t xml:space="preserve"> </w:t>
      </w:r>
      <w:r>
        <w:rPr>
          <w:rFonts w:ascii="Times New Roman" w:hAnsi="Times New Roman" w:eastAsia="Times New Roman"/>
          <w:sz w:val="24"/>
        </w:rPr>
        <w:t xml:space="preserve">to develop logistics and sustainment concurrently with operational forces rather</w:t>
      </w:r>
      <w:r>
        <w:rPr>
          <w:rFonts w:ascii="Times New Roman" w:hAnsi="Times New Roman" w:eastAsia="Times New Roman"/>
          <w:sz w:val="24"/>
        </w:rPr>
        <w:t xml:space="preserve"> </w:t>
      </w:r>
      <w:r>
        <w:rPr>
          <w:rFonts w:ascii="Times New Roman" w:hAnsi="Times New Roman" w:eastAsia="Times New Roman"/>
          <w:sz w:val="24"/>
        </w:rPr>
        <w:t xml:space="preserve">than treating support capacity as a downstream problem.</w:t>
      </w:r>
      <w:r>
        <w:rPr>
          <w:rStyle w:val="FootnoteReference"/>
          <w:rFonts w:ascii="Times New Roman" w:hAnsi="Times New Roman" w:eastAsia="Times New Roman"/>
          <w:sz w:val="24"/>
        </w:rPr>
        <w:footnoteReference w:id="124"/>
      </w:r>
    </w:p>
    <w:p>
      <w:pPr>
        <w:pStyle w:val="BodyText"/>
        <w:spacing w:line="480" w:lineRule="auto" w:before="0" w:after="0"/>
        <w:ind w:firstLine="720" w:left="0"/>
      </w:pPr>
      <w:r>
        <w:rPr>
          <w:rFonts w:ascii="Times New Roman" w:hAnsi="Times New Roman" w:eastAsia="Times New Roman"/>
          <w:sz w:val="24"/>
        </w:rPr>
        <w:t xml:space="preserve">Mali is a harder and less supportive case. RAND’s field research found that</w:t>
      </w:r>
      <w:r>
        <w:rPr>
          <w:rFonts w:ascii="Times New Roman" w:hAnsi="Times New Roman" w:eastAsia="Times New Roman"/>
          <w:sz w:val="24"/>
        </w:rPr>
        <w:t xml:space="preserve"> </w:t>
      </w:r>
      <w:r>
        <w:rPr>
          <w:rFonts w:ascii="Times New Roman" w:hAnsi="Times New Roman" w:eastAsia="Times New Roman"/>
          <w:sz w:val="24"/>
        </w:rPr>
        <w:t xml:space="preserve">EUTM-trained GTIAs improved basic soldier skills, but logistics, maintenance,</w:t>
      </w:r>
      <w:r>
        <w:rPr>
          <w:rFonts w:ascii="Times New Roman" w:hAnsi="Times New Roman" w:eastAsia="Times New Roman"/>
          <w:sz w:val="24"/>
        </w:rPr>
        <w:t xml:space="preserve"> </w:t>
      </w:r>
      <w:r>
        <w:rPr>
          <w:rFonts w:ascii="Times New Roman" w:hAnsi="Times New Roman" w:eastAsia="Times New Roman"/>
          <w:sz w:val="24"/>
        </w:rPr>
        <w:t xml:space="preserve">command, and coordinated operations remained major limits.</w:t>
      </w:r>
      <w:r>
        <w:rPr>
          <w:rStyle w:val="FootnoteReference"/>
          <w:rFonts w:ascii="Times New Roman" w:hAnsi="Times New Roman" w:eastAsia="Times New Roman"/>
          <w:sz w:val="24"/>
        </w:rPr>
        <w:footnoteReference w:id="125"/>
      </w:r>
      <w:r>
        <w:rPr>
          <w:rFonts w:ascii="Times New Roman" w:hAnsi="Times New Roman" w:eastAsia="Times New Roman"/>
          <w:sz w:val="24"/>
        </w:rPr>
        <w:t xml:space="preserve"> Marsh</w:t>
      </w:r>
      <w:r>
        <w:rPr>
          <w:rFonts w:ascii="Times New Roman" w:hAnsi="Times New Roman" w:eastAsia="Times New Roman"/>
          <w:sz w:val="24"/>
        </w:rPr>
        <w:t xml:space="preserve"> </w:t>
      </w:r>
      <w:r>
        <w:rPr>
          <w:rFonts w:ascii="Times New Roman" w:hAnsi="Times New Roman" w:eastAsia="Times New Roman"/>
          <w:sz w:val="24"/>
        </w:rPr>
        <w:t xml:space="preserve">and Rolandsen further show how multiple, weakly coordinated assistance providers</w:t>
      </w:r>
      <w:r>
        <w:rPr>
          <w:rFonts w:ascii="Times New Roman" w:hAnsi="Times New Roman" w:eastAsia="Times New Roman"/>
          <w:sz w:val="24"/>
        </w:rPr>
        <w:t xml:space="preserve"> </w:t>
      </w:r>
      <w:r>
        <w:rPr>
          <w:rFonts w:ascii="Times New Roman" w:hAnsi="Times New Roman" w:eastAsia="Times New Roman"/>
          <w:sz w:val="24"/>
        </w:rPr>
        <w:t xml:space="preserve">can fragment recipient-force cohesion, supplying a political-organizational</w:t>
      </w:r>
      <w:r>
        <w:rPr>
          <w:rFonts w:ascii="Times New Roman" w:hAnsi="Times New Roman" w:eastAsia="Times New Roman"/>
          <w:sz w:val="24"/>
        </w:rPr>
        <w:t xml:space="preserve"> </w:t>
      </w:r>
      <w:r>
        <w:rPr>
          <w:rFonts w:ascii="Times New Roman" w:hAnsi="Times New Roman" w:eastAsia="Times New Roman"/>
          <w:sz w:val="24"/>
        </w:rPr>
        <w:t xml:space="preserve">rival to a production-constraint explanation.</w:t>
      </w:r>
      <w:r>
        <w:rPr>
          <w:rStyle w:val="FootnoteReference"/>
          <w:rFonts w:ascii="Times New Roman" w:hAnsi="Times New Roman" w:eastAsia="Times New Roman"/>
          <w:sz w:val="24"/>
        </w:rPr>
        <w:footnoteReference w:id="126"/>
      </w:r>
      <w:r>
        <w:rPr>
          <w:rFonts w:ascii="Times New Roman" w:hAnsi="Times New Roman" w:eastAsia="Times New Roman"/>
          <w:sz w:val="24"/>
        </w:rPr>
        <w:t xml:space="preserve"> Those</w:t>
      </w:r>
      <w:r>
        <w:rPr>
          <w:rFonts w:ascii="Times New Roman" w:hAnsi="Times New Roman" w:eastAsia="Times New Roman"/>
          <w:sz w:val="24"/>
        </w:rPr>
        <w:t xml:space="preserve"> </w:t>
      </w:r>
      <w:r>
        <w:rPr>
          <w:rFonts w:ascii="Times New Roman" w:hAnsi="Times New Roman" w:eastAsia="Times New Roman"/>
          <w:sz w:val="24"/>
        </w:rPr>
        <w:t xml:space="preserve">weaknesses were already present during the assistance effort, so the evidence is</w:t>
      </w:r>
      <w:r>
        <w:rPr>
          <w:rFonts w:ascii="Times New Roman" w:hAnsi="Times New Roman" w:eastAsia="Times New Roman"/>
          <w:sz w:val="24"/>
        </w:rPr>
        <w:t xml:space="preserve"> </w:t>
      </w:r>
      <w:r>
        <w:rPr>
          <w:rFonts w:ascii="Times New Roman" w:hAnsi="Times New Roman" w:eastAsia="Times New Roman"/>
          <w:sz w:val="24"/>
        </w:rPr>
        <w:t xml:space="preserve">better interpreted as local-system divergence than as a clean case in which</w:t>
      </w:r>
      <w:r>
        <w:rPr>
          <w:rFonts w:ascii="Times New Roman" w:hAnsi="Times New Roman" w:eastAsia="Times New Roman"/>
          <w:sz w:val="24"/>
        </w:rPr>
        <w:t xml:space="preserve"> </w:t>
      </w:r>
      <w:r>
        <w:rPr>
          <w:rFonts w:ascii="Times New Roman" w:hAnsi="Times New Roman" w:eastAsia="Times New Roman"/>
          <w:sz w:val="24"/>
        </w:rPr>
        <w:t xml:space="preserve">assistance caused a new bottleneck to emerge. Colombia provides the strongest</w:t>
      </w:r>
      <w:r>
        <w:rPr>
          <w:rFonts w:ascii="Times New Roman" w:hAnsi="Times New Roman" w:eastAsia="Times New Roman"/>
          <w:sz w:val="24"/>
        </w:rPr>
        <w:t xml:space="preserve"> </w:t>
      </w:r>
      <w:r>
        <w:rPr>
          <w:rFonts w:ascii="Times New Roman" w:hAnsi="Times New Roman" w:eastAsia="Times New Roman"/>
          <w:sz w:val="24"/>
        </w:rPr>
        <w:t xml:space="preserve">positive retention case. U.S. assistance initially supplied contractor pilots,</w:t>
      </w:r>
      <w:r>
        <w:rPr>
          <w:rFonts w:ascii="Times New Roman" w:hAnsi="Times New Roman" w:eastAsia="Times New Roman"/>
          <w:sz w:val="24"/>
        </w:rPr>
        <w:t xml:space="preserve"> </w:t>
      </w:r>
      <w:r>
        <w:rPr>
          <w:rFonts w:ascii="Times New Roman" w:hAnsi="Times New Roman" w:eastAsia="Times New Roman"/>
          <w:sz w:val="24"/>
        </w:rPr>
        <w:t xml:space="preserve">mechanics, maintenance, logistics, and training to an aviation system that</w:t>
      </w:r>
      <w:r>
        <w:rPr>
          <w:rFonts w:ascii="Times New Roman" w:hAnsi="Times New Roman" w:eastAsia="Times New Roman"/>
          <w:sz w:val="24"/>
        </w:rPr>
        <w:t xml:space="preserve"> </w:t>
      </w:r>
      <w:r>
        <w:rPr>
          <w:rFonts w:ascii="Times New Roman" w:hAnsi="Times New Roman" w:eastAsia="Times New Roman"/>
          <w:sz w:val="24"/>
        </w:rPr>
        <w:t xml:space="preserve">Colombia could not yet sustain independently. Over a long phased transition,</w:t>
      </w:r>
      <w:r>
        <w:rPr>
          <w:rFonts w:ascii="Times New Roman" w:hAnsi="Times New Roman" w:eastAsia="Times New Roman"/>
          <w:sz w:val="24"/>
        </w:rPr>
        <w:t xml:space="preserve"> </w:t>
      </w:r>
      <w:r>
        <w:rPr>
          <w:rFonts w:ascii="Times New Roman" w:hAnsi="Times New Roman" w:eastAsia="Times New Roman"/>
          <w:sz w:val="24"/>
        </w:rPr>
        <w:t xml:space="preserve">Colombian personnel and institutions assumed progressively more responsibility;</w:t>
      </w:r>
      <w:r>
        <w:rPr>
          <w:rFonts w:ascii="Times New Roman" w:hAnsi="Times New Roman" w:eastAsia="Times New Roman"/>
          <w:sz w:val="24"/>
        </w:rPr>
        <w:t xml:space="preserve"> </w:t>
      </w:r>
      <w:r>
        <w:rPr>
          <w:rFonts w:ascii="Times New Roman" w:hAnsi="Times New Roman" w:eastAsia="Times New Roman"/>
          <w:sz w:val="24"/>
        </w:rPr>
        <w:t xml:space="preserve">GAO later reported that Colombia had taken over full maintenance and operations</w:t>
      </w:r>
      <w:r>
        <w:rPr>
          <w:rFonts w:ascii="Times New Roman" w:hAnsi="Times New Roman" w:eastAsia="Times New Roman"/>
          <w:sz w:val="24"/>
        </w:rPr>
        <w:t xml:space="preserve"> </w:t>
      </w:r>
      <w:r>
        <w:rPr>
          <w:rFonts w:ascii="Times New Roman" w:hAnsi="Times New Roman" w:eastAsia="Times New Roman"/>
          <w:sz w:val="24"/>
        </w:rPr>
        <w:t xml:space="preserve">for the Army aviation program, while also noting slower nationalization in a</w:t>
      </w:r>
      <w:r>
        <w:rPr>
          <w:rFonts w:ascii="Times New Roman" w:hAnsi="Times New Roman" w:eastAsia="Times New Roman"/>
          <w:sz w:val="24"/>
        </w:rPr>
        <w:t xml:space="preserve"> </w:t>
      </w:r>
      <w:r>
        <w:rPr>
          <w:rFonts w:ascii="Times New Roman" w:hAnsi="Times New Roman" w:eastAsia="Times New Roman"/>
          <w:sz w:val="24"/>
        </w:rPr>
        <w:t xml:space="preserve">related helicopter training center.</w:t>
      </w:r>
      <w:r>
        <w:rPr>
          <w:rStyle w:val="FootnoteReference"/>
          <w:rFonts w:ascii="Times New Roman" w:hAnsi="Times New Roman" w:eastAsia="Times New Roman"/>
          <w:sz w:val="24"/>
        </w:rPr>
        <w:footnoteReference w:id="128"/>
      </w:r>
    </w:p>
    <w:p>
      <w:pPr>
        <w:pStyle w:val="BodyText"/>
        <w:keepNext/>
        <w:spacing w:line="276" w:lineRule="auto" w:before="240" w:after="80"/>
        <w:ind w:firstLine="0" w:left="0"/>
      </w:pPr>
      <w:r>
        <w:rPr>
          <w:rFonts w:ascii="Times New Roman" w:hAnsi="Times New Roman" w:eastAsia="Times New Roman"/>
          <w:b/>
          <w:bCs/>
          <w:sz w:val="20"/>
        </w:rPr>
        <w:t xml:space="preserve">Table 5. Source-audited historical process evidence under the frozen external-validation protocol.</w:t>
      </w:r>
      <w:r>
        <w:rPr>
          <w:rFonts w:ascii="Times New Roman" w:hAnsi="Times New Roman" w:eastAsia="Times New Roman"/>
          <w:sz w:val="20"/>
        </w:rPr>
        <w:t xml:space="preserve"> </w:t>
      </w:r>
      <w:r>
        <w:rPr>
          <w:rFonts w:ascii="Times New Roman" w:hAnsi="Times New Roman" w:eastAsia="Times New Roman"/>
          <w:sz w:val="20"/>
        </w:rPr>
        <w:t xml:space="preserve">The table is a structured plausibility and process test, not a causal estimate of security-assistance effects. The source audit preserves mixed and adverse evidence rather than upgrading ambiguous cases to full support.</w:t>
      </w:r>
    </w:p>
    <w:tbl>
      <w:tblPr>
        <w:tblStyle w:val="Table"/>
        <w:tblW w:type="pct" w:w="5000"/>
        <w:tblLayout w:type="fixed"/>
        <w:tblLook w:firstRow="1" w:lastRow="0" w:firstColumn="0" w:lastColumn="0" w:noHBand="0" w:noVBand="0" w:val="0020"/>
        <w:jc w:val="center"/>
        <w:tblBorders>
          <w:top w:val="single" w:sz="12" w:space="0" w:color="000000"/>
          <w:left w:val="none"/>
          <w:bottom w:val="single" w:sz="12" w:space="0" w:color="000000"/>
          <w:right w:val="none"/>
          <w:insideH w:val="none"/>
          <w:insideV w:val="none"/>
        </w:tblBorders>
        <w:tblCellMar>
          <w:top w:w="120" w:type="dxa"/>
          <w:bottom w:w="120" w:type="dxa"/>
          <w:left w:w="160" w:type="dxa"/>
          <w:right w:w="160" w:type="dxa"/>
        </w:tblCellMar>
      </w:tblPr>
      <w:tblGrid>
        <w:gridCol w:w="1320"/>
        <w:gridCol w:w="1320"/>
        <w:gridCol w:w="1320"/>
        <w:gridCol w:w="1320"/>
        <w:gridCol w:w="1320"/>
        <w:gridCol w:w="1320"/>
      </w:tblGrid>
      <w:tr>
        <w:trPr>
          <w:tblHeader w:val="on"/>
          <w:cantSplit/>
          <w:tblHeader/>
        </w:trPr>
        <w:tc>
          <w:tcPr>
            <w:tcBorders>
              <w:bottom w:val="single" w:sz="6" w:space="0" w:color="000000"/>
              <w:top w:val="none"/>
              <w:left w:val="none"/>
              <w:right w:val="none"/>
            </w:tcBorders>
          </w:tcPr>
          <w:p>
            <w:pPr>
              <w:pStyle w:val="Compact"/>
              <w:keepNext/>
              <w:spacing w:line="252" w:lineRule="auto" w:after="40" w:before="40"/>
              <w:ind w:firstLine="0" w:left="0"/>
            </w:pPr>
            <w:r>
              <w:rPr>
                <w:rFonts w:ascii="Times New Roman" w:hAnsi="Times New Roman" w:eastAsia="Times New Roman"/>
                <w:b/>
                <w:sz w:val="19"/>
              </w:rPr>
              <w:t xml:space="preserve">Case</w:t>
            </w:r>
          </w:p>
        </w:tc>
        <w:tc>
          <w:tcPr>
            <w:tcBorders>
              <w:bottom w:val="single" w:sz="6" w:space="0" w:color="000000"/>
              <w:top w:val="none"/>
              <w:left w:val="none"/>
              <w:right w:val="none"/>
            </w:tcBorders>
          </w:tcPr>
          <w:p>
            <w:pPr>
              <w:pStyle w:val="Compact"/>
              <w:keepNext/>
              <w:spacing w:line="252" w:lineRule="auto" w:after="40" w:before="40"/>
              <w:ind w:firstLine="0" w:left="0"/>
            </w:pPr>
            <w:r>
              <w:rPr>
                <w:rFonts w:ascii="Times New Roman" w:hAnsi="Times New Roman" w:eastAsia="Times New Roman"/>
                <w:b/>
                <w:sz w:val="19"/>
              </w:rPr>
              <w:t xml:space="preserve">Audited constraint sequence</w:t>
            </w:r>
          </w:p>
        </w:tc>
        <w:tc>
          <w:tcPr>
            <w:tcBorders>
              <w:bottom w:val="single" w:sz="6" w:space="0" w:color="000000"/>
              <w:top w:val="none"/>
              <w:left w:val="none"/>
              <w:right w:val="none"/>
            </w:tcBorders>
          </w:tcPr>
          <w:p>
            <w:pPr>
              <w:pStyle w:val="Compact"/>
              <w:keepNext/>
              <w:spacing w:line="252" w:lineRule="auto" w:after="40" w:before="40"/>
              <w:ind w:firstLine="0" w:left="0"/>
            </w:pPr>
            <w:r>
              <w:rPr>
                <w:rFonts w:ascii="Times New Roman" w:hAnsi="Times New Roman" w:eastAsia="Times New Roman"/>
                <w:b/>
                <w:sz w:val="19"/>
              </w:rPr>
              <w:t xml:space="preserve">Indigenous replacement</w:t>
            </w:r>
          </w:p>
        </w:tc>
        <w:tc>
          <w:tcPr>
            <w:tcBorders>
              <w:bottom w:val="single" w:sz="6" w:space="0" w:color="000000"/>
              <w:top w:val="none"/>
              <w:left w:val="none"/>
              <w:right w:val="none"/>
            </w:tcBorders>
          </w:tcPr>
          <w:p>
            <w:pPr>
              <w:pStyle w:val="Compact"/>
              <w:keepNext/>
              <w:spacing w:line="252" w:lineRule="auto" w:after="40" w:before="40"/>
              <w:ind w:firstLine="0" w:left="0"/>
            </w:pPr>
            <w:r>
              <w:rPr>
                <w:rFonts w:ascii="Times New Roman" w:hAnsi="Times New Roman" w:eastAsia="Times New Roman"/>
                <w:b/>
                <w:sz w:val="19"/>
              </w:rPr>
              <w:t xml:space="preserve">Support-change evidence</w:t>
            </w:r>
          </w:p>
        </w:tc>
        <w:tc>
          <w:tcPr>
            <w:tcBorders>
              <w:bottom w:val="single" w:sz="6" w:space="0" w:color="000000"/>
              <w:top w:val="none"/>
              <w:left w:val="none"/>
              <w:right w:val="none"/>
            </w:tcBorders>
          </w:tcPr>
          <w:p>
            <w:pPr>
              <w:pStyle w:val="Compact"/>
              <w:keepNext/>
              <w:spacing w:line="252" w:lineRule="auto" w:after="40" w:before="40"/>
              <w:ind w:firstLine="0" w:left="0"/>
            </w:pPr>
            <w:r>
              <w:rPr>
                <w:rFonts w:ascii="Times New Roman" w:hAnsi="Times New Roman" w:eastAsia="Times New Roman"/>
                <w:b/>
                <w:sz w:val="19"/>
              </w:rPr>
              <w:t xml:space="preserve">Strongest rival explanation</w:t>
            </w:r>
          </w:p>
        </w:tc>
        <w:tc>
          <w:tcPr>
            <w:tcBorders>
              <w:bottom w:val="single" w:sz="6" w:space="0" w:color="000000"/>
              <w:top w:val="none"/>
              <w:left w:val="none"/>
              <w:right w:val="none"/>
            </w:tcBorders>
          </w:tcPr>
          <w:p>
            <w:pPr>
              <w:pStyle w:val="Compact"/>
              <w:keepNext/>
              <w:spacing w:line="252" w:lineRule="auto" w:after="40" w:before="40"/>
              <w:ind w:firstLine="0" w:left="0"/>
            </w:pPr>
            <w:r>
              <w:rPr>
                <w:rFonts w:ascii="Times New Roman" w:hAnsi="Times New Roman" w:eastAsia="Times New Roman"/>
                <w:b/>
                <w:sz w:val="19"/>
              </w:rPr>
              <w:t xml:space="preserve">Audited theory fit</w:t>
            </w:r>
          </w:p>
        </w:tc>
      </w:tr>
      <w:tr>
        <w:trPr>
          <w:cantSplit/>
        </w:trPr>
        <w:tc>
          <w:tcPr/>
          <w:p>
            <w:pPr>
              <w:pStyle w:val="Compact"/>
              <w:keepNext/>
              <w:spacing w:line="252" w:lineRule="auto" w:after="40" w:before="40"/>
              <w:ind w:firstLine="0" w:left="0"/>
            </w:pPr>
            <w:r>
              <w:rPr>
                <w:rFonts w:ascii="Times New Roman" w:hAnsi="Times New Roman" w:eastAsia="Times New Roman"/>
                <w:sz w:val="19"/>
              </w:rPr>
              <w:t xml:space="preserve">Afghanistan</w:t>
            </w:r>
          </w:p>
        </w:tc>
        <w:tc>
          <w:tcPr/>
          <w:p>
            <w:pPr>
              <w:pStyle w:val="Compact"/>
              <w:keepNext/>
              <w:spacing w:line="252" w:lineRule="auto" w:after="40" w:before="40"/>
              <w:ind w:firstLine="0" w:left="0"/>
            </w:pPr>
            <w:r>
              <w:rPr>
                <w:rFonts w:ascii="Times New Roman" w:hAnsi="Times New Roman" w:eastAsia="Times New Roman"/>
                <w:sz w:val="19"/>
              </w:rPr>
              <w:t xml:space="preserve">Aviation maintenance/logistics remained limiting beneath external substitution</w:t>
            </w:r>
          </w:p>
        </w:tc>
        <w:tc>
          <w:tcPr/>
          <w:p>
            <w:pPr>
              <w:pStyle w:val="Compact"/>
              <w:keepNext/>
              <w:spacing w:line="252" w:lineRule="auto" w:after="40" w:before="40"/>
              <w:ind w:firstLine="0" w:left="0"/>
            </w:pPr>
            <w:r>
              <w:rPr>
                <w:rFonts w:ascii="Times New Roman" w:hAnsi="Times New Roman" w:eastAsia="Times New Roman"/>
                <w:sz w:val="19"/>
              </w:rPr>
              <w:t xml:space="preserve">Negative or incomplete</w:t>
            </w:r>
          </w:p>
        </w:tc>
        <w:tc>
          <w:tcPr/>
          <w:p>
            <w:pPr>
              <w:pStyle w:val="Compact"/>
              <w:keepNext/>
              <w:spacing w:line="252" w:lineRule="auto" w:after="40" w:before="40"/>
              <w:ind w:firstLine="0" w:left="0"/>
            </w:pPr>
            <w:r>
              <w:rPr>
                <w:rFonts w:ascii="Times New Roman" w:hAnsi="Times New Roman" w:eastAsia="Times New Roman"/>
                <w:sz w:val="19"/>
              </w:rPr>
              <w:t xml:space="preserve">Abrupt contractor and U.S. support reduction followed by severe degradation</w:t>
            </w:r>
          </w:p>
        </w:tc>
        <w:tc>
          <w:tcPr/>
          <w:p>
            <w:pPr>
              <w:pStyle w:val="Compact"/>
              <w:keepNext/>
              <w:spacing w:line="252" w:lineRule="auto" w:after="40" w:before="40"/>
              <w:ind w:firstLine="0" w:left="0"/>
            </w:pPr>
            <w:r>
              <w:rPr>
                <w:rFonts w:ascii="Times New Roman" w:hAnsi="Times New Roman" w:eastAsia="Times New Roman"/>
                <w:sz w:val="19"/>
              </w:rPr>
              <w:t xml:space="preserve">Political collapse, morale and leadership failure, corruption, strategy, and Taliban adaptation</w:t>
            </w:r>
          </w:p>
        </w:tc>
        <w:tc>
          <w:tcPr/>
          <w:p>
            <w:pPr>
              <w:pStyle w:val="Compact"/>
              <w:keepNext/>
              <w:spacing w:line="252" w:lineRule="auto" w:after="40" w:before="40"/>
              <w:ind w:firstLine="0" w:left="0"/>
            </w:pPr>
            <w:r>
              <w:rPr>
                <w:rFonts w:ascii="Times New Roman" w:hAnsi="Times New Roman" w:eastAsia="Times New Roman"/>
                <w:sz w:val="19"/>
              </w:rPr>
              <w:t xml:space="preserve">Strong for substitution/retention; partial for discrete constraint displacement</w:t>
            </w:r>
          </w:p>
        </w:tc>
      </w:tr>
      <w:tr>
        <w:trPr>
          <w:cantSplit/>
        </w:trPr>
        <w:tc>
          <w:tcPr/>
          <w:p>
            <w:pPr>
              <w:pStyle w:val="Compact"/>
              <w:keepNext/>
              <w:spacing w:line="252" w:lineRule="auto" w:after="40" w:before="40"/>
              <w:ind w:firstLine="0" w:left="0"/>
            </w:pPr>
            <w:r>
              <w:rPr>
                <w:rFonts w:ascii="Times New Roman" w:hAnsi="Times New Roman" w:eastAsia="Times New Roman"/>
                <w:sz w:val="19"/>
              </w:rPr>
              <w:t xml:space="preserve">Iraq</w:t>
            </w:r>
          </w:p>
        </w:tc>
        <w:tc>
          <w:tcPr/>
          <w:p>
            <w:pPr>
              <w:pStyle w:val="Compact"/>
              <w:keepNext/>
              <w:spacing w:line="252" w:lineRule="auto" w:after="40" w:before="40"/>
              <w:ind w:firstLine="0" w:left="0"/>
            </w:pPr>
            <w:r>
              <w:rPr>
                <w:rFonts w:ascii="Times New Roman" w:hAnsi="Times New Roman" w:eastAsia="Times New Roman"/>
                <w:sz w:val="19"/>
              </w:rPr>
              <w:t xml:space="preserve">Rapid force generation followed by lagging logistics and sustainment</w:t>
            </w:r>
          </w:p>
        </w:tc>
        <w:tc>
          <w:tcPr/>
          <w:p>
            <w:pPr>
              <w:pStyle w:val="Compact"/>
              <w:keepNext/>
              <w:spacing w:line="252" w:lineRule="auto" w:after="40" w:before="40"/>
              <w:ind w:firstLine="0" w:left="0"/>
            </w:pPr>
            <w:r>
              <w:rPr>
                <w:rFonts w:ascii="Times New Roman" w:hAnsi="Times New Roman" w:eastAsia="Times New Roman"/>
                <w:sz w:val="19"/>
              </w:rPr>
              <w:t xml:space="preserve">Incomplete in coded 2005-2008 episode</w:t>
            </w:r>
          </w:p>
        </w:tc>
        <w:tc>
          <w:tcPr/>
          <w:p>
            <w:pPr>
              <w:pStyle w:val="Compact"/>
              <w:keepNext/>
              <w:spacing w:line="252" w:lineRule="auto" w:after="40" w:before="40"/>
              <w:ind w:firstLine="0" w:left="0"/>
            </w:pPr>
            <w:r>
              <w:rPr>
                <w:rFonts w:ascii="Times New Roman" w:hAnsi="Times New Roman" w:eastAsia="Times New Roman"/>
                <w:sz w:val="19"/>
              </w:rPr>
              <w:t xml:space="preserve">No clean withdrawal shock in coded episode</w:t>
            </w:r>
          </w:p>
        </w:tc>
        <w:tc>
          <w:tcPr/>
          <w:p>
            <w:pPr>
              <w:pStyle w:val="Compact"/>
              <w:keepNext/>
              <w:spacing w:line="252" w:lineRule="auto" w:after="40" w:before="40"/>
              <w:ind w:firstLine="0" w:left="0"/>
            </w:pPr>
            <w:r>
              <w:rPr>
                <w:rFonts w:ascii="Times New Roman" w:hAnsi="Times New Roman" w:eastAsia="Times New Roman"/>
                <w:sz w:val="19"/>
              </w:rPr>
              <w:t xml:space="preserve">Sectarian politics, militia penetration, absenteeism, command problems, corruption, and intelligence weakness</w:t>
            </w:r>
          </w:p>
        </w:tc>
        <w:tc>
          <w:tcPr/>
          <w:p>
            <w:pPr>
              <w:pStyle w:val="Compact"/>
              <w:keepNext/>
              <w:spacing w:line="252" w:lineRule="auto" w:after="40" w:before="40"/>
              <w:ind w:firstLine="0" w:left="0"/>
            </w:pPr>
            <w:r>
              <w:rPr>
                <w:rFonts w:ascii="Times New Roman" w:hAnsi="Times New Roman" w:eastAsia="Times New Roman"/>
                <w:sz w:val="19"/>
              </w:rPr>
              <w:t xml:space="preserve">Strongest sequential-constraint analogue, with major political confounding</w:t>
            </w:r>
          </w:p>
        </w:tc>
      </w:tr>
      <w:tr>
        <w:trPr>
          <w:cantSplit/>
        </w:trPr>
        <w:tc>
          <w:tcPr/>
          <w:p>
            <w:pPr>
              <w:pStyle w:val="Compact"/>
              <w:keepNext/>
              <w:spacing w:line="252" w:lineRule="auto" w:after="40" w:before="40"/>
              <w:ind w:firstLine="0" w:left="0"/>
            </w:pPr>
            <w:r>
              <w:rPr>
                <w:rFonts w:ascii="Times New Roman" w:hAnsi="Times New Roman" w:eastAsia="Times New Roman"/>
                <w:sz w:val="19"/>
              </w:rPr>
              <w:t xml:space="preserve">Mali</w:t>
            </w:r>
          </w:p>
        </w:tc>
        <w:tc>
          <w:tcPr/>
          <w:p>
            <w:pPr>
              <w:pStyle w:val="Compact"/>
              <w:keepNext/>
              <w:spacing w:line="252" w:lineRule="auto" w:after="40" w:before="40"/>
              <w:ind w:firstLine="0" w:left="0"/>
            </w:pPr>
            <w:r>
              <w:rPr>
                <w:rFonts w:ascii="Times New Roman" w:hAnsi="Times New Roman" w:eastAsia="Times New Roman"/>
                <w:sz w:val="19"/>
              </w:rPr>
              <w:t xml:space="preserve">Basic unit skills improved while pre-existing logistics, maintenance, and C2 weaknesses remained</w:t>
            </w:r>
          </w:p>
        </w:tc>
        <w:tc>
          <w:tcPr/>
          <w:p>
            <w:pPr>
              <w:pStyle w:val="Compact"/>
              <w:keepNext/>
              <w:spacing w:line="252" w:lineRule="auto" w:after="40" w:before="40"/>
              <w:ind w:firstLine="0" w:left="0"/>
            </w:pPr>
            <w:r>
              <w:rPr>
                <w:rFonts w:ascii="Times New Roman" w:hAnsi="Times New Roman" w:eastAsia="Times New Roman"/>
                <w:sz w:val="19"/>
              </w:rPr>
              <w:t xml:space="preserve">Mixed</w:t>
            </w:r>
          </w:p>
        </w:tc>
        <w:tc>
          <w:tcPr/>
          <w:p>
            <w:pPr>
              <w:pStyle w:val="Compact"/>
              <w:keepNext/>
              <w:spacing w:line="252" w:lineRule="auto" w:after="40" w:before="40"/>
              <w:ind w:firstLine="0" w:left="0"/>
            </w:pPr>
            <w:r>
              <w:rPr>
                <w:rFonts w:ascii="Times New Roman" w:hAnsi="Times New Roman" w:eastAsia="Times New Roman"/>
                <w:sz w:val="19"/>
              </w:rPr>
              <w:t xml:space="preserve">No clean support shock in coded 2013-2015 episode</w:t>
            </w:r>
          </w:p>
        </w:tc>
        <w:tc>
          <w:tcPr/>
          <w:p>
            <w:pPr>
              <w:pStyle w:val="Compact"/>
              <w:keepNext/>
              <w:spacing w:line="252" w:lineRule="auto" w:after="40" w:before="40"/>
              <w:ind w:firstLine="0" w:left="0"/>
            </w:pPr>
            <w:r>
              <w:rPr>
                <w:rFonts w:ascii="Times New Roman" w:hAnsi="Times New Roman" w:eastAsia="Times New Roman"/>
                <w:sz w:val="19"/>
              </w:rPr>
              <w:t xml:space="preserve">Political fragmentation, provider fragmentation, command weakness, and institutional instability</w:t>
            </w:r>
          </w:p>
        </w:tc>
        <w:tc>
          <w:tcPr/>
          <w:p>
            <w:pPr>
              <w:pStyle w:val="Compact"/>
              <w:keepNext/>
              <w:spacing w:line="252" w:lineRule="auto" w:after="40" w:before="40"/>
              <w:ind w:firstLine="0" w:left="0"/>
            </w:pPr>
            <w:r>
              <w:rPr>
                <w:rFonts w:ascii="Times New Roman" w:hAnsi="Times New Roman" w:eastAsia="Times New Roman"/>
                <w:sz w:val="19"/>
              </w:rPr>
              <w:t xml:space="preserve">Partial; strongest for local-system divergence</w:t>
            </w:r>
          </w:p>
        </w:tc>
      </w:tr>
      <w:tr>
        <w:trPr>
          <w:cantSplit/>
        </w:trPr>
        <w:tc>
          <w:tcPr/>
          <w:p>
            <w:pPr>
              <w:pStyle w:val="Compact"/>
              <w:spacing w:line="252" w:lineRule="auto" w:after="40" w:before="40"/>
              <w:ind w:firstLine="0" w:left="0"/>
            </w:pPr>
            <w:r>
              <w:rPr>
                <w:rFonts w:ascii="Times New Roman" w:hAnsi="Times New Roman" w:eastAsia="Times New Roman"/>
                <w:sz w:val="19"/>
              </w:rPr>
              <w:t xml:space="preserve">Colombia</w:t>
            </w:r>
          </w:p>
        </w:tc>
        <w:tc>
          <w:tcPr/>
          <w:p>
            <w:pPr>
              <w:pStyle w:val="Compact"/>
              <w:spacing w:line="252" w:lineRule="auto" w:after="40" w:before="40"/>
              <w:ind w:firstLine="0" w:left="0"/>
            </w:pPr>
            <w:r>
              <w:rPr>
                <w:rFonts w:ascii="Times New Roman" w:hAnsi="Times New Roman" w:eastAsia="Times New Roman"/>
                <w:sz w:val="19"/>
              </w:rPr>
              <w:t xml:space="preserve">Externally enabled aviation expansion initially outran pilots, mechanics, maintenance, and logistics, followed by phased nationalization</w:t>
            </w:r>
          </w:p>
        </w:tc>
        <w:tc>
          <w:tcPr/>
          <w:p>
            <w:pPr>
              <w:pStyle w:val="Compact"/>
              <w:spacing w:line="252" w:lineRule="auto" w:after="40" w:before="40"/>
              <w:ind w:firstLine="0" w:left="0"/>
            </w:pPr>
            <w:r>
              <w:rPr>
                <w:rFonts w:ascii="Times New Roman" w:hAnsi="Times New Roman" w:eastAsia="Times New Roman"/>
                <w:sz w:val="19"/>
              </w:rPr>
              <w:t xml:space="preserve">Positive and substantial over time</w:t>
            </w:r>
          </w:p>
        </w:tc>
        <w:tc>
          <w:tcPr/>
          <w:p>
            <w:pPr>
              <w:pStyle w:val="Compact"/>
              <w:spacing w:line="252" w:lineRule="auto" w:after="40" w:before="40"/>
              <w:ind w:firstLine="0" w:left="0"/>
            </w:pPr>
            <w:r>
              <w:rPr>
                <w:rFonts w:ascii="Times New Roman" w:hAnsi="Times New Roman" w:eastAsia="Times New Roman"/>
                <w:sz w:val="19"/>
              </w:rPr>
              <w:t xml:space="preserve">Phased transfer rather than abrupt withdrawal</w:t>
            </w:r>
          </w:p>
        </w:tc>
        <w:tc>
          <w:tcPr/>
          <w:p>
            <w:pPr>
              <w:pStyle w:val="Compact"/>
              <w:spacing w:line="252" w:lineRule="auto" w:after="40" w:before="40"/>
              <w:ind w:firstLine="0" w:left="0"/>
            </w:pPr>
            <w:r>
              <w:rPr>
                <w:rFonts w:ascii="Times New Roman" w:hAnsi="Times New Roman" w:eastAsia="Times New Roman"/>
                <w:sz w:val="19"/>
              </w:rPr>
              <w:t xml:space="preserve">Stronger institutions, fiscal capacity, political commitment, long duration, and continued external partnership</w:t>
            </w:r>
          </w:p>
        </w:tc>
        <w:tc>
          <w:tcPr/>
          <w:p>
            <w:pPr>
              <w:pStyle w:val="Compact"/>
              <w:spacing w:line="252" w:lineRule="auto" w:after="40" w:before="40"/>
              <w:ind w:firstLine="0" w:left="0"/>
            </w:pPr>
            <w:r>
              <w:rPr>
                <w:rFonts w:ascii="Times New Roman" w:hAnsi="Times New Roman" w:eastAsia="Times New Roman"/>
                <w:sz w:val="19"/>
              </w:rPr>
              <w:t xml:space="preserve">Strong positive retention case; partial for discrete constraint displacement</w:t>
            </w:r>
          </w:p>
        </w:tc>
      </w:tr>
    </w:tbl>
    <w:p>
      <w:pPr>
        <w:pStyle w:val="BodyText"/>
        <w:spacing w:line="480" w:lineRule="auto" w:before="0" w:after="0"/>
        <w:ind w:firstLine="720" w:left="0"/>
      </w:pPr>
      <w:r>
        <w:rPr>
          <w:rFonts w:ascii="Times New Roman" w:hAnsi="Times New Roman" w:eastAsia="Times New Roman"/>
          <w:sz w:val="24"/>
        </w:rPr>
        <w:t xml:space="preserve">This case set allows the historical exercise to test more than simple</w:t>
      </w:r>
      <w:r>
        <w:rPr>
          <w:rFonts w:ascii="Times New Roman" w:hAnsi="Times New Roman" w:eastAsia="Times New Roman"/>
          <w:sz w:val="24"/>
        </w:rPr>
        <w:t xml:space="preserve"> </w:t>
      </w:r>
      <w:r>
        <w:rPr>
          <w:rFonts w:ascii="Times New Roman" w:hAnsi="Times New Roman" w:eastAsia="Times New Roman"/>
          <w:sz w:val="24"/>
        </w:rPr>
        <w:t xml:space="preserve">similarity. Afghanistan can support the substitution and replacement mechanism</w:t>
      </w:r>
      <w:r>
        <w:rPr>
          <w:rFonts w:ascii="Times New Roman" w:hAnsi="Times New Roman" w:eastAsia="Times New Roman"/>
          <w:sz w:val="24"/>
        </w:rPr>
        <w:t xml:space="preserve"> </w:t>
      </w:r>
      <w:r>
        <w:rPr>
          <w:rFonts w:ascii="Times New Roman" w:hAnsi="Times New Roman" w:eastAsia="Times New Roman"/>
          <w:sz w:val="24"/>
        </w:rPr>
        <w:t xml:space="preserve">even if constraint migration is weak. Iraq provides a stronger opportunity to</w:t>
      </w:r>
      <w:r>
        <w:rPr>
          <w:rFonts w:ascii="Times New Roman" w:hAnsi="Times New Roman" w:eastAsia="Times New Roman"/>
          <w:sz w:val="24"/>
        </w:rPr>
        <w:t xml:space="preserve"> </w:t>
      </w:r>
      <w:r>
        <w:rPr>
          <w:rFonts w:ascii="Times New Roman" w:hAnsi="Times New Roman" w:eastAsia="Times New Roman"/>
          <w:sz w:val="24"/>
        </w:rPr>
        <w:t xml:space="preserve">observe sequential constraint change. Mali is useful precisely because rival</w:t>
      </w:r>
      <w:r>
        <w:rPr>
          <w:rFonts w:ascii="Times New Roman" w:hAnsi="Times New Roman" w:eastAsia="Times New Roman"/>
          <w:sz w:val="24"/>
        </w:rPr>
        <w:t xml:space="preserve"> </w:t>
      </w:r>
      <w:r>
        <w:rPr>
          <w:rFonts w:ascii="Times New Roman" w:hAnsi="Times New Roman" w:eastAsia="Times New Roman"/>
          <w:sz w:val="24"/>
        </w:rPr>
        <w:t xml:space="preserve">political explanations may dominate. Colombia provides a positive case in which</w:t>
      </w:r>
      <w:r>
        <w:rPr>
          <w:rFonts w:ascii="Times New Roman" w:hAnsi="Times New Roman" w:eastAsia="Times New Roman"/>
          <w:sz w:val="24"/>
        </w:rPr>
        <w:t xml:space="preserve"> </w:t>
      </w:r>
      <w:r>
        <w:rPr>
          <w:rFonts w:ascii="Times New Roman" w:hAnsi="Times New Roman" w:eastAsia="Times New Roman"/>
          <w:sz w:val="24"/>
        </w:rPr>
        <w:t xml:space="preserve">the theory should be able to accommodate sustained indigenous development</w:t>
      </w:r>
      <w:r>
        <w:rPr>
          <w:rFonts w:ascii="Times New Roman" w:hAnsi="Times New Roman" w:eastAsia="Times New Roman"/>
          <w:sz w:val="24"/>
        </w:rPr>
        <w:t xml:space="preserve"> </w:t>
      </w:r>
      <w:r>
        <w:rPr>
          <w:rFonts w:ascii="Times New Roman" w:hAnsi="Times New Roman" w:eastAsia="Times New Roman"/>
          <w:sz w:val="24"/>
        </w:rPr>
        <w:t xml:space="preserve">rather than predicting dependency everywhere.</w:t>
      </w:r>
    </w:p>
    <w:p>
      <w:pPr>
        <w:pStyle w:val="BodyText"/>
        <w:spacing w:line="480" w:lineRule="auto" w:before="0" w:after="0"/>
        <w:ind w:firstLine="720" w:left="0"/>
      </w:pPr>
      <w:r>
        <w:rPr>
          <w:rFonts w:ascii="Times New Roman" w:hAnsi="Times New Roman" w:eastAsia="Times New Roman"/>
          <w:sz w:val="24"/>
        </w:rPr>
        <w:t xml:space="preserve">Evidence is ranked in a frozen source hierarchy: oversight and audit material;</w:t>
      </w:r>
      <w:r>
        <w:rPr>
          <w:rFonts w:ascii="Times New Roman" w:hAnsi="Times New Roman" w:eastAsia="Times New Roman"/>
          <w:sz w:val="24"/>
        </w:rPr>
        <w:t xml:space="preserve"> </w:t>
      </w:r>
      <w:r>
        <w:rPr>
          <w:rFonts w:ascii="Times New Roman" w:hAnsi="Times New Roman" w:eastAsia="Times New Roman"/>
          <w:sz w:val="24"/>
        </w:rPr>
        <w:t xml:space="preserve">contemporaneous official or declassified records; peer-reviewed research with</w:t>
      </w:r>
      <w:r>
        <w:rPr>
          <w:rFonts w:ascii="Times New Roman" w:hAnsi="Times New Roman" w:eastAsia="Times New Roman"/>
          <w:sz w:val="24"/>
        </w:rPr>
        <w:t xml:space="preserve"> </w:t>
      </w:r>
      <w:r>
        <w:rPr>
          <w:rFonts w:ascii="Times New Roman" w:hAnsi="Times New Roman" w:eastAsia="Times New Roman"/>
          <w:sz w:val="24"/>
        </w:rPr>
        <w:t xml:space="preserve">primary evidence; major research institutions; and high-quality journalism.</w:t>
      </w:r>
      <w:r>
        <w:rPr>
          <w:rFonts w:ascii="Times New Roman" w:hAnsi="Times New Roman" w:eastAsia="Times New Roman"/>
          <w:sz w:val="24"/>
        </w:rPr>
        <w:t xml:space="preserve"> </w:t>
      </w:r>
      <w:r>
        <w:rPr>
          <w:rFonts w:ascii="Times New Roman" w:hAnsi="Times New Roman" w:eastAsia="Times New Roman"/>
          <w:sz w:val="24"/>
        </w:rPr>
        <w:t xml:space="preserve">Every episode must also record the strongest plausible rival explanation.</w:t>
      </w:r>
      <w:r>
        <w:rPr>
          <w:rFonts w:ascii="Times New Roman" w:hAnsi="Times New Roman" w:eastAsia="Times New Roman"/>
          <w:sz w:val="24"/>
        </w:rPr>
        <w:t xml:space="preserve"> </w:t>
      </w:r>
      <w:r>
        <w:rPr>
          <w:rFonts w:ascii="Times New Roman" w:hAnsi="Times New Roman" w:eastAsia="Times New Roman"/>
          <w:sz w:val="24"/>
        </w:rPr>
        <w:t xml:space="preserve">Political leadership, corruption, force design, morale, sectarian or factional</w:t>
      </w:r>
      <w:r>
        <w:rPr>
          <w:rFonts w:ascii="Times New Roman" w:hAnsi="Times New Roman" w:eastAsia="Times New Roman"/>
          <w:sz w:val="24"/>
        </w:rPr>
        <w:t xml:space="preserve"> </w:t>
      </w:r>
      <w:r>
        <w:rPr>
          <w:rFonts w:ascii="Times New Roman" w:hAnsi="Times New Roman" w:eastAsia="Times New Roman"/>
          <w:sz w:val="24"/>
        </w:rPr>
        <w:t xml:space="preserve">control, donor strategy, adversary adaptation, and changes in the threat are not</w:t>
      </w:r>
      <w:r>
        <w:rPr>
          <w:rFonts w:ascii="Times New Roman" w:hAnsi="Times New Roman" w:eastAsia="Times New Roman"/>
          <w:sz w:val="24"/>
        </w:rPr>
        <w:t xml:space="preserve"> </w:t>
      </w:r>
      <w:r>
        <w:rPr>
          <w:rFonts w:ascii="Times New Roman" w:hAnsi="Times New Roman" w:eastAsia="Times New Roman"/>
          <w:sz w:val="24"/>
        </w:rPr>
        <w:t xml:space="preserve">treated as residual noise. If they explain an episode better than the proposed</w:t>
      </w:r>
      <w:r>
        <w:rPr>
          <w:rFonts w:ascii="Times New Roman" w:hAnsi="Times New Roman" w:eastAsia="Times New Roman"/>
          <w:sz w:val="24"/>
        </w:rPr>
        <w:t xml:space="preserve"> </w:t>
      </w:r>
      <w:r>
        <w:rPr>
          <w:rFonts w:ascii="Times New Roman" w:hAnsi="Times New Roman" w:eastAsia="Times New Roman"/>
          <w:sz w:val="24"/>
        </w:rPr>
        <w:t xml:space="preserve">production sequence, the case should count against the scope of the mechanism.</w:t>
      </w:r>
    </w:p>
    <w:p>
      <w:pPr>
        <w:pStyle w:val="BodyText"/>
        <w:spacing w:line="480" w:lineRule="auto" w:before="0" w:after="0"/>
        <w:ind w:firstLine="720" w:left="0"/>
      </w:pPr>
      <w:r>
        <w:rPr>
          <w:rFonts w:ascii="Times New Roman" w:hAnsi="Times New Roman" w:eastAsia="Times New Roman"/>
          <w:sz w:val="24"/>
        </w:rPr>
        <w:t xml:space="preserve">The historical test therefore has three possible outcomes.</w:t>
      </w:r>
      <w:r>
        <w:rPr>
          <w:rFonts w:ascii="Times New Roman" w:hAnsi="Times New Roman" w:eastAsia="Times New Roman"/>
          <w:sz w:val="24"/>
        </w:rPr>
        <w:t xml:space="preserve"> </w:t>
      </w:r>
      <w:r>
        <w:rPr>
          <w:rFonts w:ascii="Times New Roman" w:hAnsi="Times New Roman" w:eastAsia="Times New Roman"/>
          <w:b/>
          <w:bCs/>
          <w:sz w:val="24"/>
        </w:rPr>
        <w:t xml:space="preserve">Process support</w:t>
      </w:r>
      <w:r>
        <w:rPr>
          <w:rFonts w:ascii="Times New Roman" w:hAnsi="Times New Roman" w:eastAsia="Times New Roman"/>
          <w:sz w:val="24"/>
        </w:rPr>
        <w:t xml:space="preserve"> </w:t>
      </w:r>
      <w:r>
        <w:rPr>
          <w:rFonts w:ascii="Times New Roman" w:hAnsi="Times New Roman" w:eastAsia="Times New Roman"/>
          <w:sz w:val="24"/>
        </w:rPr>
        <w:t xml:space="preserve">occurs when the initial constraint, targeted relief, demand change, subsequent</w:t>
      </w:r>
      <w:r>
        <w:rPr>
          <w:rFonts w:ascii="Times New Roman" w:hAnsi="Times New Roman" w:eastAsia="Times New Roman"/>
          <w:sz w:val="24"/>
        </w:rPr>
        <w:t xml:space="preserve"> </w:t>
      </w:r>
      <w:r>
        <w:rPr>
          <w:rFonts w:ascii="Times New Roman" w:hAnsi="Times New Roman" w:eastAsia="Times New Roman"/>
          <w:sz w:val="24"/>
        </w:rPr>
        <w:t xml:space="preserve">constraint, and indigenous replacement pattern appear in the expected order.</w:t>
      </w:r>
      <w:r>
        <w:rPr>
          <w:rFonts w:ascii="Times New Roman" w:hAnsi="Times New Roman" w:eastAsia="Times New Roman"/>
          <w:sz w:val="24"/>
        </w:rPr>
        <w:t xml:space="preserve"> </w:t>
      </w:r>
      <w:r>
        <w:rPr>
          <w:rFonts w:ascii="Times New Roman" w:hAnsi="Times New Roman" w:eastAsia="Times New Roman"/>
          <w:b/>
          <w:bCs/>
          <w:sz w:val="24"/>
        </w:rPr>
        <w:t xml:space="preserve">Partial support</w:t>
      </w:r>
      <w:r>
        <w:rPr>
          <w:rFonts w:ascii="Times New Roman" w:hAnsi="Times New Roman" w:eastAsia="Times New Roman"/>
          <w:sz w:val="24"/>
        </w:rPr>
        <w:t xml:space="preserve"> </w:t>
      </w:r>
      <w:r>
        <w:rPr>
          <w:rFonts w:ascii="Times New Roman" w:hAnsi="Times New Roman" w:eastAsia="Times New Roman"/>
          <w:sz w:val="24"/>
        </w:rPr>
        <w:t xml:space="preserve">occurs when only part of that sequence is observable, such</w:t>
      </w:r>
      <w:r>
        <w:rPr>
          <w:rFonts w:ascii="Times New Roman" w:hAnsi="Times New Roman" w:eastAsia="Times New Roman"/>
          <w:sz w:val="24"/>
        </w:rPr>
        <w:t xml:space="preserve"> </w:t>
      </w:r>
      <w:r>
        <w:rPr>
          <w:rFonts w:ascii="Times New Roman" w:hAnsi="Times New Roman" w:eastAsia="Times New Roman"/>
          <w:sz w:val="24"/>
        </w:rPr>
        <w:t xml:space="preserve">as persistent substitution without clear migration.</w:t>
      </w:r>
      <w:r>
        <w:rPr>
          <w:rFonts w:ascii="Times New Roman" w:hAnsi="Times New Roman" w:eastAsia="Times New Roman"/>
          <w:sz w:val="24"/>
        </w:rPr>
        <w:t xml:space="preserve"> </w:t>
      </w:r>
      <w:r>
        <w:rPr>
          <w:rFonts w:ascii="Times New Roman" w:hAnsi="Times New Roman" w:eastAsia="Times New Roman"/>
          <w:b/>
          <w:bCs/>
          <w:sz w:val="24"/>
        </w:rPr>
        <w:t xml:space="preserve">Disconfirmation</w:t>
      </w:r>
      <w:r>
        <w:rPr>
          <w:rFonts w:ascii="Times New Roman" w:hAnsi="Times New Roman" w:eastAsia="Times New Roman"/>
          <w:sz w:val="24"/>
        </w:rPr>
        <w:t xml:space="preserve"> </w:t>
      </w:r>
      <w:r>
        <w:rPr>
          <w:rFonts w:ascii="Times New Roman" w:hAnsi="Times New Roman" w:eastAsia="Times New Roman"/>
          <w:sz w:val="24"/>
        </w:rPr>
        <w:t xml:space="preserve">occurs</w:t>
      </w:r>
      <w:r>
        <w:rPr>
          <w:rFonts w:ascii="Times New Roman" w:hAnsi="Times New Roman" w:eastAsia="Times New Roman"/>
          <w:sz w:val="24"/>
        </w:rPr>
        <w:t xml:space="preserve"> </w:t>
      </w:r>
      <w:r>
        <w:rPr>
          <w:rFonts w:ascii="Times New Roman" w:hAnsi="Times New Roman" w:eastAsia="Times New Roman"/>
          <w:sz w:val="24"/>
        </w:rPr>
        <w:t xml:space="preserve">when the targeted function improves but neither demand, the binding constraint,</w:t>
      </w:r>
      <w:r>
        <w:rPr>
          <w:rFonts w:ascii="Times New Roman" w:hAnsi="Times New Roman" w:eastAsia="Times New Roman"/>
          <w:sz w:val="24"/>
        </w:rPr>
        <w:t xml:space="preserve"> </w:t>
      </w:r>
      <w:r>
        <w:rPr>
          <w:rFonts w:ascii="Times New Roman" w:hAnsi="Times New Roman" w:eastAsia="Times New Roman"/>
          <w:sz w:val="24"/>
        </w:rPr>
        <w:t xml:space="preserve">nor retention behaves as the mechanism predicts, or when an identified rival</w:t>
      </w:r>
      <w:r>
        <w:rPr>
          <w:rFonts w:ascii="Times New Roman" w:hAnsi="Times New Roman" w:eastAsia="Times New Roman"/>
          <w:sz w:val="24"/>
        </w:rPr>
        <w:t xml:space="preserve"> </w:t>
      </w:r>
      <w:r>
        <w:rPr>
          <w:rFonts w:ascii="Times New Roman" w:hAnsi="Times New Roman" w:eastAsia="Times New Roman"/>
          <w:sz w:val="24"/>
        </w:rPr>
        <w:t xml:space="preserve">account better explains the sequence.</w:t>
      </w:r>
    </w:p>
    <w:p>
      <w:pPr>
        <w:pStyle w:val="BodyText"/>
        <w:spacing w:line="480" w:lineRule="auto" w:before="0" w:after="0"/>
        <w:ind w:firstLine="720" w:left="0"/>
      </w:pPr>
      <w:r>
        <w:rPr>
          <w:rFonts w:ascii="Times New Roman" w:hAnsi="Times New Roman" w:eastAsia="Times New Roman"/>
          <w:sz w:val="24"/>
        </w:rPr>
        <w:t xml:space="preserve">Because the Stage-4 synthetic results were already known and the researcher had</w:t>
      </w:r>
      <w:r>
        <w:rPr>
          <w:rFonts w:ascii="Times New Roman" w:hAnsi="Times New Roman" w:eastAsia="Times New Roman"/>
          <w:sz w:val="24"/>
        </w:rPr>
        <w:t xml:space="preserve"> </w:t>
      </w:r>
      <w:r>
        <w:rPr>
          <w:rFonts w:ascii="Times New Roman" w:hAnsi="Times New Roman" w:eastAsia="Times New Roman"/>
          <w:sz w:val="24"/>
        </w:rPr>
        <w:t xml:space="preserve">broad prior familiarity with these cases, the historical exercise is described</w:t>
      </w:r>
      <w:r>
        <w:rPr>
          <w:rFonts w:ascii="Times New Roman" w:hAnsi="Times New Roman" w:eastAsia="Times New Roman"/>
          <w:sz w:val="24"/>
        </w:rPr>
        <w:t xml:space="preserve"> </w:t>
      </w:r>
      <w:r>
        <w:rPr>
          <w:rFonts w:ascii="Times New Roman" w:hAnsi="Times New Roman" w:eastAsia="Times New Roman"/>
          <w:sz w:val="24"/>
        </w:rPr>
        <w:t xml:space="preserve">as structured external validation rather than an untouched confirmatory test.</w:t>
      </w:r>
      <w:r>
        <w:rPr>
          <w:rFonts w:ascii="Times New Roman" w:hAnsi="Times New Roman" w:eastAsia="Times New Roman"/>
          <w:sz w:val="24"/>
        </w:rPr>
        <w:t xml:space="preserve"> </w:t>
      </w:r>
      <w:r>
        <w:rPr>
          <w:rFonts w:ascii="Times New Roman" w:hAnsi="Times New Roman" w:eastAsia="Times New Roman"/>
          <w:sz w:val="24"/>
        </w:rPr>
        <w:t xml:space="preserve">Its coding protocol, case set, source hierarchy, and disconfirming-evidence rule</w:t>
      </w:r>
      <w:r>
        <w:rPr>
          <w:rFonts w:ascii="Times New Roman" w:hAnsi="Times New Roman" w:eastAsia="Times New Roman"/>
          <w:sz w:val="24"/>
        </w:rPr>
        <w:t xml:space="preserve"> </w:t>
      </w:r>
      <w:r>
        <w:rPr>
          <w:rFonts w:ascii="Times New Roman" w:hAnsi="Times New Roman" w:eastAsia="Times New Roman"/>
          <w:sz w:val="24"/>
        </w:rPr>
        <w:t xml:space="preserve">were frozen before systematic case coding. The source-audited case table reports</w:t>
      </w:r>
      <w:r>
        <w:rPr>
          <w:rFonts w:ascii="Times New Roman" w:hAnsi="Times New Roman" w:eastAsia="Times New Roman"/>
          <w:sz w:val="24"/>
        </w:rPr>
        <w:t xml:space="preserve"> </w:t>
      </w:r>
      <w:r>
        <w:rPr>
          <w:rFonts w:ascii="Times New Roman" w:hAnsi="Times New Roman" w:eastAsia="Times New Roman"/>
          <w:sz w:val="24"/>
        </w:rPr>
        <w:t xml:space="preserve">supportive, mixed, and adverse evidence rather than selecting only episodes that</w:t>
      </w:r>
      <w:r>
        <w:rPr>
          <w:rFonts w:ascii="Times New Roman" w:hAnsi="Times New Roman" w:eastAsia="Times New Roman"/>
          <w:sz w:val="24"/>
        </w:rPr>
        <w:t xml:space="preserve"> </w:t>
      </w:r>
      <w:r>
        <w:rPr>
          <w:rFonts w:ascii="Times New Roman" w:hAnsi="Times New Roman" w:eastAsia="Times New Roman"/>
          <w:sz w:val="24"/>
        </w:rPr>
        <w:t xml:space="preserve">confirm the model.</w:t>
      </w:r>
    </w:p>
    <w:p>
      <w:pPr>
        <w:pStyle w:val="BodyText"/>
        <w:spacing w:line="480" w:lineRule="auto" w:before="0" w:after="0"/>
        <w:ind w:firstLine="720" w:left="0"/>
      </w:pPr>
      <w:r>
        <w:rPr>
          <w:rFonts w:ascii="Times New Roman" w:hAnsi="Times New Roman" w:eastAsia="Times New Roman"/>
          <w:sz w:val="24"/>
        </w:rPr>
        <w:t xml:space="preserve">Two important methodological limitations qualify these historical findings. First, all four</w:t>
      </w:r>
      <w:r>
        <w:rPr>
          <w:rFonts w:ascii="Times New Roman" w:hAnsi="Times New Roman" w:eastAsia="Times New Roman"/>
          <w:sz w:val="24"/>
        </w:rPr>
        <w:t xml:space="preserve"> </w:t>
      </w:r>
      <w:r>
        <w:rPr>
          <w:rFonts w:ascii="Times New Roman" w:hAnsi="Times New Roman" w:eastAsia="Times New Roman"/>
          <w:sz w:val="24"/>
        </w:rPr>
        <w:t xml:space="preserve">cases were coded by a single author without an independent second coder, leaving open single-coder</w:t>
      </w:r>
      <w:r>
        <w:rPr>
          <w:rFonts w:ascii="Times New Roman" w:hAnsi="Times New Roman" w:eastAsia="Times New Roman"/>
          <w:sz w:val="24"/>
        </w:rPr>
        <w:t xml:space="preserve"> </w:t>
      </w:r>
      <w:r>
        <w:rPr>
          <w:rFonts w:ascii="Times New Roman" w:hAnsi="Times New Roman" w:eastAsia="Times New Roman"/>
          <w:sz w:val="24"/>
        </w:rPr>
        <w:t xml:space="preserve">confirmation risk despite the frozen source hierarchy. Second, because the theoretical framework</w:t>
      </w:r>
      <w:r>
        <w:rPr>
          <w:rFonts w:ascii="Times New Roman" w:hAnsi="Times New Roman" w:eastAsia="Times New Roman"/>
          <w:sz w:val="24"/>
        </w:rPr>
        <w:t xml:space="preserve"> </w:t>
      </w:r>
      <w:r>
        <w:rPr>
          <w:rFonts w:ascii="Times New Roman" w:hAnsi="Times New Roman" w:eastAsia="Times New Roman"/>
          <w:sz w:val="24"/>
        </w:rPr>
        <w:t xml:space="preserve">encompasses multiple distinct production paths (persistent substitution in Afghanistan, sequential</w:t>
      </w:r>
      <w:r>
        <w:rPr>
          <w:rFonts w:ascii="Times New Roman" w:hAnsi="Times New Roman" w:eastAsia="Times New Roman"/>
          <w:sz w:val="24"/>
        </w:rPr>
        <w:t xml:space="preserve"> </w:t>
      </w:r>
      <w:r>
        <w:rPr>
          <w:rFonts w:ascii="Times New Roman" w:hAnsi="Times New Roman" w:eastAsia="Times New Roman"/>
          <w:sz w:val="24"/>
        </w:rPr>
        <w:t xml:space="preserve">constraint migration in Iraq, local-system divergence in Mali, and phased nationalization in Colombia),</w:t>
      </w:r>
      <w:r>
        <w:rPr>
          <w:rFonts w:ascii="Times New Roman" w:hAnsi="Times New Roman" w:eastAsia="Times New Roman"/>
          <w:sz w:val="24"/>
        </w:rPr>
        <w:t xml:space="preserve"> </w:t>
      </w:r>
      <w:r>
        <w:rPr>
          <w:rFonts w:ascii="Times New Roman" w:hAnsi="Times New Roman" w:eastAsia="Times New Roman"/>
          <w:sz w:val="24"/>
        </w:rPr>
        <w:t xml:space="preserve">accommodating each case under a different branch of the theory creates a soft qualitative test.</w:t>
      </w:r>
      <w:r>
        <w:rPr>
          <w:rFonts w:ascii="Times New Roman" w:hAnsi="Times New Roman" w:eastAsia="Times New Roman"/>
          <w:sz w:val="24"/>
        </w:rPr>
        <w:t xml:space="preserve"> </w:t>
      </w:r>
      <w:r>
        <w:rPr>
          <w:rFonts w:ascii="Times New Roman" w:hAnsi="Times New Roman" w:eastAsia="Times New Roman"/>
          <w:sz w:val="24"/>
        </w:rPr>
        <w:t xml:space="preserve">While the source audit preserves adverse evidence and rival political accounts rather than forcing</w:t>
      </w:r>
      <w:r>
        <w:rPr>
          <w:rFonts w:ascii="Times New Roman" w:hAnsi="Times New Roman" w:eastAsia="Times New Roman"/>
          <w:sz w:val="24"/>
        </w:rPr>
        <w:t xml:space="preserve"> </w:t>
      </w:r>
      <w:r>
        <w:rPr>
          <w:rFonts w:ascii="Times New Roman" w:hAnsi="Times New Roman" w:eastAsia="Times New Roman"/>
          <w:sz w:val="24"/>
        </w:rPr>
        <w:t xml:space="preserve">uniformity, these case studies serve as structured process plausibility checks rather than independent</w:t>
      </w:r>
      <w:r>
        <w:rPr>
          <w:rFonts w:ascii="Times New Roman" w:hAnsi="Times New Roman" w:eastAsia="Times New Roman"/>
          <w:sz w:val="24"/>
        </w:rPr>
        <w:t xml:space="preserve"> </w:t>
      </w:r>
      <w:r>
        <w:rPr>
          <w:rFonts w:ascii="Times New Roman" w:hAnsi="Times New Roman" w:eastAsia="Times New Roman"/>
          <w:sz w:val="24"/>
        </w:rPr>
        <w:t xml:space="preserve">confirmatory tests.</w:t>
      </w:r>
    </w:p>
    <w:bookmarkEnd w:id="129"/>
    <w:bookmarkStart w:id="130" w:name="limitations"/>
    <w:p>
      <w:pPr>
        <w:pStyle w:val="Heading1"/>
        <w:keepNext/>
        <w:spacing w:line="480" w:lineRule="auto" w:after="0" w:before="240"/>
        <w:ind w:firstLine="0" w:left="0"/>
      </w:pPr>
      <w:r>
        <w:rPr>
          <w:rFonts w:ascii="Times New Roman" w:hAnsi="Times New Roman" w:eastAsia="Times New Roman"/>
          <w:b/>
          <w:i w:val="0"/>
          <w:sz w:val="24"/>
        </w:rPr>
        <w:t xml:space="preserve">8. Limitations</w:t>
      </w:r>
    </w:p>
    <w:p>
      <w:pPr>
        <w:pStyle w:val="FirstParagraph"/>
        <w:spacing w:line="480" w:lineRule="auto" w:before="0" w:after="0"/>
        <w:ind w:firstLine="720" w:left="0"/>
      </w:pPr>
      <w:r>
        <w:rPr>
          <w:rFonts w:ascii="Times New Roman" w:hAnsi="Times New Roman" w:eastAsia="Times New Roman"/>
          <w:sz w:val="24"/>
        </w:rPr>
        <w:t xml:space="preserve">First, Pineland is a synthetic model. The numerical effects reported here are consequences of a specified simulated production system, not empirical treatment effects or historical threshold estimates. The model is useful for mechanism isolation because states can be cloned and assistance components manipulated independently. That same control limits direct external validity.</w:t>
      </w:r>
    </w:p>
    <w:p>
      <w:pPr>
        <w:pStyle w:val="BodyText"/>
        <w:spacing w:line="480" w:lineRule="auto" w:before="0" w:after="0"/>
        <w:ind w:firstLine="720" w:left="0"/>
      </w:pPr>
      <w:r>
        <w:rPr>
          <w:rFonts w:ascii="Times New Roman" w:hAnsi="Times New Roman" w:eastAsia="Times New Roman"/>
          <w:sz w:val="24"/>
        </w:rPr>
        <w:t xml:space="preserve">Second, indigenous coverage is a ratio with an endogenous denominator. The revised paper treats this as a substantive object rather than a hidden assumption, but the ratio still depends on how service demand is represented. The no-aid capability comparison and supply-demand decomposition reduce the risk of mistaking denominator growth for destroyed indigenous capacity. The prospective demand clamp does not validate the denominator mechanism: although the manipulation succeeds, the ablation runner recorded a static pre-split baseline coordinate that structurally guaranteed a zero coverage branch difference. The simulated demand functions therefore remain a model assumption whose causal mediation must be tested with dynamic post-withdrawal coverage tracking.</w:t>
      </w:r>
    </w:p>
    <w:p>
      <w:pPr>
        <w:pStyle w:val="BodyText"/>
        <w:spacing w:line="480" w:lineRule="auto" w:before="0" w:after="0"/>
        <w:ind w:firstLine="720" w:left="0"/>
      </w:pPr>
      <w:r>
        <w:rPr>
          <w:rFonts w:ascii="Times New Roman" w:hAnsi="Times New Roman" w:eastAsia="Times New Roman"/>
          <w:sz w:val="24"/>
        </w:rPr>
        <w:t xml:space="preserve">Third, the structural coordinate assumes strong complementarity among force generation, logistics, and command. Smooth arithmetic, geometric, and harmonic alternatives show that many Stage-4 sign results are not unique to a hard minimum, but the model still imposes a limited set of military-production relationships. A richer model could allow more substitution among services or additional channels such as maintenance specialization, intelligence, finance, or officer quality.</w:t>
      </w:r>
    </w:p>
    <w:p>
      <w:pPr>
        <w:pStyle w:val="BodyText"/>
        <w:spacing w:line="480" w:lineRule="auto" w:before="0" w:after="0"/>
        <w:ind w:firstLine="720" w:left="0"/>
      </w:pPr>
      <w:r>
        <w:rPr>
          <w:rFonts w:ascii="Times New Roman" w:hAnsi="Times New Roman" w:eastAsia="Times New Roman"/>
          <w:sz w:val="24"/>
        </w:rPr>
        <w:t xml:space="preserve">Fourth, composite capability is itself a modeled construct. It is the geometric mean of five unit-scale retention components: government control, military personnel, operational formations, geographic coverage, and readiness. This measure makes whole-force performance transparent and bounded, but it is not a validated empirical index of combat effectiveness. The paper therefore reports component and service-level results alongside the composite rather than treating one number as ground truth.</w:t>
      </w:r>
    </w:p>
    <w:p>
      <w:pPr>
        <w:pStyle w:val="BodyText"/>
        <w:spacing w:line="480" w:lineRule="auto" w:before="0" w:after="0"/>
        <w:ind w:firstLine="720" w:left="0"/>
      </w:pPr>
      <w:r>
        <w:rPr>
          <w:rFonts w:ascii="Times New Roman" w:hAnsi="Times New Roman" w:eastAsia="Times New Roman"/>
          <w:sz w:val="24"/>
        </w:rPr>
        <w:t xml:space="preserve">Fifth, the no-aid benchmark is a matched simulation trajectory, not an observational estimate. Matching by structure, capacity, seed, and horizon provides a clean model counterfactual, but it does not reproduce the selection processes that determine which historical partners receive assistance. The distinction between supported effect, retained effect, and dependency gap is analytically useful even where a real-world no-aid counterfactual cannot be estimated cleanly.</w:t>
      </w:r>
    </w:p>
    <w:p>
      <w:pPr>
        <w:pStyle w:val="BodyText"/>
        <w:spacing w:line="480" w:lineRule="auto" w:before="0" w:after="0"/>
        <w:ind w:firstLine="720" w:left="0"/>
      </w:pPr>
      <w:r>
        <w:rPr>
          <w:rFonts w:ascii="Times New Roman" w:hAnsi="Times New Roman" w:eastAsia="Times New Roman"/>
          <w:sz w:val="24"/>
        </w:rPr>
        <w:t xml:space="preserve">Sixth, several important revised analyses are post-completion diagnostics. The matched no-aid comparison, supply-demand decomposition, five-horizon synthesis, migration-yield comparison, and capability-retention-cost framing were developed after the Stage-4 production campaign and after external review. They use frozen telemetry and are labeled as exploratory or post-completion rather than retroactively described as prospectively frozen. The demand-clamp experiment is different: its contract, analysis rules, seeds, and code were frozen before its own production outcomes were observed. That design revealed a measurement limitation in the ablation harness: the primary output shard recorded the static pre-split baseline coordinate at withdrawal day 120 rather than dynamic post-withdrawal service flows. Because both arms share identical prehistory, the branch difference in that field was structurally guaranteed to be zero across all 48 seeds and all five horizons. While dynamic capability effects diverged as expected, the static coverage metric prevented the experiment from testing mediation.</w:t>
      </w:r>
    </w:p>
    <w:p>
      <w:pPr>
        <w:pStyle w:val="BodyText"/>
        <w:spacing w:line="480" w:lineRule="auto" w:before="0" w:after="0"/>
        <w:ind w:firstLine="720" w:left="0"/>
      </w:pPr>
      <w:r>
        <w:rPr>
          <w:rFonts w:ascii="Times New Roman" w:hAnsi="Times New Roman" w:eastAsia="Times New Roman"/>
          <w:sz w:val="24"/>
        </w:rPr>
        <w:t xml:space="preserve">Seventh, assistance architectures are stylized. Development changes partner-owned production on a specified cadence, while substitution supplies removable external service. Real institutional development is politically contested, path dependent, and often much slower. The modeled donor-cost ledger is useful for internal tradeoffs but is not a dollar estimate and should not be used for empirical cost-effectiveness rankings.</w:t>
      </w:r>
    </w:p>
    <w:p>
      <w:pPr>
        <w:pStyle w:val="BodyText"/>
        <w:spacing w:line="480" w:lineRule="auto" w:before="0" w:after="0"/>
        <w:ind w:firstLine="720" w:left="0"/>
      </w:pPr>
      <w:r>
        <w:rPr>
          <w:rFonts w:ascii="Times New Roman" w:hAnsi="Times New Roman" w:eastAsia="Times New Roman"/>
          <w:sz w:val="24"/>
        </w:rPr>
        <w:t xml:space="preserve">Eighth, Stage 5 does not cleanly test its intended scope condition. Its nominal near-tie worlds become almost uniformly logistics-bound before the main treatment comparison. The paired factorial contrasts remain valid for the realized states, but the claim that breadth should become more efficient under a verified multi-constraint near-tie remains unresolved.</w:t>
      </w:r>
    </w:p>
    <w:p>
      <w:pPr>
        <w:pStyle w:val="BodyText"/>
        <w:spacing w:line="480" w:lineRule="auto" w:before="0" w:after="0"/>
        <w:ind w:firstLine="720" w:left="0"/>
      </w:pPr>
      <w:r>
        <w:rPr>
          <w:rFonts w:ascii="Times New Roman" w:hAnsi="Times New Roman" w:eastAsia="Times New Roman"/>
          <w:sz w:val="24"/>
        </w:rPr>
        <w:t xml:space="preserve">Ninth, the structural sidecar rejects only a literal hard-coding claim. It demonstrates that command, force generation, and logistics can each be terminal under adversarial structures, but the intended migration paths do not occur. It is not a global sensitivity analysis of the Stage-4 logistics attractor.</w:t>
      </w:r>
    </w:p>
    <w:p>
      <w:pPr>
        <w:pStyle w:val="BodyText"/>
        <w:spacing w:line="480" w:lineRule="auto" w:before="0" w:after="0"/>
        <w:ind w:firstLine="720" w:left="0"/>
      </w:pPr>
      <w:r>
        <w:rPr>
          <w:rFonts w:ascii="Times New Roman" w:hAnsi="Times New Roman" w:eastAsia="Times New Roman"/>
          <w:sz w:val="24"/>
        </w:rPr>
        <w:t xml:space="preserve">Tenth, the historical case analysis is structured external validation rather than causal confirmation. Afghanistan, Iraq, Mali, and Colombia contain political, organizational, strategic, and adversarial dynamics that the synthetic production model does not identify separately. The historical coding therefore preserves rival explanations and mixed evidence rather than treating resemblance to a simulated mechanism as proof.</w:t>
      </w:r>
    </w:p>
    <w:p>
      <w:pPr>
        <w:pStyle w:val="BodyText"/>
        <w:spacing w:line="480" w:lineRule="auto" w:before="0" w:after="0"/>
        <w:ind w:firstLine="720" w:left="0"/>
      </w:pPr>
      <w:r>
        <w:rPr>
          <w:rFonts w:ascii="Times New Roman" w:hAnsi="Times New Roman" w:eastAsia="Times New Roman"/>
          <w:sz w:val="24"/>
        </w:rPr>
        <w:t xml:space="preserve">Finally, the framework concerns production conditional on political decisions. Recipient incentives, command politics, corruption, patronage, donor leverage, coalition management, and adversary adaptation can determine whether a technically feasible development path is ever pursued. Relief, yield, requirement expansion, constraint displacement, and retention are therefore complements to political analysis, not substitutes for it.</w:t>
      </w:r>
    </w:p>
    <w:bookmarkEnd w:id="130"/>
    <w:bookmarkStart w:id="131" w:name="conclusion"/>
    <w:p>
      <w:pPr>
        <w:pStyle w:val="Heading1"/>
        <w:keepNext/>
        <w:spacing w:line="480" w:lineRule="auto" w:after="0" w:before="240"/>
        <w:ind w:firstLine="0" w:left="0"/>
      </w:pPr>
      <w:r>
        <w:rPr>
          <w:rFonts w:ascii="Times New Roman" w:hAnsi="Times New Roman" w:eastAsia="Times New Roman"/>
          <w:b/>
          <w:i w:val="0"/>
          <w:sz w:val="24"/>
        </w:rPr>
        <w:t xml:space="preserve">9. Conclusion</w:t>
      </w:r>
    </w:p>
    <w:p>
      <w:pPr>
        <w:pStyle w:val="FirstParagraph"/>
        <w:spacing w:line="480" w:lineRule="auto" w:before="0" w:after="0"/>
        <w:ind w:firstLine="720" w:left="0"/>
      </w:pPr>
      <w:r>
        <w:rPr>
          <w:rFonts w:ascii="Times New Roman" w:hAnsi="Times New Roman" w:eastAsia="Times New Roman"/>
          <w:sz w:val="24"/>
        </w:rPr>
        <w:t xml:space="preserve">Security assistance should not be evaluated with a single question such as whether a program</w:t>
      </w:r>
      <w:r>
        <w:rPr>
          <w:rFonts w:ascii="Times New Roman" w:hAnsi="Times New Roman" w:eastAsia="Times New Roman"/>
          <w:sz w:val="24"/>
        </w:rPr>
        <w:t xml:space="preserve"> </w:t>
      </w:r>
      <w:r>
        <w:rPr>
          <w:rFonts w:ascii="Times New Roman" w:hAnsi="Times New Roman" w:eastAsia="Times New Roman"/>
          <w:sz w:val="24"/>
        </w:rPr>
        <w:t xml:space="preserve">“worked.”</w:t>
      </w:r>
      <w:r>
        <w:rPr>
          <w:rFonts w:ascii="Times New Roman" w:hAnsi="Times New Roman" w:eastAsia="Times New Roman"/>
          <w:sz w:val="24"/>
        </w:rPr>
        <w:t xml:space="preserve"> </w:t>
      </w:r>
      <w:r>
        <w:rPr>
          <w:rFonts w:ascii="Times New Roman" w:hAnsi="Times New Roman" w:eastAsia="Times New Roman"/>
          <w:sz w:val="24"/>
        </w:rPr>
        <w:t xml:space="preserve">The more useful questions are whether it relieved the intended constraint, how much whole-force capability followed, how the operating requirement changed, and how much capability remained after external service stopped.</w:t>
      </w:r>
    </w:p>
    <w:p>
      <w:pPr>
        <w:pStyle w:val="BodyText"/>
        <w:spacing w:line="480" w:lineRule="auto" w:before="0" w:after="0"/>
        <w:ind w:firstLine="720" w:left="0"/>
      </w:pPr>
      <w:r>
        <w:rPr>
          <w:rFonts w:ascii="Times New Roman" w:hAnsi="Times New Roman" w:eastAsia="Times New Roman"/>
          <w:sz w:val="24"/>
        </w:rPr>
        <w:t xml:space="preserve">The revised Pineland evidence shows why those questions must be separated. Continued support often outperforms withdrawal after a shared period of assistance, but that dependency gap is not the same as a net gain over no aid. At +30 days, 26 of 120 treated Phase-Map cells show the strict success-without-retention pattern of supported capability above matched no aid and post-withdrawal capability below matched no aid. Thirty cells improve relative to no aid in both branches, while 51 are below no aid in both. Dependence is therefore a meaningful modeled regime, not the universal result of direct support.</w:t>
      </w:r>
    </w:p>
    <w:p>
      <w:pPr>
        <w:pStyle w:val="BodyText"/>
        <w:spacing w:line="480" w:lineRule="auto" w:before="0" w:after="0"/>
        <w:ind w:firstLine="720" w:left="0"/>
      </w:pPr>
      <w:r>
        <w:rPr>
          <w:rFonts w:ascii="Times New Roman" w:hAnsi="Times New Roman" w:eastAsia="Times New Roman"/>
          <w:sz w:val="24"/>
        </w:rPr>
        <w:t xml:space="preserve">The mechanism evidence is also more specific than the original manuscript claimed. In the Stage-4 telemetry, terminal logistics-coverage gaps reflect both indigenous service and the scale of the operating requirement. Descriptive standardization attributes a larger share of the average gap to requirement differences than to lower indigenous delivery. That pattern is consistent with requirement expansion, but the prospective demand-clamp test does not causally confirm it. The clamp matches the withdrawal requirement closely and materially changes capability, yet the ablation harness evaluated a static pre-split baseline coordinate rather than dynamic post-split coverage, structurally guaranteeing an exact-zero coverage branch gap. Requirement expansion therefore remains a plausible interpretation of the Stage-4 trajectories rather than a causally identified mediator.</w:t>
      </w:r>
    </w:p>
    <w:p>
      <w:pPr>
        <w:pStyle w:val="BodyText"/>
        <w:spacing w:line="480" w:lineRule="auto" w:before="0" w:after="0"/>
        <w:ind w:firstLine="720" w:left="0"/>
      </w:pPr>
      <w:r>
        <w:rPr>
          <w:rFonts w:ascii="Times New Roman" w:hAnsi="Times New Roman" w:eastAsia="Times New Roman"/>
          <w:sz w:val="24"/>
        </w:rPr>
        <w:t xml:space="preserve">Constraint displacement is a separate dynamic. Targeted command and force-generation assistance frequently changes which service binds, yet those migrations are associated with little whole-force yield and do not explain the strongest retention penalties. Force-generation relief can therefore be locally successful while producing almost no composite-capability gain. The policy lesson is not that moving bottlenecks are inherently harmful. It is that local relief, whole-system yield, and retention are different outcomes.</w:t>
      </w:r>
    </w:p>
    <w:p>
      <w:pPr>
        <w:pStyle w:val="BodyText"/>
        <w:spacing w:line="480" w:lineRule="auto" w:before="0" w:after="0"/>
        <w:ind w:firstLine="720" w:left="0"/>
      </w:pPr>
      <w:r>
        <w:rPr>
          <w:rFonts w:ascii="Times New Roman" w:hAnsi="Times New Roman" w:eastAsia="Times New Roman"/>
          <w:sz w:val="24"/>
        </w:rPr>
        <w:t xml:space="preserve">Assistance architecture adds another tradeoff. Development can build partner-owned service and substantially improve terminal coverage relative to substitution, but it need not maximize immediate capability and it is not costless in the model. Stage 5 further shows that technical complementarity does not automatically imply that a fixed developmental budget should be spread broadly, especially when one service is already the realized bottleneck. The untested case that now matters most is a verified multi-constraint near-tie.</w:t>
      </w:r>
    </w:p>
    <w:p>
      <w:pPr>
        <w:pStyle w:val="BodyText"/>
        <w:spacing w:line="480" w:lineRule="auto" w:before="0" w:after="0"/>
        <w:ind w:firstLine="720" w:left="0"/>
      </w:pPr>
      <w:r>
        <w:rPr>
          <w:rFonts w:ascii="Times New Roman" w:hAnsi="Times New Roman" w:eastAsia="Times New Roman"/>
          <w:sz w:val="24"/>
        </w:rPr>
        <w:t xml:space="preserve">The paper’s contribution is therefore narrower and stronger than the claim that</w:t>
      </w:r>
      <w:r>
        <w:rPr>
          <w:rFonts w:ascii="Times New Roman" w:hAnsi="Times New Roman" w:eastAsia="Times New Roman"/>
          <w:sz w:val="24"/>
        </w:rPr>
        <w:t xml:space="preserve"> </w:t>
      </w:r>
      <w:r>
        <w:rPr>
          <w:rFonts w:ascii="Times New Roman" w:hAnsi="Times New Roman" w:eastAsia="Times New Roman"/>
          <w:sz w:val="24"/>
        </w:rPr>
        <w:t xml:space="preserve">“support builds dependence.”</w:t>
      </w:r>
      <w:r>
        <w:rPr>
          <w:rFonts w:ascii="Times New Roman" w:hAnsi="Times New Roman" w:eastAsia="Times New Roman"/>
          <w:sz w:val="24"/>
        </w:rPr>
        <w:t xml:space="preserve"> </w:t>
      </w:r>
      <w:r>
        <w:rPr>
          <w:rFonts w:ascii="Times New Roman" w:hAnsi="Times New Roman" w:eastAsia="Times New Roman"/>
          <w:sz w:val="24"/>
        </w:rPr>
        <w:t xml:space="preserve">It provides a production framework for distinguishing supported effects, retained effects, dependency gaps, and successful local relief that merely shifts the limiting constraint. It also shows why mechanism claims require tests beyond outcome decomposition and why those tests can fail even when the original pattern looks persuasive. The practical implication is straightforward: measure absolute supported capability, retained capability, service demand, indigenous service production, the current binding constraint, and cost separately. A force that performs well with the donor and a force that can reproduce that performance without the donor are not the same outcome, and assistance evaluation should not treat them as if they were.</w:t>
      </w:r>
    </w:p>
    <w:bookmarkEnd w:id="131"/>
    <w:bookmarkStart w:id="132" w:name="data-code-and-reproducibility"/>
    <w:p>
      <w:pPr>
        <w:pStyle w:val="Heading1"/>
        <w:keepNext/>
        <w:spacing w:line="480" w:lineRule="auto" w:after="0" w:before="240"/>
        <w:ind w:firstLine="0" w:left="0"/>
      </w:pPr>
      <w:r>
        <w:rPr>
          <w:rFonts w:ascii="Times New Roman" w:hAnsi="Times New Roman" w:eastAsia="Times New Roman"/>
          <w:b/>
          <w:i w:val="0"/>
          <w:sz w:val="24"/>
        </w:rPr>
        <w:t xml:space="preserve">Data, Code, and Reproducibility</w:t>
      </w:r>
    </w:p>
    <w:p>
      <w:pPr>
        <w:pStyle w:val="FirstParagraph"/>
        <w:spacing w:line="480" w:lineRule="auto" w:before="0" w:after="0"/>
        <w:ind w:firstLine="720" w:left="0"/>
      </w:pPr>
      <w:r>
        <w:rPr>
          <w:rFonts w:ascii="Times New Roman" w:hAnsi="Times New Roman" w:eastAsia="Times New Roman"/>
          <w:sz w:val="24"/>
        </w:rPr>
        <w:t xml:space="preserve">The Pineland repository contains the model source, frozen experiment contracts,</w:t>
      </w:r>
      <w:r>
        <w:rPr>
          <w:rFonts w:ascii="Times New Roman" w:hAnsi="Times New Roman" w:eastAsia="Times New Roman"/>
          <w:sz w:val="24"/>
        </w:rPr>
        <w:t xml:space="preserve"> </w:t>
      </w:r>
      <w:r>
        <w:rPr>
          <w:rFonts w:ascii="Times New Roman" w:hAnsi="Times New Roman" w:eastAsia="Times New Roman"/>
          <w:sz w:val="24"/>
        </w:rPr>
        <w:t xml:space="preserve">analysis code, compact evidence tables, figure-generation code, and integrity</w:t>
      </w:r>
      <w:r>
        <w:rPr>
          <w:rFonts w:ascii="Times New Roman" w:hAnsi="Times New Roman" w:eastAsia="Times New Roman"/>
          <w:sz w:val="24"/>
        </w:rPr>
        <w:t xml:space="preserve"> </w:t>
      </w:r>
      <w:r>
        <w:rPr>
          <w:rFonts w:ascii="Times New Roman" w:hAnsi="Times New Roman" w:eastAsia="Times New Roman"/>
          <w:sz w:val="24"/>
        </w:rPr>
        <w:t xml:space="preserve">validators needed to reproduce the manuscript results. Stage 4 completed 2,808</w:t>
      </w:r>
      <w:r>
        <w:rPr>
          <w:rFonts w:ascii="Times New Roman" w:hAnsi="Times New Roman" w:eastAsia="Times New Roman"/>
          <w:sz w:val="24"/>
        </w:rPr>
        <w:t xml:space="preserve"> </w:t>
      </w:r>
      <w:r>
        <w:rPr>
          <w:rFonts w:ascii="Times New Roman" w:hAnsi="Times New Roman" w:eastAsia="Times New Roman"/>
          <w:sz w:val="24"/>
        </w:rPr>
        <w:t xml:space="preserve">production worlds, Stage 5 completed 1,472, and the post-review demand-clamp</w:t>
      </w:r>
      <w:r>
        <w:rPr>
          <w:rFonts w:ascii="Times New Roman" w:hAnsi="Times New Roman" w:eastAsia="Times New Roman"/>
          <w:sz w:val="24"/>
        </w:rPr>
        <w:t xml:space="preserve"> </w:t>
      </w:r>
      <w:r>
        <w:rPr>
          <w:rFonts w:ascii="Times New Roman" w:hAnsi="Times New Roman" w:eastAsia="Times New Roman"/>
          <w:sz w:val="24"/>
        </w:rPr>
        <w:t xml:space="preserve">experiment completed 96 worlds under a separately frozen contract and fresh</w:t>
      </w:r>
      <w:r>
        <w:rPr>
          <w:rFonts w:ascii="Times New Roman" w:hAnsi="Times New Roman" w:eastAsia="Times New Roman"/>
          <w:sz w:val="24"/>
        </w:rPr>
        <w:t xml:space="preserve"> </w:t>
      </w:r>
      <w:r>
        <w:rPr>
          <w:rFonts w:ascii="Times New Roman" w:hAnsi="Times New Roman" w:eastAsia="Times New Roman"/>
          <w:sz w:val="24"/>
        </w:rPr>
        <w:t xml:space="preserve">seed namespace. Each</w:t>
      </w:r>
      <w:r>
        <w:rPr>
          <w:rFonts w:ascii="Times New Roman" w:hAnsi="Times New Roman" w:eastAsia="Times New Roman"/>
          <w:sz w:val="24"/>
        </w:rPr>
        <w:t xml:space="preserve"> </w:t>
      </w:r>
      <w:r>
        <w:rPr>
          <w:rFonts w:ascii="Times New Roman" w:hAnsi="Times New Roman" w:eastAsia="Times New Roman"/>
          <w:sz w:val="24"/>
        </w:rPr>
        <w:t xml:space="preserve">production campaign records task-level source and contract provenance, and the</w:t>
      </w:r>
      <w:r>
        <w:rPr>
          <w:rFonts w:ascii="Times New Roman" w:hAnsi="Times New Roman" w:eastAsia="Times New Roman"/>
          <w:sz w:val="24"/>
        </w:rPr>
        <w:t xml:space="preserve"> </w:t>
      </w:r>
      <w:r>
        <w:rPr>
          <w:rFonts w:ascii="Times New Roman" w:hAnsi="Times New Roman" w:eastAsia="Times New Roman"/>
          <w:sz w:val="24"/>
        </w:rPr>
        <w:t xml:space="preserve">tracked compact evidence is regenerated from immutable raw shards before final</w:t>
      </w:r>
      <w:r>
        <w:rPr>
          <w:rFonts w:ascii="Times New Roman" w:hAnsi="Times New Roman" w:eastAsia="Times New Roman"/>
          <w:sz w:val="24"/>
        </w:rPr>
        <w:t xml:space="preserve"> </w:t>
      </w:r>
      <w:r>
        <w:rPr>
          <w:rFonts w:ascii="Times New Roman" w:hAnsi="Times New Roman" w:eastAsia="Times New Roman"/>
          <w:sz w:val="24"/>
        </w:rPr>
        <w:t xml:space="preserve">manuscript validation. Exact commit identifiers, artifact hashes, cluster</w:t>
      </w:r>
      <w:r>
        <w:rPr>
          <w:rFonts w:ascii="Times New Roman" w:hAnsi="Times New Roman" w:eastAsia="Times New Roman"/>
          <w:sz w:val="24"/>
        </w:rPr>
        <w:t xml:space="preserve"> </w:t>
      </w:r>
      <w:r>
        <w:rPr>
          <w:rFonts w:ascii="Times New Roman" w:hAnsi="Times New Roman" w:eastAsia="Times New Roman"/>
          <w:sz w:val="24"/>
        </w:rPr>
        <w:t xml:space="preserve">commands, and file-level provenance are reported in the supplementary</w:t>
      </w:r>
      <w:r>
        <w:rPr>
          <w:rFonts w:ascii="Times New Roman" w:hAnsi="Times New Roman" w:eastAsia="Times New Roman"/>
          <w:sz w:val="24"/>
        </w:rPr>
        <w:t xml:space="preserve"> </w:t>
      </w:r>
      <w:r>
        <w:rPr>
          <w:rFonts w:ascii="Times New Roman" w:hAnsi="Times New Roman" w:eastAsia="Times New Roman"/>
          <w:sz w:val="24"/>
        </w:rPr>
        <w:t xml:space="preserve">reproducibility appendix rather than in the substantive article.</w:t>
      </w:r>
    </w:p>
    <w:bookmarkEnd w:id="132"/>
    <w:bookmarkStart w:id="133" w:name="disclosure"/>
    <w:p>
      <w:pPr>
        <w:pStyle w:val="Heading1"/>
        <w:keepNext/>
        <w:spacing w:line="480" w:lineRule="auto" w:after="0" w:before="240"/>
        <w:ind w:firstLine="0" w:left="0"/>
      </w:pPr>
      <w:r>
        <w:rPr>
          <w:rFonts w:ascii="Times New Roman" w:hAnsi="Times New Roman" w:eastAsia="Times New Roman"/>
          <w:b/>
          <w:i w:val="0"/>
          <w:sz w:val="24"/>
        </w:rPr>
        <w:t xml:space="preserve">Disclosure</w:t>
      </w:r>
    </w:p>
    <w:p>
      <w:pPr>
        <w:pStyle w:val="FirstParagraph"/>
        <w:spacing w:line="480" w:lineRule="auto" w:before="0" w:after="0"/>
        <w:ind w:firstLine="720" w:left="0"/>
      </w:pPr>
      <w:r>
        <w:rPr>
          <w:rFonts w:ascii="Times New Roman" w:hAnsi="Times New Roman" w:eastAsia="Times New Roman"/>
          <w:sz w:val="24"/>
        </w:rPr>
        <w:t xml:space="preserve">The author designed and developed the Pineland simulation and conducted the</w:t>
      </w:r>
      <w:r>
        <w:rPr>
          <w:rFonts w:ascii="Times New Roman" w:hAnsi="Times New Roman" w:eastAsia="Times New Roman"/>
          <w:sz w:val="24"/>
        </w:rPr>
        <w:t xml:space="preserve"> </w:t>
      </w:r>
      <w:r>
        <w:rPr>
          <w:rFonts w:ascii="Times New Roman" w:hAnsi="Times New Roman" w:eastAsia="Times New Roman"/>
          <w:sz w:val="24"/>
        </w:rPr>
        <w:t xml:space="preserve">analysis described here. The historical-validation exercise was conducted after</w:t>
      </w:r>
      <w:r>
        <w:rPr>
          <w:rFonts w:ascii="Times New Roman" w:hAnsi="Times New Roman" w:eastAsia="Times New Roman"/>
          <w:sz w:val="24"/>
        </w:rPr>
        <w:t xml:space="preserve"> </w:t>
      </w:r>
      <w:r>
        <w:rPr>
          <w:rFonts w:ascii="Times New Roman" w:hAnsi="Times New Roman" w:eastAsia="Times New Roman"/>
          <w:sz w:val="24"/>
        </w:rPr>
        <w:t xml:space="preserve">the synthetic Stage-4 results were observed and is therefore labeled as external</w:t>
      </w:r>
      <w:r>
        <w:rPr>
          <w:rFonts w:ascii="Times New Roman" w:hAnsi="Times New Roman" w:eastAsia="Times New Roman"/>
          <w:sz w:val="24"/>
        </w:rPr>
        <w:t xml:space="preserve"> </w:t>
      </w:r>
      <w:r>
        <w:rPr>
          <w:rFonts w:ascii="Times New Roman" w:hAnsi="Times New Roman" w:eastAsia="Times New Roman"/>
          <w:sz w:val="24"/>
        </w:rPr>
        <w:t xml:space="preserve">validation rather than prospective confirmation. The manuscript makes</w:t>
      </w:r>
      <w:r>
        <w:rPr>
          <w:rFonts w:ascii="Times New Roman" w:hAnsi="Times New Roman" w:eastAsia="Times New Roman"/>
          <w:sz w:val="24"/>
        </w:rPr>
        <w:t xml:space="preserve"> </w:t>
      </w:r>
      <w:r>
        <w:rPr>
          <w:rFonts w:ascii="Times New Roman" w:hAnsi="Times New Roman" w:eastAsia="Times New Roman"/>
          <w:sz w:val="24"/>
        </w:rPr>
        <w:t xml:space="preserve">no claim that synthetic numerical thresholds are empirical estimates for any</w:t>
      </w:r>
      <w:r>
        <w:rPr>
          <w:rFonts w:ascii="Times New Roman" w:hAnsi="Times New Roman" w:eastAsia="Times New Roman"/>
          <w:sz w:val="24"/>
        </w:rPr>
        <w:t xml:space="preserve"> </w:t>
      </w:r>
      <w:r>
        <w:rPr>
          <w:rFonts w:ascii="Times New Roman" w:hAnsi="Times New Roman" w:eastAsia="Times New Roman"/>
          <w:sz w:val="24"/>
        </w:rPr>
        <w:t xml:space="preserve">historical security force. The relief-yield-retention framing and the weighted</w:t>
      </w:r>
      <w:r>
        <w:rPr>
          <w:rFonts w:ascii="Times New Roman" w:hAnsi="Times New Roman" w:eastAsia="Times New Roman"/>
          <w:sz w:val="24"/>
        </w:rPr>
        <w:t xml:space="preserve"> </w:t>
      </w:r>
      <w:r>
        <w:rPr>
          <w:rFonts w:ascii="Times New Roman" w:hAnsi="Times New Roman" w:eastAsia="Times New Roman"/>
          <w:sz w:val="24"/>
        </w:rPr>
        <w:t xml:space="preserve">cross-target yield comparison were developed after Stage-4 completion and are</w:t>
      </w:r>
      <w:r>
        <w:rPr>
          <w:rFonts w:ascii="Times New Roman" w:hAnsi="Times New Roman" w:eastAsia="Times New Roman"/>
          <w:sz w:val="24"/>
        </w:rPr>
        <w:t xml:space="preserve"> </w:t>
      </w:r>
      <w:r>
        <w:rPr>
          <w:rFonts w:ascii="Times New Roman" w:hAnsi="Times New Roman" w:eastAsia="Times New Roman"/>
          <w:sz w:val="24"/>
        </w:rPr>
        <w:t xml:space="preserve">labeled as post-completion synthesis. The coordinated-development Stage-5</w:t>
      </w:r>
      <w:r>
        <w:rPr>
          <w:rFonts w:ascii="Times New Roman" w:hAnsi="Times New Roman" w:eastAsia="Times New Roman"/>
          <w:sz w:val="24"/>
        </w:rPr>
        <w:t xml:space="preserve"> </w:t>
      </w:r>
      <w:r>
        <w:rPr>
          <w:rFonts w:ascii="Times New Roman" w:hAnsi="Times New Roman" w:eastAsia="Times New Roman"/>
          <w:sz w:val="24"/>
        </w:rPr>
        <w:t xml:space="preserve">experiment was motivated by those completed results but prospectively frozen</w:t>
      </w:r>
      <w:r>
        <w:rPr>
          <w:rFonts w:ascii="Times New Roman" w:hAnsi="Times New Roman" w:eastAsia="Times New Roman"/>
          <w:sz w:val="24"/>
        </w:rPr>
        <w:t xml:space="preserve"> </w:t>
      </w:r>
      <w:r>
        <w:rPr>
          <w:rFonts w:ascii="Times New Roman" w:hAnsi="Times New Roman" w:eastAsia="Times New Roman"/>
          <w:sz w:val="24"/>
        </w:rPr>
        <w:t xml:space="preserve">before any Stage-5 production outcome was observed. The post-review demand-clamp</w:t>
      </w:r>
      <w:r>
        <w:rPr>
          <w:rFonts w:ascii="Times New Roman" w:hAnsi="Times New Roman" w:eastAsia="Times New Roman"/>
          <w:sz w:val="24"/>
        </w:rPr>
        <w:t xml:space="preserve"> </w:t>
      </w:r>
      <w:r>
        <w:rPr>
          <w:rFonts w:ascii="Times New Roman" w:hAnsi="Times New Roman" w:eastAsia="Times New Roman"/>
          <w:sz w:val="24"/>
        </w:rPr>
        <w:t xml:space="preserve">experiment was likewise prospectively frozen before its production outcomes;</w:t>
      </w:r>
      <w:r>
        <w:rPr>
          <w:rFonts w:ascii="Times New Roman" w:hAnsi="Times New Roman" w:eastAsia="Times New Roman"/>
          <w:sz w:val="24"/>
        </w:rPr>
        <w:t xml:space="preserve"> </w:t>
      </w:r>
      <w:r>
        <w:rPr>
          <w:rFonts w:ascii="Times New Roman" w:hAnsi="Times New Roman" w:eastAsia="Times New Roman"/>
          <w:sz w:val="24"/>
        </w:rPr>
        <w:t xml:space="preserve">its harness measurement limitation and zero precommitted coverage attenuation are</w:t>
      </w:r>
      <w:r>
        <w:rPr>
          <w:rFonts w:ascii="Times New Roman" w:hAnsi="Times New Roman" w:eastAsia="Times New Roman"/>
          <w:sz w:val="24"/>
        </w:rPr>
        <w:t xml:space="preserve"> </w:t>
      </w:r>
      <w:r>
        <w:rPr>
          <w:rFonts w:ascii="Times New Roman" w:hAnsi="Times New Roman" w:eastAsia="Times New Roman"/>
          <w:sz w:val="24"/>
        </w:rPr>
        <w:t xml:space="preserve">reported without redesigning the experiment around the result.</w:t>
      </w:r>
    </w:p>
    <w:bookmarkEnd w:id="133"/>
    <w:sectPr w:rsidR="00FC693F" w:rsidRPr="0006063C" w:rsidSect="00034616">
      <w:headerReference w:type="default" r:id="rId9"/>
      <w:footerReference w:type="default" r:id="rId10"/>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r="http://schemas.openxmlformats.org/officeDocument/2006/relationships" xmlns:w="http://schemas.openxmlformats.org/wordprocessingml/2006/main">
  <w:footnote w:type="continuationSeparator" w:id="0">
    <w:p>
      <w:r>
        <w:continuationSeparator/>
      </w:r>
    </w:p>
  </w:footnote>
  <w:footnote w:type="separator" w:id="-1">
    <w:p>
      <w:r>
        <w:separator/>
      </w:r>
    </w:p>
  </w:footnote>
  <w:footnote w:id="10">
    <w:p>
      <w:pPr>
        <w:pStyle w:val="FootnoteText"/>
        <w:spacing w:after="40" w:before="0" w:line="240" w:lineRule="auto"/>
      </w:pPr>
      <w:r>
        <w:rPr>
          <w:rStyle w:val="FootnoteReference"/>
          <w:rFonts w:ascii="Times New Roman" w:hAnsi="Times New Roman" w:cs="Times New Roman" w:eastAsia="Times New Roman"/>
          <w:color w:val="000000"/>
        </w:rPr>
        <w:footnoteRef/>
      </w:r>
      <w:r>
        <w:rPr>
          <w:rFonts w:ascii="Times New Roman" w:hAnsi="Times New Roman" w:cs="Times New Roman" w:eastAsia="Times New Roman"/>
          <w:color w:val="000000"/>
          <w:sz w:val="20"/>
          <w:szCs w:val="20"/>
        </w:rPr>
        <w:t xml:space="preserve"> </w:t>
      </w:r>
      <w:r>
        <w:rPr>
          <w:rFonts w:ascii="Times New Roman" w:hAnsi="Times New Roman" w:cs="Times New Roman" w:eastAsia="Times New Roman"/>
          <w:color w:val="000000"/>
          <w:sz w:val="20"/>
          <w:szCs w:val="20"/>
        </w:rPr>
        <w:t xml:space="preserve">Stephen Biddle,</w:t>
      </w:r>
      <w:r>
        <w:rPr>
          <w:rFonts w:ascii="Times New Roman" w:hAnsi="Times New Roman" w:cs="Times New Roman" w:eastAsia="Times New Roman"/>
          <w:color w:val="000000"/>
          <w:sz w:val="20"/>
          <w:szCs w:val="20"/>
        </w:rPr>
        <w:t xml:space="preserve"> </w:t>
      </w:r>
      <w:r>
        <w:rPr>
          <w:rFonts w:ascii="Times New Roman" w:hAnsi="Times New Roman" w:cs="Times New Roman" w:eastAsia="Times New Roman"/>
          <w:color w:val="000000"/>
          <w:sz w:val="20"/>
          <w:szCs w:val="20"/>
        </w:rPr>
        <w:t xml:space="preserve">“Building Security Forces and Stabilizing Nations: The Problem of Agency,”</w:t>
      </w:r>
      <w:r>
        <w:rPr>
          <w:rFonts w:ascii="Times New Roman" w:hAnsi="Times New Roman" w:cs="Times New Roman" w:eastAsia="Times New Roman"/>
          <w:color w:val="000000"/>
          <w:sz w:val="20"/>
          <w:szCs w:val="20"/>
        </w:rPr>
        <w:t xml:space="preserve"> </w:t>
      </w:r>
      <w:r>
        <w:rPr>
          <w:i/>
          <w:iCs/>
          <w:rFonts w:ascii="Times New Roman" w:hAnsi="Times New Roman" w:cs="Times New Roman" w:eastAsia="Times New Roman"/>
          <w:color w:val="000000"/>
          <w:sz w:val="20"/>
          <w:szCs w:val="20"/>
        </w:rPr>
        <w:t xml:space="preserve">Daedalus</w:t>
      </w:r>
      <w:r>
        <w:rPr>
          <w:rFonts w:ascii="Times New Roman" w:hAnsi="Times New Roman" w:cs="Times New Roman" w:eastAsia="Times New Roman"/>
          <w:color w:val="000000"/>
          <w:sz w:val="20"/>
          <w:szCs w:val="20"/>
        </w:rPr>
        <w:t xml:space="preserve"> </w:t>
      </w:r>
      <w:r>
        <w:rPr>
          <w:rFonts w:ascii="Times New Roman" w:hAnsi="Times New Roman" w:cs="Times New Roman" w:eastAsia="Times New Roman"/>
          <w:color w:val="000000"/>
          <w:sz w:val="20"/>
          <w:szCs w:val="20"/>
        </w:rPr>
        <w:t xml:space="preserve">146, no. 4 (2017): 126–38,</w:t>
      </w:r>
      <w:r>
        <w:rPr>
          <w:rFonts w:ascii="Times New Roman" w:hAnsi="Times New Roman" w:cs="Times New Roman" w:eastAsia="Times New Roman"/>
          <w:color w:val="000000"/>
          <w:sz w:val="20"/>
          <w:szCs w:val="20"/>
        </w:rPr>
        <w:t xml:space="preserve"> </w:t>
      </w:r>
      <w:hyperlink r:id="rId11">
        <w:r>
          <w:rPr>
            <w:rStyle w:val="Hyperlink"/>
          </w:rPr>
          <w:t xml:space="preserve">https://doi.org/10.1162/DAED_a_00464</w:t>
        </w:r>
      </w:hyperlink>
      <w:r>
        <w:rPr>
          <w:rFonts w:ascii="Times New Roman" w:hAnsi="Times New Roman" w:cs="Times New Roman" w:eastAsia="Times New Roman"/>
          <w:color w:val="000000"/>
          <w:sz w:val="20"/>
          <w:szCs w:val="20"/>
        </w:rPr>
        <w:t xml:space="preserve">; Stephen Biddle, Julia Macdonald, and Ryan Baker,</w:t>
      </w:r>
      <w:r>
        <w:rPr>
          <w:rFonts w:ascii="Times New Roman" w:hAnsi="Times New Roman" w:cs="Times New Roman" w:eastAsia="Times New Roman"/>
          <w:color w:val="000000"/>
          <w:sz w:val="20"/>
          <w:szCs w:val="20"/>
        </w:rPr>
        <w:t xml:space="preserve"> </w:t>
      </w:r>
      <w:r>
        <w:rPr>
          <w:rFonts w:ascii="Times New Roman" w:hAnsi="Times New Roman" w:cs="Times New Roman" w:eastAsia="Times New Roman"/>
          <w:color w:val="000000"/>
          <w:sz w:val="20"/>
          <w:szCs w:val="20"/>
        </w:rPr>
        <w:t xml:space="preserve">“Small Footprint, Small Payoff: The Military Effectiveness of Security Force Assistance,”</w:t>
      </w:r>
      <w:r>
        <w:rPr>
          <w:rFonts w:ascii="Times New Roman" w:hAnsi="Times New Roman" w:cs="Times New Roman" w:eastAsia="Times New Roman"/>
          <w:color w:val="000000"/>
          <w:sz w:val="20"/>
          <w:szCs w:val="20"/>
        </w:rPr>
        <w:t xml:space="preserve"> </w:t>
      </w:r>
      <w:r>
        <w:rPr>
          <w:i/>
          <w:iCs/>
          <w:rFonts w:ascii="Times New Roman" w:hAnsi="Times New Roman" w:cs="Times New Roman" w:eastAsia="Times New Roman"/>
          <w:color w:val="000000"/>
          <w:sz w:val="20"/>
          <w:szCs w:val="20"/>
        </w:rPr>
        <w:t xml:space="preserve">Journal of Strategic Studies</w:t>
      </w:r>
      <w:r>
        <w:rPr>
          <w:rFonts w:ascii="Times New Roman" w:hAnsi="Times New Roman" w:cs="Times New Roman" w:eastAsia="Times New Roman"/>
          <w:color w:val="000000"/>
          <w:sz w:val="20"/>
          <w:szCs w:val="20"/>
        </w:rPr>
        <w:t xml:space="preserve"> </w:t>
      </w:r>
      <w:r>
        <w:rPr>
          <w:rFonts w:ascii="Times New Roman" w:hAnsi="Times New Roman" w:cs="Times New Roman" w:eastAsia="Times New Roman"/>
          <w:color w:val="000000"/>
          <w:sz w:val="20"/>
          <w:szCs w:val="20"/>
        </w:rPr>
        <w:t xml:space="preserve">41, nos. 1-2 (2018): 89–142,</w:t>
      </w:r>
      <w:r>
        <w:rPr>
          <w:rFonts w:ascii="Times New Roman" w:hAnsi="Times New Roman" w:cs="Times New Roman" w:eastAsia="Times New Roman"/>
          <w:color w:val="000000"/>
          <w:sz w:val="20"/>
          <w:szCs w:val="20"/>
        </w:rPr>
        <w:t xml:space="preserve"> </w:t>
      </w:r>
      <w:hyperlink r:id="rId12">
        <w:r>
          <w:rPr>
            <w:rStyle w:val="Hyperlink"/>
          </w:rPr>
          <w:t xml:space="preserve">https://doi.org/10.1080/01402390.2017.1307745</w:t>
        </w:r>
      </w:hyperlink>
      <w:r>
        <w:rPr>
          <w:rFonts w:ascii="Times New Roman" w:hAnsi="Times New Roman" w:cs="Times New Roman" w:eastAsia="Times New Roman"/>
          <w:color w:val="000000"/>
          <w:sz w:val="20"/>
          <w:szCs w:val="20"/>
        </w:rPr>
        <w:t xml:space="preserve">; Rachel Tecott Metz,</w:t>
      </w:r>
      <w:r>
        <w:rPr>
          <w:rFonts w:ascii="Times New Roman" w:hAnsi="Times New Roman" w:cs="Times New Roman" w:eastAsia="Times New Roman"/>
          <w:color w:val="000000"/>
          <w:sz w:val="20"/>
          <w:szCs w:val="20"/>
        </w:rPr>
        <w:t xml:space="preserve"> </w:t>
      </w:r>
      <w:r>
        <w:rPr>
          <w:rFonts w:ascii="Times New Roman" w:hAnsi="Times New Roman" w:cs="Times New Roman" w:eastAsia="Times New Roman"/>
          <w:color w:val="000000"/>
          <w:sz w:val="20"/>
          <w:szCs w:val="20"/>
        </w:rPr>
        <w:t xml:space="preserve">“The Cult of the Persuasive: Why u.s. Security Assistance Fails,”</w:t>
      </w:r>
      <w:r>
        <w:rPr>
          <w:rFonts w:ascii="Times New Roman" w:hAnsi="Times New Roman" w:cs="Times New Roman" w:eastAsia="Times New Roman"/>
          <w:color w:val="000000"/>
          <w:sz w:val="20"/>
          <w:szCs w:val="20"/>
        </w:rPr>
        <w:t xml:space="preserve"> </w:t>
      </w:r>
      <w:r>
        <w:rPr>
          <w:i/>
          <w:iCs/>
          <w:rFonts w:ascii="Times New Roman" w:hAnsi="Times New Roman" w:cs="Times New Roman" w:eastAsia="Times New Roman"/>
          <w:color w:val="000000"/>
          <w:sz w:val="20"/>
          <w:szCs w:val="20"/>
        </w:rPr>
        <w:t xml:space="preserve">International Security</w:t>
      </w:r>
      <w:r>
        <w:rPr>
          <w:rFonts w:ascii="Times New Roman" w:hAnsi="Times New Roman" w:cs="Times New Roman" w:eastAsia="Times New Roman"/>
          <w:color w:val="000000"/>
          <w:sz w:val="20"/>
          <w:szCs w:val="20"/>
        </w:rPr>
        <w:t xml:space="preserve"> </w:t>
      </w:r>
      <w:r>
        <w:rPr>
          <w:rFonts w:ascii="Times New Roman" w:hAnsi="Times New Roman" w:cs="Times New Roman" w:eastAsia="Times New Roman"/>
          <w:color w:val="000000"/>
          <w:sz w:val="20"/>
          <w:szCs w:val="20"/>
        </w:rPr>
        <w:t xml:space="preserve">47, no. 3 (2023): 95–135,</w:t>
      </w:r>
      <w:r>
        <w:rPr>
          <w:rFonts w:ascii="Times New Roman" w:hAnsi="Times New Roman" w:cs="Times New Roman" w:eastAsia="Times New Roman"/>
          <w:color w:val="000000"/>
          <w:sz w:val="20"/>
          <w:szCs w:val="20"/>
        </w:rPr>
        <w:t xml:space="preserve"> </w:t>
      </w:r>
      <w:hyperlink r:id="rId13">
        <w:r>
          <w:rPr>
            <w:rStyle w:val="Hyperlink"/>
          </w:rPr>
          <w:t xml:space="preserve">https://doi.org/10.1162/isec_a_00453</w:t>
        </w:r>
      </w:hyperlink>
      <w:r>
        <w:rPr>
          <w:rFonts w:ascii="Times New Roman" w:hAnsi="Times New Roman" w:cs="Times New Roman" w:eastAsia="Times New Roman"/>
          <w:color w:val="000000"/>
          <w:sz w:val="20"/>
          <w:szCs w:val="20"/>
        </w:rPr>
        <w:t xml:space="preserve">; Jahara Matisek,</w:t>
      </w:r>
      <w:r>
        <w:rPr>
          <w:rFonts w:ascii="Times New Roman" w:hAnsi="Times New Roman" w:cs="Times New Roman" w:eastAsia="Times New Roman"/>
          <w:color w:val="000000"/>
          <w:sz w:val="20"/>
          <w:szCs w:val="20"/>
        </w:rPr>
        <w:t xml:space="preserve"> </w:t>
      </w:r>
      <w:r>
        <w:rPr>
          <w:rFonts w:ascii="Times New Roman" w:hAnsi="Times New Roman" w:cs="Times New Roman" w:eastAsia="Times New Roman"/>
          <w:color w:val="000000"/>
          <w:sz w:val="20"/>
          <w:szCs w:val="20"/>
        </w:rPr>
        <w:t xml:space="preserve">“The Crisis of American Military Assistance: Strategic Dithering and Faberge Egg Armies,”</w:t>
      </w:r>
      <w:r>
        <w:rPr>
          <w:rFonts w:ascii="Times New Roman" w:hAnsi="Times New Roman" w:cs="Times New Roman" w:eastAsia="Times New Roman"/>
          <w:color w:val="000000"/>
          <w:sz w:val="20"/>
          <w:szCs w:val="20"/>
        </w:rPr>
        <w:t xml:space="preserve"> </w:t>
      </w:r>
      <w:r>
        <w:rPr>
          <w:i/>
          <w:iCs/>
          <w:rFonts w:ascii="Times New Roman" w:hAnsi="Times New Roman" w:cs="Times New Roman" w:eastAsia="Times New Roman"/>
          <w:color w:val="000000"/>
          <w:sz w:val="20"/>
          <w:szCs w:val="20"/>
        </w:rPr>
        <w:t xml:space="preserve">Defense &amp; Security Analysis</w:t>
      </w:r>
      <w:r>
        <w:rPr>
          <w:rFonts w:ascii="Times New Roman" w:hAnsi="Times New Roman" w:cs="Times New Roman" w:eastAsia="Times New Roman"/>
          <w:color w:val="000000"/>
          <w:sz w:val="20"/>
          <w:szCs w:val="20"/>
        </w:rPr>
        <w:t xml:space="preserve"> </w:t>
      </w:r>
      <w:r>
        <w:rPr>
          <w:rFonts w:ascii="Times New Roman" w:hAnsi="Times New Roman" w:cs="Times New Roman" w:eastAsia="Times New Roman"/>
          <w:color w:val="000000"/>
          <w:sz w:val="20"/>
          <w:szCs w:val="20"/>
        </w:rPr>
        <w:t xml:space="preserve">34, no. 3 (2018): 267–90,</w:t>
      </w:r>
      <w:r>
        <w:rPr>
          <w:rFonts w:ascii="Times New Roman" w:hAnsi="Times New Roman" w:cs="Times New Roman" w:eastAsia="Times New Roman"/>
          <w:color w:val="000000"/>
          <w:sz w:val="20"/>
          <w:szCs w:val="20"/>
        </w:rPr>
        <w:t xml:space="preserve"> </w:t>
      </w:r>
      <w:hyperlink r:id="rId14">
        <w:r>
          <w:rPr>
            <w:rStyle w:val="Hyperlink"/>
          </w:rPr>
          <w:t xml:space="preserve">https://doi.org/10.1080/14751798.2018.1500757</w:t>
        </w:r>
      </w:hyperlink>
      <w:r>
        <w:rPr>
          <w:rFonts w:ascii="Times New Roman" w:hAnsi="Times New Roman" w:cs="Times New Roman" w:eastAsia="Times New Roman"/>
          <w:color w:val="000000"/>
          <w:sz w:val="20"/>
          <w:szCs w:val="20"/>
        </w:rPr>
        <w:t xml:space="preserve">; Emily Knowles and Jahara Matisek,</w:t>
      </w:r>
      <w:r>
        <w:rPr>
          <w:rFonts w:ascii="Times New Roman" w:hAnsi="Times New Roman" w:cs="Times New Roman" w:eastAsia="Times New Roman"/>
          <w:color w:val="000000"/>
          <w:sz w:val="20"/>
          <w:szCs w:val="20"/>
        </w:rPr>
        <w:t xml:space="preserve"> </w:t>
      </w:r>
      <w:r>
        <w:rPr>
          <w:rFonts w:ascii="Times New Roman" w:hAnsi="Times New Roman" w:cs="Times New Roman" w:eastAsia="Times New Roman"/>
          <w:color w:val="000000"/>
          <w:sz w:val="20"/>
          <w:szCs w:val="20"/>
        </w:rPr>
        <w:t xml:space="preserve">“Western Security Force Assistance in Weak States: Time for a Peacebuilding Approach,”</w:t>
      </w:r>
      <w:r>
        <w:rPr>
          <w:rFonts w:ascii="Times New Roman" w:hAnsi="Times New Roman" w:cs="Times New Roman" w:eastAsia="Times New Roman"/>
          <w:color w:val="000000"/>
          <w:sz w:val="20"/>
          <w:szCs w:val="20"/>
        </w:rPr>
        <w:t xml:space="preserve"> </w:t>
      </w:r>
      <w:r>
        <w:rPr>
          <w:i/>
          <w:iCs/>
          <w:rFonts w:ascii="Times New Roman" w:hAnsi="Times New Roman" w:cs="Times New Roman" w:eastAsia="Times New Roman"/>
          <w:color w:val="000000"/>
          <w:sz w:val="20"/>
          <w:szCs w:val="20"/>
        </w:rPr>
        <w:t xml:space="preserve">The RUSI Journal</w:t>
      </w:r>
      <w:r>
        <w:rPr>
          <w:rFonts w:ascii="Times New Roman" w:hAnsi="Times New Roman" w:cs="Times New Roman" w:eastAsia="Times New Roman"/>
          <w:color w:val="000000"/>
          <w:sz w:val="20"/>
          <w:szCs w:val="20"/>
        </w:rPr>
        <w:t xml:space="preserve"> </w:t>
      </w:r>
      <w:r>
        <w:rPr>
          <w:rFonts w:ascii="Times New Roman" w:hAnsi="Times New Roman" w:cs="Times New Roman" w:eastAsia="Times New Roman"/>
          <w:color w:val="000000"/>
          <w:sz w:val="20"/>
          <w:szCs w:val="20"/>
        </w:rPr>
        <w:t xml:space="preserve">164, no. 3 (2019): 10–21,</w:t>
      </w:r>
      <w:r>
        <w:rPr>
          <w:rFonts w:ascii="Times New Roman" w:hAnsi="Times New Roman" w:cs="Times New Roman" w:eastAsia="Times New Roman"/>
          <w:color w:val="000000"/>
          <w:sz w:val="20"/>
          <w:szCs w:val="20"/>
        </w:rPr>
        <w:t xml:space="preserve"> </w:t>
      </w:r>
      <w:hyperlink r:id="rId15">
        <w:r>
          <w:rPr>
            <w:rStyle w:val="Hyperlink"/>
          </w:rPr>
          <w:t xml:space="preserve">https://doi.org/10.1080/03071847.2019.1643258</w:t>
        </w:r>
      </w:hyperlink>
      <w:r>
        <w:rPr>
          <w:rFonts w:ascii="Times New Roman" w:hAnsi="Times New Roman" w:cs="Times New Roman" w:eastAsia="Times New Roman"/>
          <w:color w:val="000000"/>
          <w:sz w:val="20"/>
          <w:szCs w:val="20"/>
        </w:rPr>
        <w:t xml:space="preserve">; Kristen A. Harkness,</w:t>
      </w:r>
      <w:r>
        <w:rPr>
          <w:rFonts w:ascii="Times New Roman" w:hAnsi="Times New Roman" w:cs="Times New Roman" w:eastAsia="Times New Roman"/>
          <w:color w:val="000000"/>
          <w:sz w:val="20"/>
          <w:szCs w:val="20"/>
        </w:rPr>
        <w:t xml:space="preserve"> </w:t>
      </w:r>
      <w:r>
        <w:rPr>
          <w:rFonts w:ascii="Times New Roman" w:hAnsi="Times New Roman" w:cs="Times New Roman" w:eastAsia="Times New Roman"/>
          <w:color w:val="000000"/>
          <w:sz w:val="20"/>
          <w:szCs w:val="20"/>
        </w:rPr>
        <w:t xml:space="preserve">“Security Force Assistance to Cameroon: How Building Enclave Units Deepens Autocracy,”</w:t>
      </w:r>
      <w:r>
        <w:rPr>
          <w:rFonts w:ascii="Times New Roman" w:hAnsi="Times New Roman" w:cs="Times New Roman" w:eastAsia="Times New Roman"/>
          <w:color w:val="000000"/>
          <w:sz w:val="20"/>
          <w:szCs w:val="20"/>
        </w:rPr>
        <w:t xml:space="preserve"> </w:t>
      </w:r>
      <w:r>
        <w:rPr>
          <w:i/>
          <w:iCs/>
          <w:rFonts w:ascii="Times New Roman" w:hAnsi="Times New Roman" w:cs="Times New Roman" w:eastAsia="Times New Roman"/>
          <w:color w:val="000000"/>
          <w:sz w:val="20"/>
          <w:szCs w:val="20"/>
        </w:rPr>
        <w:t xml:space="preserve">International Affairs</w:t>
      </w:r>
      <w:r>
        <w:rPr>
          <w:rFonts w:ascii="Times New Roman" w:hAnsi="Times New Roman" w:cs="Times New Roman" w:eastAsia="Times New Roman"/>
          <w:color w:val="000000"/>
          <w:sz w:val="20"/>
          <w:szCs w:val="20"/>
        </w:rPr>
        <w:t xml:space="preserve"> </w:t>
      </w:r>
      <w:r>
        <w:rPr>
          <w:rFonts w:ascii="Times New Roman" w:hAnsi="Times New Roman" w:cs="Times New Roman" w:eastAsia="Times New Roman"/>
          <w:color w:val="000000"/>
          <w:sz w:val="20"/>
          <w:szCs w:val="20"/>
        </w:rPr>
        <w:t xml:space="preserve">98, no. 6 (2022): 2099–117,</w:t>
      </w:r>
      <w:r>
        <w:rPr>
          <w:rFonts w:ascii="Times New Roman" w:hAnsi="Times New Roman" w:cs="Times New Roman" w:eastAsia="Times New Roman"/>
          <w:color w:val="000000"/>
          <w:sz w:val="20"/>
          <w:szCs w:val="20"/>
        </w:rPr>
        <w:t xml:space="preserve"> </w:t>
      </w:r>
      <w:hyperlink r:id="rId16">
        <w:r>
          <w:rPr>
            <w:rStyle w:val="Hyperlink"/>
          </w:rPr>
          <w:t xml:space="preserve">https://doi.org/10.1093/ia/iiac215</w:t>
        </w:r>
      </w:hyperlink>
      <w:r>
        <w:rPr>
          <w:rFonts w:ascii="Times New Roman" w:hAnsi="Times New Roman" w:cs="Times New Roman" w:eastAsia="Times New Roman"/>
          <w:color w:val="000000"/>
          <w:sz w:val="20"/>
          <w:szCs w:val="20"/>
        </w:rPr>
        <w:t xml:space="preserve">; Marie Sandnes,</w:t>
      </w:r>
      <w:r>
        <w:rPr>
          <w:rFonts w:ascii="Times New Roman" w:hAnsi="Times New Roman" w:cs="Times New Roman" w:eastAsia="Times New Roman"/>
          <w:color w:val="000000"/>
          <w:sz w:val="20"/>
          <w:szCs w:val="20"/>
        </w:rPr>
        <w:t xml:space="preserve"> </w:t>
      </w:r>
      <w:r>
        <w:rPr>
          <w:rFonts w:ascii="Times New Roman" w:hAnsi="Times New Roman" w:cs="Times New Roman" w:eastAsia="Times New Roman"/>
          <w:color w:val="000000"/>
          <w:sz w:val="20"/>
          <w:szCs w:val="20"/>
        </w:rPr>
        <w:t xml:space="preserve">“The Effect of Asymmetric Interdependence on the Outcomes of Military Cooperation in the Sahel,”</w:t>
      </w:r>
      <w:r>
        <w:rPr>
          <w:rFonts w:ascii="Times New Roman" w:hAnsi="Times New Roman" w:cs="Times New Roman" w:eastAsia="Times New Roman"/>
          <w:color w:val="000000"/>
          <w:sz w:val="20"/>
          <w:szCs w:val="20"/>
        </w:rPr>
        <w:t xml:space="preserve"> </w:t>
      </w:r>
      <w:r>
        <w:rPr>
          <w:i/>
          <w:iCs/>
          <w:rFonts w:ascii="Times New Roman" w:hAnsi="Times New Roman" w:cs="Times New Roman" w:eastAsia="Times New Roman"/>
          <w:color w:val="000000"/>
          <w:sz w:val="20"/>
          <w:szCs w:val="20"/>
        </w:rPr>
        <w:t xml:space="preserve">Cooperation and Conflict</w:t>
      </w:r>
      <w:r>
        <w:rPr>
          <w:rFonts w:ascii="Times New Roman" w:hAnsi="Times New Roman" w:cs="Times New Roman" w:eastAsia="Times New Roman"/>
          <w:color w:val="000000"/>
          <w:sz w:val="20"/>
          <w:szCs w:val="20"/>
        </w:rPr>
        <w:t xml:space="preserve"> </w:t>
      </w:r>
      <w:r>
        <w:rPr>
          <w:rFonts w:ascii="Times New Roman" w:hAnsi="Times New Roman" w:cs="Times New Roman" w:eastAsia="Times New Roman"/>
          <w:color w:val="000000"/>
          <w:sz w:val="20"/>
          <w:szCs w:val="20"/>
        </w:rPr>
        <w:t xml:space="preserve">59, no. 3 (2024): 405–24,</w:t>
      </w:r>
      <w:r>
        <w:rPr>
          <w:rFonts w:ascii="Times New Roman" w:hAnsi="Times New Roman" w:cs="Times New Roman" w:eastAsia="Times New Roman"/>
          <w:color w:val="000000"/>
          <w:sz w:val="20"/>
          <w:szCs w:val="20"/>
        </w:rPr>
        <w:t xml:space="preserve"> </w:t>
      </w:r>
      <w:hyperlink r:id="rId17">
        <w:r>
          <w:rPr>
            <w:rStyle w:val="Hyperlink"/>
          </w:rPr>
          <w:t xml:space="preserve">https://doi.org/10.1177/00108367231184717</w:t>
        </w:r>
      </w:hyperlink>
      <w:r>
        <w:rPr>
          <w:rFonts w:ascii="Times New Roman" w:hAnsi="Times New Roman" w:cs="Times New Roman" w:eastAsia="Times New Roman"/>
          <w:color w:val="000000"/>
          <w:sz w:val="20"/>
          <w:szCs w:val="20"/>
        </w:rPr>
        <w:t xml:space="preserve">.</w:t>
      </w:r>
    </w:p>
  </w:footnote>
  <w:footnote w:id="18">
    <w:p>
      <w:pPr>
        <w:pStyle w:val="FootnoteText"/>
        <w:spacing w:after="40" w:before="0" w:line="240" w:lineRule="auto"/>
      </w:pPr>
      <w:r>
        <w:rPr>
          <w:rStyle w:val="FootnoteReference"/>
          <w:rFonts w:ascii="Times New Roman" w:hAnsi="Times New Roman" w:cs="Times New Roman" w:eastAsia="Times New Roman"/>
          <w:color w:val="000000"/>
        </w:rPr>
        <w:footnoteRef/>
      </w:r>
      <w:r>
        <w:rPr>
          <w:rFonts w:ascii="Times New Roman" w:hAnsi="Times New Roman" w:cs="Times New Roman" w:eastAsia="Times New Roman"/>
          <w:color w:val="000000"/>
          <w:sz w:val="20"/>
          <w:szCs w:val="20"/>
        </w:rPr>
        <w:t xml:space="preserve"> </w:t>
      </w:r>
      <w:r>
        <w:rPr>
          <w:rFonts w:ascii="Times New Roman" w:hAnsi="Times New Roman" w:cs="Times New Roman" w:eastAsia="Times New Roman"/>
          <w:color w:val="000000"/>
          <w:sz w:val="20"/>
          <w:szCs w:val="20"/>
        </w:rPr>
        <w:t xml:space="preserve">Oystein H. Rolandsen, Maggie Dwyer, and William Reno,</w:t>
      </w:r>
      <w:r>
        <w:rPr>
          <w:rFonts w:ascii="Times New Roman" w:hAnsi="Times New Roman" w:cs="Times New Roman" w:eastAsia="Times New Roman"/>
          <w:color w:val="000000"/>
          <w:sz w:val="20"/>
          <w:szCs w:val="20"/>
        </w:rPr>
        <w:t xml:space="preserve"> </w:t>
      </w:r>
      <w:r>
        <w:rPr>
          <w:rFonts w:ascii="Times New Roman" w:hAnsi="Times New Roman" w:cs="Times New Roman" w:eastAsia="Times New Roman"/>
          <w:color w:val="000000"/>
          <w:sz w:val="20"/>
          <w:szCs w:val="20"/>
        </w:rPr>
        <w:t xml:space="preserve">“Security Force Assistance to Fragile States: A Framework of Analysis,”</w:t>
      </w:r>
      <w:r>
        <w:rPr>
          <w:rFonts w:ascii="Times New Roman" w:hAnsi="Times New Roman" w:cs="Times New Roman" w:eastAsia="Times New Roman"/>
          <w:color w:val="000000"/>
          <w:sz w:val="20"/>
          <w:szCs w:val="20"/>
        </w:rPr>
        <w:t xml:space="preserve"> </w:t>
      </w:r>
      <w:r>
        <w:rPr>
          <w:i/>
          <w:iCs/>
          <w:rFonts w:ascii="Times New Roman" w:hAnsi="Times New Roman" w:cs="Times New Roman" w:eastAsia="Times New Roman"/>
          <w:color w:val="000000"/>
          <w:sz w:val="20"/>
          <w:szCs w:val="20"/>
        </w:rPr>
        <w:t xml:space="preserve">Journal of Intervention and Statebuilding</w:t>
      </w:r>
      <w:r>
        <w:rPr>
          <w:rFonts w:ascii="Times New Roman" w:hAnsi="Times New Roman" w:cs="Times New Roman" w:eastAsia="Times New Roman"/>
          <w:color w:val="000000"/>
          <w:sz w:val="20"/>
          <w:szCs w:val="20"/>
        </w:rPr>
        <w:t xml:space="preserve"> </w:t>
      </w:r>
      <w:r>
        <w:rPr>
          <w:rFonts w:ascii="Times New Roman" w:hAnsi="Times New Roman" w:cs="Times New Roman" w:eastAsia="Times New Roman"/>
          <w:color w:val="000000"/>
          <w:sz w:val="20"/>
          <w:szCs w:val="20"/>
        </w:rPr>
        <w:t xml:space="preserve">15, no. 5 (2021): 563–79,</w:t>
      </w:r>
      <w:r>
        <w:rPr>
          <w:rFonts w:ascii="Times New Roman" w:hAnsi="Times New Roman" w:cs="Times New Roman" w:eastAsia="Times New Roman"/>
          <w:color w:val="000000"/>
          <w:sz w:val="20"/>
          <w:szCs w:val="20"/>
        </w:rPr>
        <w:t xml:space="preserve"> </w:t>
      </w:r>
      <w:hyperlink r:id="rId19">
        <w:r>
          <w:rPr>
            <w:rStyle w:val="Hyperlink"/>
          </w:rPr>
          <w:t xml:space="preserve">https://doi.org/10.1080/17502977.2021.1988224</w:t>
        </w:r>
      </w:hyperlink>
      <w:r>
        <w:rPr>
          <w:rFonts w:ascii="Times New Roman" w:hAnsi="Times New Roman" w:cs="Times New Roman" w:eastAsia="Times New Roman"/>
          <w:color w:val="000000"/>
          <w:sz w:val="20"/>
          <w:szCs w:val="20"/>
        </w:rPr>
        <w:t xml:space="preserve">; Oystein H. Rolandsen, Ursula C. Schroder, Simone Tholens, et al.,</w:t>
      </w:r>
      <w:r>
        <w:rPr>
          <w:rFonts w:ascii="Times New Roman" w:hAnsi="Times New Roman" w:cs="Times New Roman" w:eastAsia="Times New Roman"/>
          <w:color w:val="000000"/>
          <w:sz w:val="20"/>
          <w:szCs w:val="20"/>
        </w:rPr>
        <w:t xml:space="preserve"> </w:t>
      </w:r>
      <w:r>
        <w:rPr>
          <w:rFonts w:ascii="Times New Roman" w:hAnsi="Times New Roman" w:cs="Times New Roman" w:eastAsia="Times New Roman"/>
          <w:color w:val="000000"/>
          <w:sz w:val="20"/>
          <w:szCs w:val="20"/>
        </w:rPr>
        <w:t xml:space="preserve">“Security Assistance and the Crisis of the Liberal International Order,”</w:t>
      </w:r>
      <w:r>
        <w:rPr>
          <w:rFonts w:ascii="Times New Roman" w:hAnsi="Times New Roman" w:cs="Times New Roman" w:eastAsia="Times New Roman"/>
          <w:color w:val="000000"/>
          <w:sz w:val="20"/>
          <w:szCs w:val="20"/>
        </w:rPr>
        <w:t xml:space="preserve"> </w:t>
      </w:r>
      <w:r>
        <w:rPr>
          <w:i/>
          <w:iCs/>
          <w:rFonts w:ascii="Times New Roman" w:hAnsi="Times New Roman" w:cs="Times New Roman" w:eastAsia="Times New Roman"/>
          <w:color w:val="000000"/>
          <w:sz w:val="20"/>
          <w:szCs w:val="20"/>
        </w:rPr>
        <w:t xml:space="preserve">International Studies Review</w:t>
      </w:r>
      <w:r>
        <w:rPr>
          <w:rFonts w:ascii="Times New Roman" w:hAnsi="Times New Roman" w:cs="Times New Roman" w:eastAsia="Times New Roman"/>
          <w:color w:val="000000"/>
          <w:sz w:val="20"/>
          <w:szCs w:val="20"/>
        </w:rPr>
        <w:t xml:space="preserve"> </w:t>
      </w:r>
      <w:r>
        <w:rPr>
          <w:rFonts w:ascii="Times New Roman" w:hAnsi="Times New Roman" w:cs="Times New Roman" w:eastAsia="Times New Roman"/>
          <w:color w:val="000000"/>
          <w:sz w:val="20"/>
          <w:szCs w:val="20"/>
        </w:rPr>
        <w:t xml:space="preserve">28, no. 2 (2026): viag003,</w:t>
      </w:r>
      <w:r>
        <w:rPr>
          <w:rFonts w:ascii="Times New Roman" w:hAnsi="Times New Roman" w:cs="Times New Roman" w:eastAsia="Times New Roman"/>
          <w:color w:val="000000"/>
          <w:sz w:val="20"/>
          <w:szCs w:val="20"/>
        </w:rPr>
        <w:t xml:space="preserve"> </w:t>
      </w:r>
      <w:hyperlink r:id="rId20">
        <w:r>
          <w:rPr>
            <w:rStyle w:val="Hyperlink"/>
          </w:rPr>
          <w:t xml:space="preserve">https://doi.org/10.1093/isr/viag003</w:t>
        </w:r>
      </w:hyperlink>
      <w:r>
        <w:rPr>
          <w:rFonts w:ascii="Times New Roman" w:hAnsi="Times New Roman" w:cs="Times New Roman" w:eastAsia="Times New Roman"/>
          <w:color w:val="000000"/>
          <w:sz w:val="20"/>
          <w:szCs w:val="20"/>
        </w:rPr>
        <w:t xml:space="preserve">.</w:t>
      </w:r>
    </w:p>
  </w:footnote>
  <w:footnote w:id="21">
    <w:p>
      <w:pPr>
        <w:pStyle w:val="FootnoteText"/>
        <w:spacing w:after="40" w:before="0" w:line="240" w:lineRule="auto"/>
      </w:pPr>
      <w:r>
        <w:rPr>
          <w:rStyle w:val="FootnoteReference"/>
          <w:rFonts w:ascii="Times New Roman" w:hAnsi="Times New Roman" w:cs="Times New Roman" w:eastAsia="Times New Roman"/>
          <w:color w:val="000000"/>
        </w:rPr>
        <w:footnoteRef/>
      </w:r>
      <w:r>
        <w:rPr>
          <w:rFonts w:ascii="Times New Roman" w:hAnsi="Times New Roman" w:cs="Times New Roman" w:eastAsia="Times New Roman"/>
          <w:color w:val="000000"/>
          <w:sz w:val="20"/>
          <w:szCs w:val="20"/>
        </w:rPr>
        <w:t xml:space="preserve"> </w:t>
      </w:r>
      <w:r>
        <w:rPr>
          <w:rFonts w:ascii="Times New Roman" w:hAnsi="Times New Roman" w:cs="Times New Roman" w:eastAsia="Times New Roman"/>
          <w:color w:val="000000"/>
          <w:sz w:val="20"/>
          <w:szCs w:val="20"/>
        </w:rPr>
        <w:t xml:space="preserve">Kevin J. Watson, John H. Blackstone, and Stanley C. Gardiner,</w:t>
      </w:r>
      <w:r>
        <w:rPr>
          <w:rFonts w:ascii="Times New Roman" w:hAnsi="Times New Roman" w:cs="Times New Roman" w:eastAsia="Times New Roman"/>
          <w:color w:val="000000"/>
          <w:sz w:val="20"/>
          <w:szCs w:val="20"/>
        </w:rPr>
        <w:t xml:space="preserve"> </w:t>
      </w:r>
      <w:r>
        <w:rPr>
          <w:rFonts w:ascii="Times New Roman" w:hAnsi="Times New Roman" w:cs="Times New Roman" w:eastAsia="Times New Roman"/>
          <w:color w:val="000000"/>
          <w:sz w:val="20"/>
          <w:szCs w:val="20"/>
        </w:rPr>
        <w:t xml:space="preserve">“The Evolution of a Management Philosophy: The Theory of Constraints,”</w:t>
      </w:r>
      <w:r>
        <w:rPr>
          <w:rFonts w:ascii="Times New Roman" w:hAnsi="Times New Roman" w:cs="Times New Roman" w:eastAsia="Times New Roman"/>
          <w:color w:val="000000"/>
          <w:sz w:val="20"/>
          <w:szCs w:val="20"/>
        </w:rPr>
        <w:t xml:space="preserve"> </w:t>
      </w:r>
      <w:r>
        <w:rPr>
          <w:i/>
          <w:iCs/>
          <w:rFonts w:ascii="Times New Roman" w:hAnsi="Times New Roman" w:cs="Times New Roman" w:eastAsia="Times New Roman"/>
          <w:color w:val="000000"/>
          <w:sz w:val="20"/>
          <w:szCs w:val="20"/>
        </w:rPr>
        <w:t xml:space="preserve">Journal of Operations Management</w:t>
      </w:r>
      <w:r>
        <w:rPr>
          <w:rFonts w:ascii="Times New Roman" w:hAnsi="Times New Roman" w:cs="Times New Roman" w:eastAsia="Times New Roman"/>
          <w:color w:val="000000"/>
          <w:sz w:val="20"/>
          <w:szCs w:val="20"/>
        </w:rPr>
        <w:t xml:space="preserve"> </w:t>
      </w:r>
      <w:r>
        <w:rPr>
          <w:rFonts w:ascii="Times New Roman" w:hAnsi="Times New Roman" w:cs="Times New Roman" w:eastAsia="Times New Roman"/>
          <w:color w:val="000000"/>
          <w:sz w:val="20"/>
          <w:szCs w:val="20"/>
        </w:rPr>
        <w:t xml:space="preserve">25, no. 2 (2007): 387–402,</w:t>
      </w:r>
      <w:r>
        <w:rPr>
          <w:rFonts w:ascii="Times New Roman" w:hAnsi="Times New Roman" w:cs="Times New Roman" w:eastAsia="Times New Roman"/>
          <w:color w:val="000000"/>
          <w:sz w:val="20"/>
          <w:szCs w:val="20"/>
        </w:rPr>
        <w:t xml:space="preserve"> </w:t>
      </w:r>
      <w:hyperlink r:id="rId22">
        <w:r>
          <w:rPr>
            <w:rStyle w:val="Hyperlink"/>
          </w:rPr>
          <w:t xml:space="preserve">https://doi.org/10.1016/j.jom.2006.04.004</w:t>
        </w:r>
      </w:hyperlink>
      <w:r>
        <w:rPr>
          <w:rFonts w:ascii="Times New Roman" w:hAnsi="Times New Roman" w:cs="Times New Roman" w:eastAsia="Times New Roman"/>
          <w:color w:val="000000"/>
          <w:sz w:val="20"/>
          <w:szCs w:val="20"/>
        </w:rPr>
        <w:t xml:space="preserve">.</w:t>
      </w:r>
    </w:p>
  </w:footnote>
  <w:footnote w:id="23">
    <w:p>
      <w:pPr>
        <w:pStyle w:val="FootnoteText"/>
        <w:spacing w:after="40" w:before="0" w:line="240" w:lineRule="auto"/>
      </w:pPr>
      <w:r>
        <w:rPr>
          <w:rStyle w:val="FootnoteReference"/>
          <w:rFonts w:ascii="Times New Roman" w:hAnsi="Times New Roman" w:cs="Times New Roman" w:eastAsia="Times New Roman"/>
          <w:color w:val="000000"/>
        </w:rPr>
        <w:footnoteRef/>
      </w:r>
      <w:r>
        <w:rPr>
          <w:rFonts w:ascii="Times New Roman" w:hAnsi="Times New Roman" w:cs="Times New Roman" w:eastAsia="Times New Roman"/>
          <w:color w:val="000000"/>
          <w:sz w:val="20"/>
          <w:szCs w:val="20"/>
        </w:rPr>
        <w:t xml:space="preserve"> </w:t>
      </w:r>
      <w:r>
        <w:rPr>
          <w:rFonts w:ascii="Times New Roman" w:hAnsi="Times New Roman" w:cs="Times New Roman" w:eastAsia="Times New Roman"/>
          <w:color w:val="000000"/>
          <w:sz w:val="20"/>
          <w:szCs w:val="20"/>
        </w:rPr>
        <w:t xml:space="preserve">Albert O. Hirschman,</w:t>
      </w:r>
      <w:r>
        <w:rPr>
          <w:rFonts w:ascii="Times New Roman" w:hAnsi="Times New Roman" w:cs="Times New Roman" w:eastAsia="Times New Roman"/>
          <w:color w:val="000000"/>
          <w:sz w:val="20"/>
          <w:szCs w:val="20"/>
        </w:rPr>
        <w:t xml:space="preserve"> </w:t>
      </w:r>
      <w:r>
        <w:rPr>
          <w:i/>
          <w:iCs/>
          <w:rFonts w:ascii="Times New Roman" w:hAnsi="Times New Roman" w:cs="Times New Roman" w:eastAsia="Times New Roman"/>
          <w:color w:val="000000"/>
          <w:sz w:val="20"/>
          <w:szCs w:val="20"/>
        </w:rPr>
        <w:t xml:space="preserve">The Strategy of Economic Development</w:t>
      </w:r>
      <w:r>
        <w:rPr>
          <w:rFonts w:ascii="Times New Roman" w:hAnsi="Times New Roman" w:cs="Times New Roman" w:eastAsia="Times New Roman"/>
          <w:color w:val="000000"/>
          <w:sz w:val="20"/>
          <w:szCs w:val="20"/>
        </w:rPr>
        <w:t xml:space="preserve"> </w:t>
      </w:r>
      <w:r>
        <w:rPr>
          <w:rFonts w:ascii="Times New Roman" w:hAnsi="Times New Roman" w:cs="Times New Roman" w:eastAsia="Times New Roman"/>
          <w:color w:val="000000"/>
          <w:sz w:val="20"/>
          <w:szCs w:val="20"/>
        </w:rPr>
        <w:t xml:space="preserve">(Yale University Press, 1958).</w:t>
      </w:r>
    </w:p>
  </w:footnote>
  <w:footnote w:id="24">
    <w:p>
      <w:pPr>
        <w:pStyle w:val="FootnoteText"/>
        <w:spacing w:after="40" w:before="0" w:line="240" w:lineRule="auto"/>
      </w:pPr>
      <w:r>
        <w:rPr>
          <w:rStyle w:val="FootnoteReference"/>
          <w:rFonts w:ascii="Times New Roman" w:hAnsi="Times New Roman" w:cs="Times New Roman" w:eastAsia="Times New Roman"/>
          <w:color w:val="000000"/>
        </w:rPr>
        <w:footnoteRef/>
      </w:r>
      <w:r>
        <w:rPr>
          <w:rFonts w:ascii="Times New Roman" w:hAnsi="Times New Roman" w:cs="Times New Roman" w:eastAsia="Times New Roman"/>
          <w:color w:val="000000"/>
          <w:sz w:val="20"/>
          <w:szCs w:val="20"/>
        </w:rPr>
        <w:t xml:space="preserve"> </w:t>
      </w:r>
      <w:r>
        <w:rPr>
          <w:rFonts w:ascii="Times New Roman" w:hAnsi="Times New Roman" w:cs="Times New Roman" w:eastAsia="Times New Roman"/>
          <w:color w:val="000000"/>
          <w:sz w:val="20"/>
          <w:szCs w:val="20"/>
        </w:rPr>
        <w:t xml:space="preserve">David Roodman,</w:t>
      </w:r>
      <w:r>
        <w:rPr>
          <w:rFonts w:ascii="Times New Roman" w:hAnsi="Times New Roman" w:cs="Times New Roman" w:eastAsia="Times New Roman"/>
          <w:color w:val="000000"/>
          <w:sz w:val="20"/>
          <w:szCs w:val="20"/>
        </w:rPr>
        <w:t xml:space="preserve"> </w:t>
      </w:r>
      <w:r>
        <w:rPr>
          <w:i/>
          <w:iCs/>
          <w:rFonts w:ascii="Times New Roman" w:hAnsi="Times New Roman" w:cs="Times New Roman" w:eastAsia="Times New Roman"/>
          <w:color w:val="000000"/>
          <w:sz w:val="20"/>
          <w:szCs w:val="20"/>
        </w:rPr>
        <w:t xml:space="preserve">Aid Project Proliferation and Absorptive Capacity</w:t>
      </w:r>
      <w:r>
        <w:rPr>
          <w:rFonts w:ascii="Times New Roman" w:hAnsi="Times New Roman" w:cs="Times New Roman" w:eastAsia="Times New Roman"/>
          <w:color w:val="000000"/>
          <w:sz w:val="20"/>
          <w:szCs w:val="20"/>
        </w:rPr>
        <w:t xml:space="preserve">, Working Paper 75 (Center for Global Development, 2006); Yutaka Arimoto and Hisaki Kono,</w:t>
      </w:r>
      <w:r>
        <w:rPr>
          <w:rFonts w:ascii="Times New Roman" w:hAnsi="Times New Roman" w:cs="Times New Roman" w:eastAsia="Times New Roman"/>
          <w:color w:val="000000"/>
          <w:sz w:val="20"/>
          <w:szCs w:val="20"/>
        </w:rPr>
        <w:t xml:space="preserve"> </w:t>
      </w:r>
      <w:r>
        <w:rPr>
          <w:rFonts w:ascii="Times New Roman" w:hAnsi="Times New Roman" w:cs="Times New Roman" w:eastAsia="Times New Roman"/>
          <w:color w:val="000000"/>
          <w:sz w:val="20"/>
          <w:szCs w:val="20"/>
        </w:rPr>
        <w:t xml:space="preserve">“Foreign Aid and Recurrent Cost: Donor Competition, Aid Proliferation, and Budget Support,”</w:t>
      </w:r>
      <w:r>
        <w:rPr>
          <w:rFonts w:ascii="Times New Roman" w:hAnsi="Times New Roman" w:cs="Times New Roman" w:eastAsia="Times New Roman"/>
          <w:color w:val="000000"/>
          <w:sz w:val="20"/>
          <w:szCs w:val="20"/>
        </w:rPr>
        <w:t xml:space="preserve"> </w:t>
      </w:r>
      <w:r>
        <w:rPr>
          <w:i/>
          <w:iCs/>
          <w:rFonts w:ascii="Times New Roman" w:hAnsi="Times New Roman" w:cs="Times New Roman" w:eastAsia="Times New Roman"/>
          <w:color w:val="000000"/>
          <w:sz w:val="20"/>
          <w:szCs w:val="20"/>
        </w:rPr>
        <w:t xml:space="preserve">Review of Development Economics</w:t>
      </w:r>
      <w:r>
        <w:rPr>
          <w:rFonts w:ascii="Times New Roman" w:hAnsi="Times New Roman" w:cs="Times New Roman" w:eastAsia="Times New Roman"/>
          <w:color w:val="000000"/>
          <w:sz w:val="20"/>
          <w:szCs w:val="20"/>
        </w:rPr>
        <w:t xml:space="preserve"> </w:t>
      </w:r>
      <w:r>
        <w:rPr>
          <w:rFonts w:ascii="Times New Roman" w:hAnsi="Times New Roman" w:cs="Times New Roman" w:eastAsia="Times New Roman"/>
          <w:color w:val="000000"/>
          <w:sz w:val="20"/>
          <w:szCs w:val="20"/>
        </w:rPr>
        <w:t xml:space="preserve">13, no. 2 (2009): 276–87,</w:t>
      </w:r>
      <w:r>
        <w:rPr>
          <w:rFonts w:ascii="Times New Roman" w:hAnsi="Times New Roman" w:cs="Times New Roman" w:eastAsia="Times New Roman"/>
          <w:color w:val="000000"/>
          <w:sz w:val="20"/>
          <w:szCs w:val="20"/>
        </w:rPr>
        <w:t xml:space="preserve"> </w:t>
      </w:r>
      <w:hyperlink r:id="rId25">
        <w:r>
          <w:rPr>
            <w:rStyle w:val="Hyperlink"/>
          </w:rPr>
          <w:t xml:space="preserve">https://doi.org/10.1111/j.1467-9361.2008.00486.x</w:t>
        </w:r>
      </w:hyperlink>
      <w:r>
        <w:rPr>
          <w:rFonts w:ascii="Times New Roman" w:hAnsi="Times New Roman" w:cs="Times New Roman" w:eastAsia="Times New Roman"/>
          <w:color w:val="000000"/>
          <w:sz w:val="20"/>
          <w:szCs w:val="20"/>
        </w:rPr>
        <w:t xml:space="preserve">.</w:t>
      </w:r>
    </w:p>
  </w:footnote>
  <w:footnote w:id="27">
    <w:p>
      <w:pPr>
        <w:pStyle w:val="FootnoteText"/>
        <w:spacing w:after="40" w:before="0" w:line="240" w:lineRule="auto"/>
      </w:pPr>
      <w:r>
        <w:rPr>
          <w:rStyle w:val="FootnoteReference"/>
          <w:rFonts w:ascii="Times New Roman" w:hAnsi="Times New Roman" w:cs="Times New Roman" w:eastAsia="Times New Roman"/>
          <w:color w:val="000000"/>
        </w:rPr>
        <w:footnoteRef/>
      </w:r>
      <w:r>
        <w:rPr>
          <w:rFonts w:ascii="Times New Roman" w:hAnsi="Times New Roman" w:cs="Times New Roman" w:eastAsia="Times New Roman"/>
          <w:color w:val="000000"/>
          <w:sz w:val="20"/>
          <w:szCs w:val="20"/>
        </w:rPr>
        <w:t xml:space="preserve"> </w:t>
      </w:r>
      <w:r>
        <w:rPr>
          <w:rFonts w:ascii="Times New Roman" w:hAnsi="Times New Roman" w:cs="Times New Roman" w:eastAsia="Times New Roman"/>
          <w:color w:val="000000"/>
          <w:sz w:val="20"/>
          <w:szCs w:val="20"/>
        </w:rPr>
        <w:t xml:space="preserve">Biddle,</w:t>
      </w:r>
      <w:r>
        <w:rPr>
          <w:rFonts w:ascii="Times New Roman" w:hAnsi="Times New Roman" w:cs="Times New Roman" w:eastAsia="Times New Roman"/>
          <w:color w:val="000000"/>
          <w:sz w:val="20"/>
          <w:szCs w:val="20"/>
        </w:rPr>
        <w:t xml:space="preserve"> </w:t>
      </w:r>
      <w:r>
        <w:rPr>
          <w:rFonts w:ascii="Times New Roman" w:hAnsi="Times New Roman" w:cs="Times New Roman" w:eastAsia="Times New Roman"/>
          <w:color w:val="000000"/>
          <w:sz w:val="20"/>
          <w:szCs w:val="20"/>
        </w:rPr>
        <w:t xml:space="preserve">“Building Security Forces and Stabilizing Nations”</w:t>
      </w:r>
      <w:r>
        <w:rPr>
          <w:rFonts w:ascii="Times New Roman" w:hAnsi="Times New Roman" w:cs="Times New Roman" w:eastAsia="Times New Roman"/>
          <w:color w:val="000000"/>
          <w:sz w:val="20"/>
          <w:szCs w:val="20"/>
        </w:rPr>
        <w:t xml:space="preserve">; Biddle et al.,</w:t>
      </w:r>
      <w:r>
        <w:rPr>
          <w:rFonts w:ascii="Times New Roman" w:hAnsi="Times New Roman" w:cs="Times New Roman" w:eastAsia="Times New Roman"/>
          <w:color w:val="000000"/>
          <w:sz w:val="20"/>
          <w:szCs w:val="20"/>
        </w:rPr>
        <w:t xml:space="preserve"> </w:t>
      </w:r>
      <w:r>
        <w:rPr>
          <w:rFonts w:ascii="Times New Roman" w:hAnsi="Times New Roman" w:cs="Times New Roman" w:eastAsia="Times New Roman"/>
          <w:color w:val="000000"/>
          <w:sz w:val="20"/>
          <w:szCs w:val="20"/>
        </w:rPr>
        <w:t xml:space="preserve">“Small Footprint, Small Payoff.”</w:t>
      </w:r>
    </w:p>
  </w:footnote>
  <w:footnote w:id="28">
    <w:p>
      <w:pPr>
        <w:pStyle w:val="FootnoteText"/>
        <w:spacing w:after="40" w:before="0" w:line="240" w:lineRule="auto"/>
      </w:pPr>
      <w:r>
        <w:rPr>
          <w:rStyle w:val="FootnoteReference"/>
          <w:rFonts w:ascii="Times New Roman" w:hAnsi="Times New Roman" w:cs="Times New Roman" w:eastAsia="Times New Roman"/>
          <w:color w:val="000000"/>
        </w:rPr>
        <w:footnoteRef/>
      </w:r>
      <w:r>
        <w:rPr>
          <w:rFonts w:ascii="Times New Roman" w:hAnsi="Times New Roman" w:cs="Times New Roman" w:eastAsia="Times New Roman"/>
          <w:color w:val="000000"/>
          <w:sz w:val="20"/>
          <w:szCs w:val="20"/>
        </w:rPr>
        <w:t xml:space="preserve"> </w:t>
      </w:r>
      <w:r>
        <w:rPr>
          <w:rFonts w:ascii="Times New Roman" w:hAnsi="Times New Roman" w:cs="Times New Roman" w:eastAsia="Times New Roman"/>
          <w:color w:val="000000"/>
          <w:sz w:val="20"/>
          <w:szCs w:val="20"/>
        </w:rPr>
        <w:t xml:space="preserve">Metz,</w:t>
      </w:r>
      <w:r>
        <w:rPr>
          <w:rFonts w:ascii="Times New Roman" w:hAnsi="Times New Roman" w:cs="Times New Roman" w:eastAsia="Times New Roman"/>
          <w:color w:val="000000"/>
          <w:sz w:val="20"/>
          <w:szCs w:val="20"/>
        </w:rPr>
        <w:t xml:space="preserve"> </w:t>
      </w:r>
      <w:r>
        <w:rPr>
          <w:rFonts w:ascii="Times New Roman" w:hAnsi="Times New Roman" w:cs="Times New Roman" w:eastAsia="Times New Roman"/>
          <w:color w:val="000000"/>
          <w:sz w:val="20"/>
          <w:szCs w:val="20"/>
        </w:rPr>
        <w:t xml:space="preserve">“The Cult of the Persuasive.”</w:t>
      </w:r>
    </w:p>
  </w:footnote>
  <w:footnote w:id="30">
    <w:p>
      <w:pPr>
        <w:pStyle w:val="FootnoteText"/>
        <w:spacing w:after="40" w:before="0" w:line="240" w:lineRule="auto"/>
      </w:pPr>
      <w:r>
        <w:rPr>
          <w:rStyle w:val="FootnoteReference"/>
          <w:rFonts w:ascii="Times New Roman" w:hAnsi="Times New Roman" w:cs="Times New Roman" w:eastAsia="Times New Roman"/>
          <w:color w:val="000000"/>
        </w:rPr>
        <w:footnoteRef/>
      </w:r>
      <w:r>
        <w:rPr>
          <w:rFonts w:ascii="Times New Roman" w:hAnsi="Times New Roman" w:cs="Times New Roman" w:eastAsia="Times New Roman"/>
          <w:color w:val="000000"/>
          <w:sz w:val="20"/>
          <w:szCs w:val="20"/>
        </w:rPr>
        <w:t xml:space="preserve"> </w:t>
      </w:r>
      <w:r>
        <w:rPr>
          <w:rFonts w:ascii="Times New Roman" w:hAnsi="Times New Roman" w:cs="Times New Roman" w:eastAsia="Times New Roman"/>
          <w:color w:val="000000"/>
          <w:sz w:val="20"/>
          <w:szCs w:val="20"/>
        </w:rPr>
        <w:t xml:space="preserve">Matisek,</w:t>
      </w:r>
      <w:r>
        <w:rPr>
          <w:rFonts w:ascii="Times New Roman" w:hAnsi="Times New Roman" w:cs="Times New Roman" w:eastAsia="Times New Roman"/>
          <w:color w:val="000000"/>
          <w:sz w:val="20"/>
          <w:szCs w:val="20"/>
        </w:rPr>
        <w:t xml:space="preserve"> </w:t>
      </w:r>
      <w:r>
        <w:rPr>
          <w:rFonts w:ascii="Times New Roman" w:hAnsi="Times New Roman" w:cs="Times New Roman" w:eastAsia="Times New Roman"/>
          <w:color w:val="000000"/>
          <w:sz w:val="20"/>
          <w:szCs w:val="20"/>
        </w:rPr>
        <w:t xml:space="preserve">“The Crisis of American Military Assistance.”</w:t>
      </w:r>
    </w:p>
  </w:footnote>
  <w:footnote w:id="31">
    <w:p>
      <w:pPr>
        <w:pStyle w:val="FootnoteText"/>
        <w:spacing w:after="40" w:before="0" w:line="240" w:lineRule="auto"/>
      </w:pPr>
      <w:r>
        <w:rPr>
          <w:rStyle w:val="FootnoteReference"/>
          <w:rFonts w:ascii="Times New Roman" w:hAnsi="Times New Roman" w:cs="Times New Roman" w:eastAsia="Times New Roman"/>
          <w:color w:val="000000"/>
        </w:rPr>
        <w:footnoteRef/>
      </w:r>
      <w:r>
        <w:rPr>
          <w:rFonts w:ascii="Times New Roman" w:hAnsi="Times New Roman" w:cs="Times New Roman" w:eastAsia="Times New Roman"/>
          <w:color w:val="000000"/>
          <w:sz w:val="20"/>
          <w:szCs w:val="20"/>
        </w:rPr>
        <w:t xml:space="preserve"> </w:t>
      </w:r>
      <w:r>
        <w:rPr>
          <w:rFonts w:ascii="Times New Roman" w:hAnsi="Times New Roman" w:cs="Times New Roman" w:eastAsia="Times New Roman"/>
          <w:color w:val="000000"/>
          <w:sz w:val="20"/>
          <w:szCs w:val="20"/>
        </w:rPr>
        <w:t xml:space="preserve">Knowles and Matisek,</w:t>
      </w:r>
      <w:r>
        <w:rPr>
          <w:rFonts w:ascii="Times New Roman" w:hAnsi="Times New Roman" w:cs="Times New Roman" w:eastAsia="Times New Roman"/>
          <w:color w:val="000000"/>
          <w:sz w:val="20"/>
          <w:szCs w:val="20"/>
        </w:rPr>
        <w:t xml:space="preserve"> </w:t>
      </w:r>
      <w:r>
        <w:rPr>
          <w:rFonts w:ascii="Times New Roman" w:hAnsi="Times New Roman" w:cs="Times New Roman" w:eastAsia="Times New Roman"/>
          <w:color w:val="000000"/>
          <w:sz w:val="20"/>
          <w:szCs w:val="20"/>
        </w:rPr>
        <w:t xml:space="preserve">“Western Security Force Assistance in Weak States.”</w:t>
      </w:r>
    </w:p>
  </w:footnote>
  <w:footnote w:id="32">
    <w:p>
      <w:pPr>
        <w:pStyle w:val="FootnoteText"/>
        <w:spacing w:after="40" w:before="0" w:line="240" w:lineRule="auto"/>
      </w:pPr>
      <w:r>
        <w:rPr>
          <w:rStyle w:val="FootnoteReference"/>
          <w:rFonts w:ascii="Times New Roman" w:hAnsi="Times New Roman" w:cs="Times New Roman" w:eastAsia="Times New Roman"/>
          <w:color w:val="000000"/>
        </w:rPr>
        <w:footnoteRef/>
      </w:r>
      <w:r>
        <w:rPr>
          <w:rFonts w:ascii="Times New Roman" w:hAnsi="Times New Roman" w:cs="Times New Roman" w:eastAsia="Times New Roman"/>
          <w:color w:val="000000"/>
          <w:sz w:val="20"/>
          <w:szCs w:val="20"/>
        </w:rPr>
        <w:t xml:space="preserve"> </w:t>
      </w:r>
      <w:r>
        <w:rPr>
          <w:rFonts w:ascii="Times New Roman" w:hAnsi="Times New Roman" w:cs="Times New Roman" w:eastAsia="Times New Roman"/>
          <w:color w:val="000000"/>
          <w:sz w:val="20"/>
          <w:szCs w:val="20"/>
        </w:rPr>
        <w:t xml:space="preserve">Harkness,</w:t>
      </w:r>
      <w:r>
        <w:rPr>
          <w:rFonts w:ascii="Times New Roman" w:hAnsi="Times New Roman" w:cs="Times New Roman" w:eastAsia="Times New Roman"/>
          <w:color w:val="000000"/>
          <w:sz w:val="20"/>
          <w:szCs w:val="20"/>
        </w:rPr>
        <w:t xml:space="preserve"> </w:t>
      </w:r>
      <w:r>
        <w:rPr>
          <w:rFonts w:ascii="Times New Roman" w:hAnsi="Times New Roman" w:cs="Times New Roman" w:eastAsia="Times New Roman"/>
          <w:color w:val="000000"/>
          <w:sz w:val="20"/>
          <w:szCs w:val="20"/>
        </w:rPr>
        <w:t xml:space="preserve">“Security Force Assistance to Cameroon.”</w:t>
      </w:r>
    </w:p>
  </w:footnote>
  <w:footnote w:id="33">
    <w:p>
      <w:pPr>
        <w:pStyle w:val="FootnoteText"/>
        <w:spacing w:after="40" w:before="0" w:line="240" w:lineRule="auto"/>
      </w:pPr>
      <w:r>
        <w:rPr>
          <w:rStyle w:val="FootnoteReference"/>
          <w:rFonts w:ascii="Times New Roman" w:hAnsi="Times New Roman" w:cs="Times New Roman" w:eastAsia="Times New Roman"/>
          <w:color w:val="000000"/>
        </w:rPr>
        <w:footnoteRef/>
      </w:r>
      <w:r>
        <w:rPr>
          <w:rFonts w:ascii="Times New Roman" w:hAnsi="Times New Roman" w:cs="Times New Roman" w:eastAsia="Times New Roman"/>
          <w:color w:val="000000"/>
          <w:sz w:val="20"/>
          <w:szCs w:val="20"/>
        </w:rPr>
        <w:t xml:space="preserve"> </w:t>
      </w:r>
      <w:r>
        <w:rPr>
          <w:rFonts w:ascii="Times New Roman" w:hAnsi="Times New Roman" w:cs="Times New Roman" w:eastAsia="Times New Roman"/>
          <w:color w:val="000000"/>
          <w:sz w:val="20"/>
          <w:szCs w:val="20"/>
        </w:rPr>
        <w:t xml:space="preserve">Sandnes,</w:t>
      </w:r>
      <w:r>
        <w:rPr>
          <w:rFonts w:ascii="Times New Roman" w:hAnsi="Times New Roman" w:cs="Times New Roman" w:eastAsia="Times New Roman"/>
          <w:color w:val="000000"/>
          <w:sz w:val="20"/>
          <w:szCs w:val="20"/>
        </w:rPr>
        <w:t xml:space="preserve"> </w:t>
      </w:r>
      <w:r>
        <w:rPr>
          <w:rFonts w:ascii="Times New Roman" w:hAnsi="Times New Roman" w:cs="Times New Roman" w:eastAsia="Times New Roman"/>
          <w:color w:val="000000"/>
          <w:sz w:val="20"/>
          <w:szCs w:val="20"/>
        </w:rPr>
        <w:t xml:space="preserve">“The Effect of Asymmetric Interdependence on the Outcomes of Military Cooperation in the Sahel.”</w:t>
      </w:r>
    </w:p>
  </w:footnote>
  <w:footnote w:id="34">
    <w:p>
      <w:pPr>
        <w:pStyle w:val="FootnoteText"/>
        <w:spacing w:after="40" w:before="0" w:line="240" w:lineRule="auto"/>
      </w:pPr>
      <w:r>
        <w:rPr>
          <w:rStyle w:val="FootnoteReference"/>
          <w:rFonts w:ascii="Times New Roman" w:hAnsi="Times New Roman" w:cs="Times New Roman" w:eastAsia="Times New Roman"/>
          <w:color w:val="000000"/>
        </w:rPr>
        <w:footnoteRef/>
      </w:r>
      <w:r>
        <w:rPr>
          <w:rFonts w:ascii="Times New Roman" w:hAnsi="Times New Roman" w:cs="Times New Roman" w:eastAsia="Times New Roman"/>
          <w:color w:val="000000"/>
          <w:sz w:val="20"/>
          <w:szCs w:val="20"/>
        </w:rPr>
        <w:t xml:space="preserve"> </w:t>
      </w:r>
      <w:r>
        <w:rPr>
          <w:rFonts w:ascii="Times New Roman" w:hAnsi="Times New Roman" w:cs="Times New Roman" w:eastAsia="Times New Roman"/>
          <w:color w:val="000000"/>
          <w:sz w:val="20"/>
          <w:szCs w:val="20"/>
        </w:rPr>
        <w:t xml:space="preserve">Mara E. Karlin,</w:t>
      </w:r>
      <w:r>
        <w:rPr>
          <w:rFonts w:ascii="Times New Roman" w:hAnsi="Times New Roman" w:cs="Times New Roman" w:eastAsia="Times New Roman"/>
          <w:color w:val="000000"/>
          <w:sz w:val="20"/>
          <w:szCs w:val="20"/>
        </w:rPr>
        <w:t xml:space="preserve"> </w:t>
      </w:r>
      <w:r>
        <w:rPr>
          <w:i/>
          <w:iCs/>
          <w:rFonts w:ascii="Times New Roman" w:hAnsi="Times New Roman" w:cs="Times New Roman" w:eastAsia="Times New Roman"/>
          <w:color w:val="000000"/>
          <w:sz w:val="20"/>
          <w:szCs w:val="20"/>
        </w:rPr>
        <w:t xml:space="preserve">Building Militaries in Fragile States: Challenges for the United States</w:t>
      </w:r>
      <w:r>
        <w:rPr>
          <w:rFonts w:ascii="Times New Roman" w:hAnsi="Times New Roman" w:cs="Times New Roman" w:eastAsia="Times New Roman"/>
          <w:color w:val="000000"/>
          <w:sz w:val="20"/>
          <w:szCs w:val="20"/>
        </w:rPr>
        <w:t xml:space="preserve"> </w:t>
      </w:r>
      <w:r>
        <w:rPr>
          <w:rFonts w:ascii="Times New Roman" w:hAnsi="Times New Roman" w:cs="Times New Roman" w:eastAsia="Times New Roman"/>
          <w:color w:val="000000"/>
          <w:sz w:val="20"/>
          <w:szCs w:val="20"/>
        </w:rPr>
        <w:t xml:space="preserve">(University of Pennsylvania Press, 2018).</w:t>
      </w:r>
    </w:p>
  </w:footnote>
  <w:footnote w:id="35">
    <w:p>
      <w:pPr>
        <w:pStyle w:val="FootnoteText"/>
        <w:spacing w:after="40" w:before="0" w:line="240" w:lineRule="auto"/>
      </w:pPr>
      <w:r>
        <w:rPr>
          <w:rStyle w:val="FootnoteReference"/>
          <w:rFonts w:ascii="Times New Roman" w:hAnsi="Times New Roman" w:cs="Times New Roman" w:eastAsia="Times New Roman"/>
          <w:color w:val="000000"/>
        </w:rPr>
        <w:footnoteRef/>
      </w:r>
      <w:r>
        <w:rPr>
          <w:rFonts w:ascii="Times New Roman" w:hAnsi="Times New Roman" w:cs="Times New Roman" w:eastAsia="Times New Roman"/>
          <w:color w:val="000000"/>
          <w:sz w:val="20"/>
          <w:szCs w:val="20"/>
        </w:rPr>
        <w:t xml:space="preserve"> </w:t>
      </w:r>
      <w:r>
        <w:rPr>
          <w:rFonts w:ascii="Times New Roman" w:hAnsi="Times New Roman" w:cs="Times New Roman" w:eastAsia="Times New Roman"/>
          <w:color w:val="000000"/>
          <w:sz w:val="20"/>
          <w:szCs w:val="20"/>
        </w:rPr>
        <w:t xml:space="preserve">Phil W. Reynolds,</w:t>
      </w:r>
      <w:r>
        <w:rPr>
          <w:rFonts w:ascii="Times New Roman" w:hAnsi="Times New Roman" w:cs="Times New Roman" w:eastAsia="Times New Roman"/>
          <w:color w:val="000000"/>
          <w:sz w:val="20"/>
          <w:szCs w:val="20"/>
        </w:rPr>
        <w:t xml:space="preserve"> </w:t>
      </w:r>
      <w:r>
        <w:rPr>
          <w:rFonts w:ascii="Times New Roman" w:hAnsi="Times New Roman" w:cs="Times New Roman" w:eastAsia="Times New Roman"/>
          <w:color w:val="000000"/>
          <w:sz w:val="20"/>
          <w:szCs w:val="20"/>
        </w:rPr>
        <w:t xml:space="preserve">“Strategic Fit: Application of World Governance Indicators to u.s. Security Assistance,”</w:t>
      </w:r>
      <w:r>
        <w:rPr>
          <w:rFonts w:ascii="Times New Roman" w:hAnsi="Times New Roman" w:cs="Times New Roman" w:eastAsia="Times New Roman"/>
          <w:color w:val="000000"/>
          <w:sz w:val="20"/>
          <w:szCs w:val="20"/>
        </w:rPr>
        <w:t xml:space="preserve"> </w:t>
      </w:r>
      <w:r>
        <w:rPr>
          <w:i/>
          <w:iCs/>
          <w:rFonts w:ascii="Times New Roman" w:hAnsi="Times New Roman" w:cs="Times New Roman" w:eastAsia="Times New Roman"/>
          <w:color w:val="000000"/>
          <w:sz w:val="20"/>
          <w:szCs w:val="20"/>
        </w:rPr>
        <w:t xml:space="preserve">Defense &amp; Security Analysis</w:t>
      </w:r>
      <w:r>
        <w:rPr>
          <w:rFonts w:ascii="Times New Roman" w:hAnsi="Times New Roman" w:cs="Times New Roman" w:eastAsia="Times New Roman"/>
          <w:color w:val="000000"/>
          <w:sz w:val="20"/>
          <w:szCs w:val="20"/>
        </w:rPr>
        <w:t xml:space="preserve">, ahead of print, 2025,</w:t>
      </w:r>
      <w:r>
        <w:rPr>
          <w:rFonts w:ascii="Times New Roman" w:hAnsi="Times New Roman" w:cs="Times New Roman" w:eastAsia="Times New Roman"/>
          <w:color w:val="000000"/>
          <w:sz w:val="20"/>
          <w:szCs w:val="20"/>
        </w:rPr>
        <w:t xml:space="preserve"> </w:t>
      </w:r>
      <w:hyperlink r:id="rId36">
        <w:r>
          <w:rPr>
            <w:rStyle w:val="Hyperlink"/>
          </w:rPr>
          <w:t xml:space="preserve">https://doi.org/10.1080/14751798.2025.2596533</w:t>
        </w:r>
      </w:hyperlink>
      <w:r>
        <w:rPr>
          <w:rFonts w:ascii="Times New Roman" w:hAnsi="Times New Roman" w:cs="Times New Roman" w:eastAsia="Times New Roman"/>
          <w:color w:val="000000"/>
          <w:sz w:val="20"/>
          <w:szCs w:val="20"/>
        </w:rPr>
        <w:t xml:space="preserve">.</w:t>
      </w:r>
    </w:p>
  </w:footnote>
  <w:footnote w:id="37">
    <w:p>
      <w:pPr>
        <w:pStyle w:val="FootnoteText"/>
        <w:spacing w:after="40" w:before="0" w:line="240" w:lineRule="auto"/>
      </w:pPr>
      <w:r>
        <w:rPr>
          <w:rStyle w:val="FootnoteReference"/>
          <w:rFonts w:ascii="Times New Roman" w:hAnsi="Times New Roman" w:cs="Times New Roman" w:eastAsia="Times New Roman"/>
          <w:color w:val="000000"/>
        </w:rPr>
        <w:footnoteRef/>
      </w:r>
      <w:r>
        <w:rPr>
          <w:rFonts w:ascii="Times New Roman" w:hAnsi="Times New Roman" w:cs="Times New Roman" w:eastAsia="Times New Roman"/>
          <w:color w:val="000000"/>
          <w:sz w:val="20"/>
          <w:szCs w:val="20"/>
        </w:rPr>
        <w:t xml:space="preserve"> </w:t>
      </w:r>
      <w:r>
        <w:rPr>
          <w:rFonts w:ascii="Times New Roman" w:hAnsi="Times New Roman" w:cs="Times New Roman" w:eastAsia="Times New Roman"/>
          <w:color w:val="000000"/>
          <w:sz w:val="20"/>
          <w:szCs w:val="20"/>
        </w:rPr>
        <w:t xml:space="preserve">Michael J. McNerney, Stuart E. Johnson, Stephanie Pezard, et al.,</w:t>
      </w:r>
      <w:r>
        <w:rPr>
          <w:rFonts w:ascii="Times New Roman" w:hAnsi="Times New Roman" w:cs="Times New Roman" w:eastAsia="Times New Roman"/>
          <w:color w:val="000000"/>
          <w:sz w:val="20"/>
          <w:szCs w:val="20"/>
        </w:rPr>
        <w:t xml:space="preserve"> </w:t>
      </w:r>
      <w:r>
        <w:rPr>
          <w:i/>
          <w:iCs/>
          <w:rFonts w:ascii="Times New Roman" w:hAnsi="Times New Roman" w:cs="Times New Roman" w:eastAsia="Times New Roman"/>
          <w:color w:val="000000"/>
          <w:sz w:val="20"/>
          <w:szCs w:val="20"/>
        </w:rPr>
        <w:t xml:space="preserve">Defense Institution Building in Africa: An Assessment</w:t>
      </w:r>
      <w:r>
        <w:rPr>
          <w:rFonts w:ascii="Times New Roman" w:hAnsi="Times New Roman" w:cs="Times New Roman" w:eastAsia="Times New Roman"/>
          <w:color w:val="000000"/>
          <w:sz w:val="20"/>
          <w:szCs w:val="20"/>
        </w:rPr>
        <w:t xml:space="preserve">, RR-1232-OSD (RAND Corporation, 2016),</w:t>
      </w:r>
      <w:r>
        <w:rPr>
          <w:rFonts w:ascii="Times New Roman" w:hAnsi="Times New Roman" w:cs="Times New Roman" w:eastAsia="Times New Roman"/>
          <w:color w:val="000000"/>
          <w:sz w:val="20"/>
          <w:szCs w:val="20"/>
        </w:rPr>
        <w:t xml:space="preserve"> </w:t>
      </w:r>
      <w:hyperlink r:id="rId38">
        <w:r>
          <w:rPr>
            <w:rStyle w:val="Hyperlink"/>
          </w:rPr>
          <w:t xml:space="preserve">https://doi.org/10.7249/RR1232</w:t>
        </w:r>
      </w:hyperlink>
      <w:r>
        <w:rPr>
          <w:rFonts w:ascii="Times New Roman" w:hAnsi="Times New Roman" w:cs="Times New Roman" w:eastAsia="Times New Roman"/>
          <w:color w:val="000000"/>
          <w:sz w:val="20"/>
          <w:szCs w:val="20"/>
        </w:rPr>
        <w:t xml:space="preserve">; Christopher Paul, Colin P. Clarke, Beth Grill, et al.,</w:t>
      </w:r>
      <w:r>
        <w:rPr>
          <w:rFonts w:ascii="Times New Roman" w:hAnsi="Times New Roman" w:cs="Times New Roman" w:eastAsia="Times New Roman"/>
          <w:color w:val="000000"/>
          <w:sz w:val="20"/>
          <w:szCs w:val="20"/>
        </w:rPr>
        <w:t xml:space="preserve"> </w:t>
      </w:r>
      <w:r>
        <w:rPr>
          <w:i/>
          <w:iCs/>
          <w:rFonts w:ascii="Times New Roman" w:hAnsi="Times New Roman" w:cs="Times New Roman" w:eastAsia="Times New Roman"/>
          <w:color w:val="000000"/>
          <w:sz w:val="20"/>
          <w:szCs w:val="20"/>
        </w:rPr>
        <w:t xml:space="preserve">What Works Best When Building Partnership Capacity and Under What Circumstances?</w:t>
      </w:r>
      <w:r>
        <w:rPr>
          <w:rFonts w:ascii="Times New Roman" w:hAnsi="Times New Roman" w:cs="Times New Roman" w:eastAsia="Times New Roman"/>
          <w:color w:val="000000"/>
          <w:sz w:val="20"/>
          <w:szCs w:val="20"/>
        </w:rPr>
        <w:t xml:space="preserve">, MG-1253/1-OSD (RAND Corporation, 2013).</w:t>
      </w:r>
    </w:p>
  </w:footnote>
  <w:footnote w:id="39">
    <w:p>
      <w:pPr>
        <w:pStyle w:val="FootnoteText"/>
        <w:spacing w:after="40" w:before="0" w:line="240" w:lineRule="auto"/>
      </w:pPr>
      <w:r>
        <w:rPr>
          <w:rStyle w:val="FootnoteReference"/>
          <w:rFonts w:ascii="Times New Roman" w:hAnsi="Times New Roman" w:cs="Times New Roman" w:eastAsia="Times New Roman"/>
          <w:color w:val="000000"/>
        </w:rPr>
        <w:footnoteRef/>
      </w:r>
      <w:r>
        <w:rPr>
          <w:rFonts w:ascii="Times New Roman" w:hAnsi="Times New Roman" w:cs="Times New Roman" w:eastAsia="Times New Roman"/>
          <w:color w:val="000000"/>
          <w:sz w:val="20"/>
          <w:szCs w:val="20"/>
        </w:rPr>
        <w:t xml:space="preserve"> </w:t>
      </w:r>
      <w:r>
        <w:rPr>
          <w:rFonts w:ascii="Times New Roman" w:hAnsi="Times New Roman" w:cs="Times New Roman" w:eastAsia="Times New Roman"/>
          <w:color w:val="000000"/>
          <w:sz w:val="20"/>
          <w:szCs w:val="20"/>
        </w:rPr>
        <w:t xml:space="preserve">U.S. Government Accountability Office,</w:t>
      </w:r>
      <w:r>
        <w:rPr>
          <w:rFonts w:ascii="Times New Roman" w:hAnsi="Times New Roman" w:cs="Times New Roman" w:eastAsia="Times New Roman"/>
          <w:color w:val="000000"/>
          <w:sz w:val="20"/>
          <w:szCs w:val="20"/>
        </w:rPr>
        <w:t xml:space="preserve"> </w:t>
      </w:r>
      <w:r>
        <w:rPr>
          <w:i/>
          <w:iCs/>
          <w:rFonts w:ascii="Times New Roman" w:hAnsi="Times New Roman" w:cs="Times New Roman" w:eastAsia="Times New Roman"/>
          <w:color w:val="000000"/>
          <w:sz w:val="20"/>
          <w:szCs w:val="20"/>
        </w:rPr>
        <w:t xml:space="preserve">Building Partner Capacity: DOD and State Should Strengthen Planning for Train and Equip Projects</w:t>
      </w:r>
      <w:r>
        <w:rPr>
          <w:rFonts w:ascii="Times New Roman" w:hAnsi="Times New Roman" w:cs="Times New Roman" w:eastAsia="Times New Roman"/>
          <w:color w:val="000000"/>
          <w:sz w:val="20"/>
          <w:szCs w:val="20"/>
        </w:rPr>
        <w:t xml:space="preserve">, GAO-23-105842 (U.S. Government Accountability Office, 2023).</w:t>
      </w:r>
    </w:p>
  </w:footnote>
  <w:footnote w:id="40">
    <w:p>
      <w:pPr>
        <w:pStyle w:val="FootnoteText"/>
        <w:spacing w:after="40" w:before="0" w:line="240" w:lineRule="auto"/>
      </w:pPr>
      <w:r>
        <w:rPr>
          <w:rStyle w:val="FootnoteReference"/>
          <w:rFonts w:ascii="Times New Roman" w:hAnsi="Times New Roman" w:cs="Times New Roman" w:eastAsia="Times New Roman"/>
          <w:color w:val="000000"/>
        </w:rPr>
        <w:footnoteRef/>
      </w:r>
      <w:r>
        <w:rPr>
          <w:rFonts w:ascii="Times New Roman" w:hAnsi="Times New Roman" w:cs="Times New Roman" w:eastAsia="Times New Roman"/>
          <w:color w:val="000000"/>
          <w:sz w:val="20"/>
          <w:szCs w:val="20"/>
        </w:rPr>
        <w:t xml:space="preserve"> </w:t>
      </w:r>
      <w:r>
        <w:rPr>
          <w:rFonts w:ascii="Times New Roman" w:hAnsi="Times New Roman" w:cs="Times New Roman" w:eastAsia="Times New Roman"/>
          <w:color w:val="000000"/>
          <w:sz w:val="20"/>
          <w:szCs w:val="20"/>
        </w:rPr>
        <w:t xml:space="preserve">Lant Pritchett, Michael Woolcock, and Matt Andrews,</w:t>
      </w:r>
      <w:r>
        <w:rPr>
          <w:rFonts w:ascii="Times New Roman" w:hAnsi="Times New Roman" w:cs="Times New Roman" w:eastAsia="Times New Roman"/>
          <w:color w:val="000000"/>
          <w:sz w:val="20"/>
          <w:szCs w:val="20"/>
        </w:rPr>
        <w:t xml:space="preserve"> </w:t>
      </w:r>
      <w:r>
        <w:rPr>
          <w:rFonts w:ascii="Times New Roman" w:hAnsi="Times New Roman" w:cs="Times New Roman" w:eastAsia="Times New Roman"/>
          <w:color w:val="000000"/>
          <w:sz w:val="20"/>
          <w:szCs w:val="20"/>
        </w:rPr>
        <w:t xml:space="preserve">“Looking Like a State: Techniques of Persistent Failure in State Capability for Implementation,”</w:t>
      </w:r>
      <w:r>
        <w:rPr>
          <w:rFonts w:ascii="Times New Roman" w:hAnsi="Times New Roman" w:cs="Times New Roman" w:eastAsia="Times New Roman"/>
          <w:color w:val="000000"/>
          <w:sz w:val="20"/>
          <w:szCs w:val="20"/>
        </w:rPr>
        <w:t xml:space="preserve"> </w:t>
      </w:r>
      <w:r>
        <w:rPr>
          <w:i/>
          <w:iCs/>
          <w:rFonts w:ascii="Times New Roman" w:hAnsi="Times New Roman" w:cs="Times New Roman" w:eastAsia="Times New Roman"/>
          <w:color w:val="000000"/>
          <w:sz w:val="20"/>
          <w:szCs w:val="20"/>
        </w:rPr>
        <w:t xml:space="preserve">The Journal of Development Studies</w:t>
      </w:r>
      <w:r>
        <w:rPr>
          <w:rFonts w:ascii="Times New Roman" w:hAnsi="Times New Roman" w:cs="Times New Roman" w:eastAsia="Times New Roman"/>
          <w:color w:val="000000"/>
          <w:sz w:val="20"/>
          <w:szCs w:val="20"/>
        </w:rPr>
        <w:t xml:space="preserve"> </w:t>
      </w:r>
      <w:r>
        <w:rPr>
          <w:rFonts w:ascii="Times New Roman" w:hAnsi="Times New Roman" w:cs="Times New Roman" w:eastAsia="Times New Roman"/>
          <w:color w:val="000000"/>
          <w:sz w:val="20"/>
          <w:szCs w:val="20"/>
        </w:rPr>
        <w:t xml:space="preserve">49, no. 1 (2013): 1–18,</w:t>
      </w:r>
      <w:r>
        <w:rPr>
          <w:rFonts w:ascii="Times New Roman" w:hAnsi="Times New Roman" w:cs="Times New Roman" w:eastAsia="Times New Roman"/>
          <w:color w:val="000000"/>
          <w:sz w:val="20"/>
          <w:szCs w:val="20"/>
        </w:rPr>
        <w:t xml:space="preserve"> </w:t>
      </w:r>
      <w:hyperlink r:id="rId41">
        <w:r>
          <w:rPr>
            <w:rStyle w:val="Hyperlink"/>
          </w:rPr>
          <w:t xml:space="preserve">https://doi.org/10.1080/00220388.2012.709614</w:t>
        </w:r>
      </w:hyperlink>
      <w:r>
        <w:rPr>
          <w:rFonts w:ascii="Times New Roman" w:hAnsi="Times New Roman" w:cs="Times New Roman" w:eastAsia="Times New Roman"/>
          <w:color w:val="000000"/>
          <w:sz w:val="20"/>
          <w:szCs w:val="20"/>
        </w:rPr>
        <w:t xml:space="preserve">; Matt Andrews, Lant Pritchett, and Michael Woolcock,</w:t>
      </w:r>
      <w:r>
        <w:rPr>
          <w:rFonts w:ascii="Times New Roman" w:hAnsi="Times New Roman" w:cs="Times New Roman" w:eastAsia="Times New Roman"/>
          <w:color w:val="000000"/>
          <w:sz w:val="20"/>
          <w:szCs w:val="20"/>
        </w:rPr>
        <w:t xml:space="preserve"> </w:t>
      </w:r>
      <w:r>
        <w:rPr>
          <w:i/>
          <w:iCs/>
          <w:rFonts w:ascii="Times New Roman" w:hAnsi="Times New Roman" w:cs="Times New Roman" w:eastAsia="Times New Roman"/>
          <w:color w:val="000000"/>
          <w:sz w:val="20"/>
          <w:szCs w:val="20"/>
        </w:rPr>
        <w:t xml:space="preserve">Building State Capability: Evidence, Analysis, Action</w:t>
      </w:r>
      <w:r>
        <w:rPr>
          <w:rFonts w:ascii="Times New Roman" w:hAnsi="Times New Roman" w:cs="Times New Roman" w:eastAsia="Times New Roman"/>
          <w:color w:val="000000"/>
          <w:sz w:val="20"/>
          <w:szCs w:val="20"/>
        </w:rPr>
        <w:t xml:space="preserve"> </w:t>
      </w:r>
      <w:r>
        <w:rPr>
          <w:rFonts w:ascii="Times New Roman" w:hAnsi="Times New Roman" w:cs="Times New Roman" w:eastAsia="Times New Roman"/>
          <w:color w:val="000000"/>
          <w:sz w:val="20"/>
          <w:szCs w:val="20"/>
        </w:rPr>
        <w:t xml:space="preserve">(Oxford University Press, 2017),</w:t>
      </w:r>
      <w:r>
        <w:rPr>
          <w:rFonts w:ascii="Times New Roman" w:hAnsi="Times New Roman" w:cs="Times New Roman" w:eastAsia="Times New Roman"/>
          <w:color w:val="000000"/>
          <w:sz w:val="20"/>
          <w:szCs w:val="20"/>
        </w:rPr>
        <w:t xml:space="preserve"> </w:t>
      </w:r>
      <w:hyperlink r:id="rId42">
        <w:r>
          <w:rPr>
            <w:rStyle w:val="Hyperlink"/>
          </w:rPr>
          <w:t xml:space="preserve">https://doi.org/10.1093/acprof:oso/9780198747482.001.0001</w:t>
        </w:r>
      </w:hyperlink>
      <w:r>
        <w:rPr>
          <w:rFonts w:ascii="Times New Roman" w:hAnsi="Times New Roman" w:cs="Times New Roman" w:eastAsia="Times New Roman"/>
          <w:color w:val="000000"/>
          <w:sz w:val="20"/>
          <w:szCs w:val="20"/>
        </w:rPr>
        <w:t xml:space="preserve">.</w:t>
      </w:r>
    </w:p>
  </w:footnote>
  <w:footnote w:id="44">
    <w:p>
      <w:pPr>
        <w:pStyle w:val="FootnoteText"/>
        <w:spacing w:after="40" w:before="0" w:line="240" w:lineRule="auto"/>
      </w:pPr>
      <w:r>
        <w:rPr>
          <w:rStyle w:val="FootnoteReference"/>
          <w:rFonts w:ascii="Times New Roman" w:hAnsi="Times New Roman" w:cs="Times New Roman" w:eastAsia="Times New Roman"/>
          <w:color w:val="000000"/>
        </w:rPr>
        <w:footnoteRef/>
      </w:r>
      <w:r>
        <w:rPr>
          <w:rFonts w:ascii="Times New Roman" w:hAnsi="Times New Roman" w:cs="Times New Roman" w:eastAsia="Times New Roman"/>
          <w:color w:val="000000"/>
          <w:sz w:val="20"/>
          <w:szCs w:val="20"/>
        </w:rPr>
        <w:t xml:space="preserve"> </w:t>
      </w:r>
      <w:r>
        <w:rPr>
          <w:rFonts w:ascii="Times New Roman" w:hAnsi="Times New Roman" w:cs="Times New Roman" w:eastAsia="Times New Roman"/>
          <w:color w:val="000000"/>
          <w:sz w:val="20"/>
          <w:szCs w:val="20"/>
        </w:rPr>
        <w:t xml:space="preserve">Watson et al.,</w:t>
      </w:r>
      <w:r>
        <w:rPr>
          <w:rFonts w:ascii="Times New Roman" w:hAnsi="Times New Roman" w:cs="Times New Roman" w:eastAsia="Times New Roman"/>
          <w:color w:val="000000"/>
          <w:sz w:val="20"/>
          <w:szCs w:val="20"/>
        </w:rPr>
        <w:t xml:space="preserve"> </w:t>
      </w:r>
      <w:r>
        <w:rPr>
          <w:rFonts w:ascii="Times New Roman" w:hAnsi="Times New Roman" w:cs="Times New Roman" w:eastAsia="Times New Roman"/>
          <w:color w:val="000000"/>
          <w:sz w:val="20"/>
          <w:szCs w:val="20"/>
        </w:rPr>
        <w:t xml:space="preserve">“The Evolution of a Management Philosophy.”</w:t>
      </w:r>
    </w:p>
  </w:footnote>
  <w:footnote w:id="45">
    <w:p>
      <w:pPr>
        <w:pStyle w:val="FootnoteText"/>
        <w:spacing w:after="40" w:before="0" w:line="240" w:lineRule="auto"/>
      </w:pPr>
      <w:r>
        <w:rPr>
          <w:rStyle w:val="FootnoteReference"/>
          <w:rFonts w:ascii="Times New Roman" w:hAnsi="Times New Roman" w:cs="Times New Roman" w:eastAsia="Times New Roman"/>
          <w:color w:val="000000"/>
        </w:rPr>
        <w:footnoteRef/>
      </w:r>
      <w:r>
        <w:rPr>
          <w:rFonts w:ascii="Times New Roman" w:hAnsi="Times New Roman" w:cs="Times New Roman" w:eastAsia="Times New Roman"/>
          <w:color w:val="000000"/>
          <w:sz w:val="20"/>
          <w:szCs w:val="20"/>
        </w:rPr>
        <w:t xml:space="preserve"> </w:t>
      </w:r>
      <w:r>
        <w:rPr>
          <w:rFonts w:ascii="Times New Roman" w:hAnsi="Times New Roman" w:cs="Times New Roman" w:eastAsia="Times New Roman"/>
          <w:color w:val="000000"/>
          <w:sz w:val="20"/>
          <w:szCs w:val="20"/>
        </w:rPr>
        <w:t xml:space="preserve">Hirschman,</w:t>
      </w:r>
      <w:r>
        <w:rPr>
          <w:rFonts w:ascii="Times New Roman" w:hAnsi="Times New Roman" w:cs="Times New Roman" w:eastAsia="Times New Roman"/>
          <w:color w:val="000000"/>
          <w:sz w:val="20"/>
          <w:szCs w:val="20"/>
        </w:rPr>
        <w:t xml:space="preserve"> </w:t>
      </w:r>
      <w:r>
        <w:rPr>
          <w:i/>
          <w:iCs/>
          <w:rFonts w:ascii="Times New Roman" w:hAnsi="Times New Roman" w:cs="Times New Roman" w:eastAsia="Times New Roman"/>
          <w:color w:val="000000"/>
          <w:sz w:val="20"/>
          <w:szCs w:val="20"/>
        </w:rPr>
        <w:t xml:space="preserve">The Strategy of Economic Development</w:t>
      </w:r>
      <w:r>
        <w:rPr>
          <w:rFonts w:ascii="Times New Roman" w:hAnsi="Times New Roman" w:cs="Times New Roman" w:eastAsia="Times New Roman"/>
          <w:color w:val="000000"/>
          <w:sz w:val="20"/>
          <w:szCs w:val="20"/>
        </w:rPr>
        <w:t xml:space="preserve">.</w:t>
      </w:r>
    </w:p>
  </w:footnote>
  <w:footnote w:id="46">
    <w:p>
      <w:pPr>
        <w:pStyle w:val="FootnoteText"/>
        <w:spacing w:after="40" w:before="0" w:line="240" w:lineRule="auto"/>
      </w:pPr>
      <w:r>
        <w:rPr>
          <w:rStyle w:val="FootnoteReference"/>
          <w:rFonts w:ascii="Times New Roman" w:hAnsi="Times New Roman" w:cs="Times New Roman" w:eastAsia="Times New Roman"/>
          <w:color w:val="000000"/>
        </w:rPr>
        <w:footnoteRef/>
      </w:r>
      <w:r>
        <w:rPr>
          <w:rFonts w:ascii="Times New Roman" w:hAnsi="Times New Roman" w:cs="Times New Roman" w:eastAsia="Times New Roman"/>
          <w:color w:val="000000"/>
          <w:sz w:val="20"/>
          <w:szCs w:val="20"/>
        </w:rPr>
        <w:t xml:space="preserve"> </w:t>
      </w:r>
      <w:r>
        <w:rPr>
          <w:rFonts w:ascii="Times New Roman" w:hAnsi="Times New Roman" w:cs="Times New Roman" w:eastAsia="Times New Roman"/>
          <w:color w:val="000000"/>
          <w:sz w:val="20"/>
          <w:szCs w:val="20"/>
        </w:rPr>
        <w:t xml:space="preserve">Roodman,</w:t>
      </w:r>
      <w:r>
        <w:rPr>
          <w:rFonts w:ascii="Times New Roman" w:hAnsi="Times New Roman" w:cs="Times New Roman" w:eastAsia="Times New Roman"/>
          <w:color w:val="000000"/>
          <w:sz w:val="20"/>
          <w:szCs w:val="20"/>
        </w:rPr>
        <w:t xml:space="preserve"> </w:t>
      </w:r>
      <w:r>
        <w:rPr>
          <w:i/>
          <w:iCs/>
          <w:rFonts w:ascii="Times New Roman" w:hAnsi="Times New Roman" w:cs="Times New Roman" w:eastAsia="Times New Roman"/>
          <w:color w:val="000000"/>
          <w:sz w:val="20"/>
          <w:szCs w:val="20"/>
        </w:rPr>
        <w:t xml:space="preserve">Aid Project Proliferation and Absorptive Capacity</w:t>
      </w:r>
      <w:r>
        <w:rPr>
          <w:rFonts w:ascii="Times New Roman" w:hAnsi="Times New Roman" w:cs="Times New Roman" w:eastAsia="Times New Roman"/>
          <w:color w:val="000000"/>
          <w:sz w:val="20"/>
          <w:szCs w:val="20"/>
        </w:rPr>
        <w:t xml:space="preserve">.</w:t>
      </w:r>
    </w:p>
  </w:footnote>
  <w:footnote w:id="47">
    <w:p>
      <w:pPr>
        <w:pStyle w:val="FootnoteText"/>
        <w:spacing w:after="40" w:before="0" w:line="240" w:lineRule="auto"/>
      </w:pPr>
      <w:r>
        <w:rPr>
          <w:rStyle w:val="FootnoteReference"/>
          <w:rFonts w:ascii="Times New Roman" w:hAnsi="Times New Roman" w:cs="Times New Roman" w:eastAsia="Times New Roman"/>
          <w:color w:val="000000"/>
        </w:rPr>
        <w:footnoteRef/>
      </w:r>
      <w:r>
        <w:rPr>
          <w:rFonts w:ascii="Times New Roman" w:hAnsi="Times New Roman" w:cs="Times New Roman" w:eastAsia="Times New Roman"/>
          <w:color w:val="000000"/>
          <w:sz w:val="20"/>
          <w:szCs w:val="20"/>
        </w:rPr>
        <w:t xml:space="preserve"> </w:t>
      </w:r>
      <w:r>
        <w:rPr>
          <w:rFonts w:ascii="Times New Roman" w:hAnsi="Times New Roman" w:cs="Times New Roman" w:eastAsia="Times New Roman"/>
          <w:color w:val="000000"/>
          <w:sz w:val="20"/>
          <w:szCs w:val="20"/>
        </w:rPr>
        <w:t xml:space="preserve">Arimoto and Kono,</w:t>
      </w:r>
      <w:r>
        <w:rPr>
          <w:rFonts w:ascii="Times New Roman" w:hAnsi="Times New Roman" w:cs="Times New Roman" w:eastAsia="Times New Roman"/>
          <w:color w:val="000000"/>
          <w:sz w:val="20"/>
          <w:szCs w:val="20"/>
        </w:rPr>
        <w:t xml:space="preserve"> </w:t>
      </w:r>
      <w:r>
        <w:rPr>
          <w:rFonts w:ascii="Times New Roman" w:hAnsi="Times New Roman" w:cs="Times New Roman" w:eastAsia="Times New Roman"/>
          <w:color w:val="000000"/>
          <w:sz w:val="20"/>
          <w:szCs w:val="20"/>
        </w:rPr>
        <w:t xml:space="preserve">“Foreign Aid and Recurrent Cost.”</w:t>
      </w:r>
    </w:p>
  </w:footnote>
  <w:footnote w:id="48">
    <w:p>
      <w:pPr>
        <w:pStyle w:val="FootnoteText"/>
        <w:spacing w:after="40" w:before="0" w:line="240" w:lineRule="auto"/>
      </w:pPr>
      <w:r>
        <w:rPr>
          <w:rStyle w:val="FootnoteReference"/>
          <w:rFonts w:ascii="Times New Roman" w:hAnsi="Times New Roman" w:cs="Times New Roman" w:eastAsia="Times New Roman"/>
          <w:color w:val="000000"/>
        </w:rPr>
        <w:footnoteRef/>
      </w:r>
      <w:r>
        <w:rPr>
          <w:rFonts w:ascii="Times New Roman" w:hAnsi="Times New Roman" w:cs="Times New Roman" w:eastAsia="Times New Roman"/>
          <w:color w:val="000000"/>
          <w:sz w:val="20"/>
          <w:szCs w:val="20"/>
        </w:rPr>
        <w:t xml:space="preserve"> </w:t>
      </w:r>
      <w:r>
        <w:rPr>
          <w:rFonts w:ascii="Times New Roman" w:hAnsi="Times New Roman" w:cs="Times New Roman" w:eastAsia="Times New Roman"/>
          <w:color w:val="000000"/>
          <w:sz w:val="20"/>
          <w:szCs w:val="20"/>
        </w:rPr>
        <w:t xml:space="preserve">Elliott R. Morss,</w:t>
      </w:r>
      <w:r>
        <w:rPr>
          <w:rFonts w:ascii="Times New Roman" w:hAnsi="Times New Roman" w:cs="Times New Roman" w:eastAsia="Times New Roman"/>
          <w:color w:val="000000"/>
          <w:sz w:val="20"/>
          <w:szCs w:val="20"/>
        </w:rPr>
        <w:t xml:space="preserve"> </w:t>
      </w:r>
      <w:r>
        <w:rPr>
          <w:rFonts w:ascii="Times New Roman" w:hAnsi="Times New Roman" w:cs="Times New Roman" w:eastAsia="Times New Roman"/>
          <w:color w:val="000000"/>
          <w:sz w:val="20"/>
          <w:szCs w:val="20"/>
        </w:rPr>
        <w:t xml:space="preserve">“Institutional Destruction Resulting from Donor and Project Proliferation in Sub-Saharan African Countries,”</w:t>
      </w:r>
      <w:r>
        <w:rPr>
          <w:rFonts w:ascii="Times New Roman" w:hAnsi="Times New Roman" w:cs="Times New Roman" w:eastAsia="Times New Roman"/>
          <w:color w:val="000000"/>
          <w:sz w:val="20"/>
          <w:szCs w:val="20"/>
        </w:rPr>
        <w:t xml:space="preserve"> </w:t>
      </w:r>
      <w:r>
        <w:rPr>
          <w:i/>
          <w:iCs/>
          <w:rFonts w:ascii="Times New Roman" w:hAnsi="Times New Roman" w:cs="Times New Roman" w:eastAsia="Times New Roman"/>
          <w:color w:val="000000"/>
          <w:sz w:val="20"/>
          <w:szCs w:val="20"/>
        </w:rPr>
        <w:t xml:space="preserve">World Development</w:t>
      </w:r>
      <w:r>
        <w:rPr>
          <w:rFonts w:ascii="Times New Roman" w:hAnsi="Times New Roman" w:cs="Times New Roman" w:eastAsia="Times New Roman"/>
          <w:color w:val="000000"/>
          <w:sz w:val="20"/>
          <w:szCs w:val="20"/>
        </w:rPr>
        <w:t xml:space="preserve"> </w:t>
      </w:r>
      <w:r>
        <w:rPr>
          <w:rFonts w:ascii="Times New Roman" w:hAnsi="Times New Roman" w:cs="Times New Roman" w:eastAsia="Times New Roman"/>
          <w:color w:val="000000"/>
          <w:sz w:val="20"/>
          <w:szCs w:val="20"/>
        </w:rPr>
        <w:t xml:space="preserve">12, no. 4 (1984): 465–70,</w:t>
      </w:r>
      <w:r>
        <w:rPr>
          <w:rFonts w:ascii="Times New Roman" w:hAnsi="Times New Roman" w:cs="Times New Roman" w:eastAsia="Times New Roman"/>
          <w:color w:val="000000"/>
          <w:sz w:val="20"/>
          <w:szCs w:val="20"/>
        </w:rPr>
        <w:t xml:space="preserve"> </w:t>
      </w:r>
      <w:hyperlink r:id="rId49">
        <w:r>
          <w:rPr>
            <w:rStyle w:val="Hyperlink"/>
          </w:rPr>
          <w:t xml:space="preserve">https://doi.org/10.1016/0305-750X(84)90024-X</w:t>
        </w:r>
      </w:hyperlink>
      <w:r>
        <w:rPr>
          <w:rFonts w:ascii="Times New Roman" w:hAnsi="Times New Roman" w:cs="Times New Roman" w:eastAsia="Times New Roman"/>
          <w:color w:val="000000"/>
          <w:sz w:val="20"/>
          <w:szCs w:val="20"/>
        </w:rPr>
        <w:t xml:space="preserve">.</w:t>
      </w:r>
    </w:p>
  </w:footnote>
  <w:footnote w:id="50">
    <w:p>
      <w:pPr>
        <w:pStyle w:val="FootnoteText"/>
        <w:spacing w:after="40" w:before="0" w:line="240" w:lineRule="auto"/>
      </w:pPr>
      <w:r>
        <w:rPr>
          <w:rStyle w:val="FootnoteReference"/>
          <w:rFonts w:ascii="Times New Roman" w:hAnsi="Times New Roman" w:cs="Times New Roman" w:eastAsia="Times New Roman"/>
          <w:color w:val="000000"/>
        </w:rPr>
        <w:footnoteRef/>
      </w:r>
      <w:r>
        <w:rPr>
          <w:rFonts w:ascii="Times New Roman" w:hAnsi="Times New Roman" w:cs="Times New Roman" w:eastAsia="Times New Roman"/>
          <w:color w:val="000000"/>
          <w:sz w:val="20"/>
          <w:szCs w:val="20"/>
        </w:rPr>
        <w:t xml:space="preserve"> </w:t>
      </w:r>
      <w:r>
        <w:rPr>
          <w:rFonts w:ascii="Times New Roman" w:hAnsi="Times New Roman" w:cs="Times New Roman" w:eastAsia="Times New Roman"/>
          <w:color w:val="000000"/>
          <w:sz w:val="20"/>
          <w:szCs w:val="20"/>
        </w:rPr>
        <w:t xml:space="preserve">Michael Kremer,</w:t>
      </w:r>
      <w:r>
        <w:rPr>
          <w:rFonts w:ascii="Times New Roman" w:hAnsi="Times New Roman" w:cs="Times New Roman" w:eastAsia="Times New Roman"/>
          <w:color w:val="000000"/>
          <w:sz w:val="20"/>
          <w:szCs w:val="20"/>
        </w:rPr>
        <w:t xml:space="preserve"> </w:t>
      </w:r>
      <w:r>
        <w:rPr>
          <w:rFonts w:ascii="Times New Roman" w:hAnsi="Times New Roman" w:cs="Times New Roman" w:eastAsia="Times New Roman"/>
          <w:color w:val="000000"/>
          <w:sz w:val="20"/>
          <w:szCs w:val="20"/>
        </w:rPr>
        <w:t xml:space="preserve">“The o-Ring Theory of Economic Development,”</w:t>
      </w:r>
      <w:r>
        <w:rPr>
          <w:rFonts w:ascii="Times New Roman" w:hAnsi="Times New Roman" w:cs="Times New Roman" w:eastAsia="Times New Roman"/>
          <w:color w:val="000000"/>
          <w:sz w:val="20"/>
          <w:szCs w:val="20"/>
        </w:rPr>
        <w:t xml:space="preserve"> </w:t>
      </w:r>
      <w:r>
        <w:rPr>
          <w:i/>
          <w:iCs/>
          <w:rFonts w:ascii="Times New Roman" w:hAnsi="Times New Roman" w:cs="Times New Roman" w:eastAsia="Times New Roman"/>
          <w:color w:val="000000"/>
          <w:sz w:val="20"/>
          <w:szCs w:val="20"/>
        </w:rPr>
        <w:t xml:space="preserve">The Quarterly Journal of Economics</w:t>
      </w:r>
      <w:r>
        <w:rPr>
          <w:rFonts w:ascii="Times New Roman" w:hAnsi="Times New Roman" w:cs="Times New Roman" w:eastAsia="Times New Roman"/>
          <w:color w:val="000000"/>
          <w:sz w:val="20"/>
          <w:szCs w:val="20"/>
        </w:rPr>
        <w:t xml:space="preserve"> </w:t>
      </w:r>
      <w:r>
        <w:rPr>
          <w:rFonts w:ascii="Times New Roman" w:hAnsi="Times New Roman" w:cs="Times New Roman" w:eastAsia="Times New Roman"/>
          <w:color w:val="000000"/>
          <w:sz w:val="20"/>
          <w:szCs w:val="20"/>
        </w:rPr>
        <w:t xml:space="preserve">108, no. 3 (1993): 551–75,</w:t>
      </w:r>
      <w:r>
        <w:rPr>
          <w:rFonts w:ascii="Times New Roman" w:hAnsi="Times New Roman" w:cs="Times New Roman" w:eastAsia="Times New Roman"/>
          <w:color w:val="000000"/>
          <w:sz w:val="20"/>
          <w:szCs w:val="20"/>
        </w:rPr>
        <w:t xml:space="preserve"> </w:t>
      </w:r>
      <w:hyperlink r:id="rId51">
        <w:r>
          <w:rPr>
            <w:rStyle w:val="Hyperlink"/>
          </w:rPr>
          <w:t xml:space="preserve">https://doi.org/10.2307/2118400</w:t>
        </w:r>
      </w:hyperlink>
      <w:r>
        <w:rPr>
          <w:rFonts w:ascii="Times New Roman" w:hAnsi="Times New Roman" w:cs="Times New Roman" w:eastAsia="Times New Roman"/>
          <w:color w:val="000000"/>
          <w:sz w:val="20"/>
          <w:szCs w:val="20"/>
        </w:rPr>
        <w:t xml:space="preserve">.</w:t>
      </w:r>
    </w:p>
  </w:footnote>
  <w:footnote w:id="52">
    <w:p>
      <w:pPr>
        <w:pStyle w:val="FootnoteText"/>
        <w:spacing w:after="40" w:before="0" w:line="240" w:lineRule="auto"/>
      </w:pPr>
      <w:r>
        <w:rPr>
          <w:rStyle w:val="FootnoteReference"/>
          <w:rFonts w:ascii="Times New Roman" w:hAnsi="Times New Roman" w:cs="Times New Roman" w:eastAsia="Times New Roman"/>
          <w:color w:val="000000"/>
        </w:rPr>
        <w:footnoteRef/>
      </w:r>
      <w:r>
        <w:rPr>
          <w:rFonts w:ascii="Times New Roman" w:hAnsi="Times New Roman" w:cs="Times New Roman" w:eastAsia="Times New Roman"/>
          <w:color w:val="000000"/>
          <w:sz w:val="20"/>
          <w:szCs w:val="20"/>
        </w:rPr>
        <w:t xml:space="preserve"> </w:t>
      </w:r>
      <w:r>
        <w:rPr>
          <w:rFonts w:ascii="Times New Roman" w:hAnsi="Times New Roman" w:cs="Times New Roman" w:eastAsia="Times New Roman"/>
          <w:color w:val="000000"/>
          <w:sz w:val="20"/>
          <w:szCs w:val="20"/>
        </w:rPr>
        <w:t xml:space="preserve">Paul Milgrom and John Roberts,</w:t>
      </w:r>
      <w:r>
        <w:rPr>
          <w:rFonts w:ascii="Times New Roman" w:hAnsi="Times New Roman" w:cs="Times New Roman" w:eastAsia="Times New Roman"/>
          <w:color w:val="000000"/>
          <w:sz w:val="20"/>
          <w:szCs w:val="20"/>
        </w:rPr>
        <w:t xml:space="preserve"> </w:t>
      </w:r>
      <w:r>
        <w:rPr>
          <w:rFonts w:ascii="Times New Roman" w:hAnsi="Times New Roman" w:cs="Times New Roman" w:eastAsia="Times New Roman"/>
          <w:color w:val="000000"/>
          <w:sz w:val="20"/>
          <w:szCs w:val="20"/>
        </w:rPr>
        <w:t xml:space="preserve">“The Economics of Modern Manufacturing: Technology, Strategy, and Organization,”</w:t>
      </w:r>
      <w:r>
        <w:rPr>
          <w:rFonts w:ascii="Times New Roman" w:hAnsi="Times New Roman" w:cs="Times New Roman" w:eastAsia="Times New Roman"/>
          <w:color w:val="000000"/>
          <w:sz w:val="20"/>
          <w:szCs w:val="20"/>
        </w:rPr>
        <w:t xml:space="preserve"> </w:t>
      </w:r>
      <w:r>
        <w:rPr>
          <w:i/>
          <w:iCs/>
          <w:rFonts w:ascii="Times New Roman" w:hAnsi="Times New Roman" w:cs="Times New Roman" w:eastAsia="Times New Roman"/>
          <w:color w:val="000000"/>
          <w:sz w:val="20"/>
          <w:szCs w:val="20"/>
        </w:rPr>
        <w:t xml:space="preserve">American Economic Review</w:t>
      </w:r>
      <w:r>
        <w:rPr>
          <w:rFonts w:ascii="Times New Roman" w:hAnsi="Times New Roman" w:cs="Times New Roman" w:eastAsia="Times New Roman"/>
          <w:color w:val="000000"/>
          <w:sz w:val="20"/>
          <w:szCs w:val="20"/>
        </w:rPr>
        <w:t xml:space="preserve"> </w:t>
      </w:r>
      <w:r>
        <w:rPr>
          <w:rFonts w:ascii="Times New Roman" w:hAnsi="Times New Roman" w:cs="Times New Roman" w:eastAsia="Times New Roman"/>
          <w:color w:val="000000"/>
          <w:sz w:val="20"/>
          <w:szCs w:val="20"/>
        </w:rPr>
        <w:t xml:space="preserve">80, no. 3 (1990): 511–28.</w:t>
      </w:r>
    </w:p>
  </w:footnote>
  <w:footnote w:id="53">
    <w:p>
      <w:pPr>
        <w:pStyle w:val="FootnoteText"/>
        <w:spacing w:after="40" w:before="0" w:line="240" w:lineRule="auto"/>
      </w:pPr>
      <w:r>
        <w:rPr>
          <w:rStyle w:val="FootnoteReference"/>
          <w:rFonts w:ascii="Times New Roman" w:hAnsi="Times New Roman" w:cs="Times New Roman" w:eastAsia="Times New Roman"/>
          <w:color w:val="000000"/>
        </w:rPr>
        <w:footnoteRef/>
      </w:r>
      <w:r>
        <w:rPr>
          <w:rFonts w:ascii="Times New Roman" w:hAnsi="Times New Roman" w:cs="Times New Roman" w:eastAsia="Times New Roman"/>
          <w:color w:val="000000"/>
          <w:sz w:val="20"/>
          <w:szCs w:val="20"/>
        </w:rPr>
        <w:t xml:space="preserve"> </w:t>
      </w:r>
      <w:r>
        <w:rPr>
          <w:rFonts w:ascii="Times New Roman" w:hAnsi="Times New Roman" w:cs="Times New Roman" w:eastAsia="Times New Roman"/>
          <w:color w:val="000000"/>
          <w:sz w:val="20"/>
          <w:szCs w:val="20"/>
        </w:rPr>
        <w:t xml:space="preserve">Allan R. Millett, Williamson Murray, and Kenneth H. Watman,</w:t>
      </w:r>
      <w:r>
        <w:rPr>
          <w:rFonts w:ascii="Times New Roman" w:hAnsi="Times New Roman" w:cs="Times New Roman" w:eastAsia="Times New Roman"/>
          <w:color w:val="000000"/>
          <w:sz w:val="20"/>
          <w:szCs w:val="20"/>
        </w:rPr>
        <w:t xml:space="preserve"> </w:t>
      </w:r>
      <w:r>
        <w:rPr>
          <w:rFonts w:ascii="Times New Roman" w:hAnsi="Times New Roman" w:cs="Times New Roman" w:eastAsia="Times New Roman"/>
          <w:color w:val="000000"/>
          <w:sz w:val="20"/>
          <w:szCs w:val="20"/>
        </w:rPr>
        <w:t xml:space="preserve">“The Effectiveness of Military Organizations,”</w:t>
      </w:r>
      <w:r>
        <w:rPr>
          <w:rFonts w:ascii="Times New Roman" w:hAnsi="Times New Roman" w:cs="Times New Roman" w:eastAsia="Times New Roman"/>
          <w:color w:val="000000"/>
          <w:sz w:val="20"/>
          <w:szCs w:val="20"/>
        </w:rPr>
        <w:t xml:space="preserve"> </w:t>
      </w:r>
      <w:r>
        <w:rPr>
          <w:i/>
          <w:iCs/>
          <w:rFonts w:ascii="Times New Roman" w:hAnsi="Times New Roman" w:cs="Times New Roman" w:eastAsia="Times New Roman"/>
          <w:color w:val="000000"/>
          <w:sz w:val="20"/>
          <w:szCs w:val="20"/>
        </w:rPr>
        <w:t xml:space="preserve">International Security</w:t>
      </w:r>
      <w:r>
        <w:rPr>
          <w:rFonts w:ascii="Times New Roman" w:hAnsi="Times New Roman" w:cs="Times New Roman" w:eastAsia="Times New Roman"/>
          <w:color w:val="000000"/>
          <w:sz w:val="20"/>
          <w:szCs w:val="20"/>
        </w:rPr>
        <w:t xml:space="preserve"> </w:t>
      </w:r>
      <w:r>
        <w:rPr>
          <w:rFonts w:ascii="Times New Roman" w:hAnsi="Times New Roman" w:cs="Times New Roman" w:eastAsia="Times New Roman"/>
          <w:color w:val="000000"/>
          <w:sz w:val="20"/>
          <w:szCs w:val="20"/>
        </w:rPr>
        <w:t xml:space="preserve">11, no. 1 (1986): 37–71,</w:t>
      </w:r>
      <w:r>
        <w:rPr>
          <w:rFonts w:ascii="Times New Roman" w:hAnsi="Times New Roman" w:cs="Times New Roman" w:eastAsia="Times New Roman"/>
          <w:color w:val="000000"/>
          <w:sz w:val="20"/>
          <w:szCs w:val="20"/>
        </w:rPr>
        <w:t xml:space="preserve"> </w:t>
      </w:r>
      <w:hyperlink r:id="rId54">
        <w:r>
          <w:rPr>
            <w:rStyle w:val="Hyperlink"/>
          </w:rPr>
          <w:t xml:space="preserve">https://doi.org/10.2307/2538875</w:t>
        </w:r>
      </w:hyperlink>
      <w:r>
        <w:rPr>
          <w:rFonts w:ascii="Times New Roman" w:hAnsi="Times New Roman" w:cs="Times New Roman" w:eastAsia="Times New Roman"/>
          <w:color w:val="000000"/>
          <w:sz w:val="20"/>
          <w:szCs w:val="20"/>
        </w:rPr>
        <w:t xml:space="preserve">.</w:t>
      </w:r>
    </w:p>
  </w:footnote>
  <w:footnote w:id="55">
    <w:p>
      <w:pPr>
        <w:pStyle w:val="FootnoteText"/>
        <w:spacing w:after="40" w:before="0" w:line="240" w:lineRule="auto"/>
      </w:pPr>
      <w:r>
        <w:rPr>
          <w:rStyle w:val="FootnoteReference"/>
          <w:rFonts w:ascii="Times New Roman" w:hAnsi="Times New Roman" w:cs="Times New Roman" w:eastAsia="Times New Roman"/>
          <w:color w:val="000000"/>
        </w:rPr>
        <w:footnoteRef/>
      </w:r>
      <w:r>
        <w:rPr>
          <w:rFonts w:ascii="Times New Roman" w:hAnsi="Times New Roman" w:cs="Times New Roman" w:eastAsia="Times New Roman"/>
          <w:color w:val="000000"/>
          <w:sz w:val="20"/>
          <w:szCs w:val="20"/>
        </w:rPr>
        <w:t xml:space="preserve"> </w:t>
      </w:r>
      <w:r>
        <w:rPr>
          <w:rFonts w:ascii="Times New Roman" w:hAnsi="Times New Roman" w:cs="Times New Roman" w:eastAsia="Times New Roman"/>
          <w:color w:val="000000"/>
          <w:sz w:val="20"/>
          <w:szCs w:val="20"/>
        </w:rPr>
        <w:t xml:space="preserve">Stephen Biddle,</w:t>
      </w:r>
      <w:r>
        <w:rPr>
          <w:rFonts w:ascii="Times New Roman" w:hAnsi="Times New Roman" w:cs="Times New Roman" w:eastAsia="Times New Roman"/>
          <w:color w:val="000000"/>
          <w:sz w:val="20"/>
          <w:szCs w:val="20"/>
        </w:rPr>
        <w:t xml:space="preserve"> </w:t>
      </w:r>
      <w:r>
        <w:rPr>
          <w:i/>
          <w:iCs/>
          <w:rFonts w:ascii="Times New Roman" w:hAnsi="Times New Roman" w:cs="Times New Roman" w:eastAsia="Times New Roman"/>
          <w:color w:val="000000"/>
          <w:sz w:val="20"/>
          <w:szCs w:val="20"/>
        </w:rPr>
        <w:t xml:space="preserve">Military Power: Explaining Victory and Defeat in Modern Battle</w:t>
      </w:r>
      <w:r>
        <w:rPr>
          <w:rFonts w:ascii="Times New Roman" w:hAnsi="Times New Roman" w:cs="Times New Roman" w:eastAsia="Times New Roman"/>
          <w:color w:val="000000"/>
          <w:sz w:val="20"/>
          <w:szCs w:val="20"/>
        </w:rPr>
        <w:t xml:space="preserve"> </w:t>
      </w:r>
      <w:r>
        <w:rPr>
          <w:rFonts w:ascii="Times New Roman" w:hAnsi="Times New Roman" w:cs="Times New Roman" w:eastAsia="Times New Roman"/>
          <w:color w:val="000000"/>
          <w:sz w:val="20"/>
          <w:szCs w:val="20"/>
        </w:rPr>
        <w:t xml:space="preserve">(Princeton University Press, 2004),</w:t>
      </w:r>
      <w:r>
        <w:rPr>
          <w:rFonts w:ascii="Times New Roman" w:hAnsi="Times New Roman" w:cs="Times New Roman" w:eastAsia="Times New Roman"/>
          <w:color w:val="000000"/>
          <w:sz w:val="20"/>
          <w:szCs w:val="20"/>
        </w:rPr>
        <w:t xml:space="preserve"> </w:t>
      </w:r>
      <w:hyperlink r:id="rId56">
        <w:r>
          <w:rPr>
            <w:rStyle w:val="Hyperlink"/>
          </w:rPr>
          <w:t xml:space="preserve">https://doi.org/10.2307/j.ctt7s19h</w:t>
        </w:r>
      </w:hyperlink>
      <w:r>
        <w:rPr>
          <w:rFonts w:ascii="Times New Roman" w:hAnsi="Times New Roman" w:cs="Times New Roman" w:eastAsia="Times New Roman"/>
          <w:color w:val="000000"/>
          <w:sz w:val="20"/>
          <w:szCs w:val="20"/>
        </w:rPr>
        <w:t xml:space="preserve">.</w:t>
      </w:r>
    </w:p>
  </w:footnote>
  <w:footnote w:id="57">
    <w:p>
      <w:pPr>
        <w:pStyle w:val="FootnoteText"/>
        <w:spacing w:after="40" w:before="0" w:line="240" w:lineRule="auto"/>
      </w:pPr>
      <w:r>
        <w:rPr>
          <w:rStyle w:val="FootnoteReference"/>
          <w:rFonts w:ascii="Times New Roman" w:hAnsi="Times New Roman" w:cs="Times New Roman" w:eastAsia="Times New Roman"/>
          <w:color w:val="000000"/>
        </w:rPr>
        <w:footnoteRef/>
      </w:r>
      <w:r>
        <w:rPr>
          <w:rFonts w:ascii="Times New Roman" w:hAnsi="Times New Roman" w:cs="Times New Roman" w:eastAsia="Times New Roman"/>
          <w:color w:val="000000"/>
          <w:sz w:val="20"/>
          <w:szCs w:val="20"/>
        </w:rPr>
        <w:t xml:space="preserve"> </w:t>
      </w:r>
      <w:r>
        <w:rPr>
          <w:rFonts w:ascii="Times New Roman" w:hAnsi="Times New Roman" w:cs="Times New Roman" w:eastAsia="Times New Roman"/>
          <w:color w:val="000000"/>
          <w:sz w:val="20"/>
          <w:szCs w:val="20"/>
        </w:rPr>
        <w:t xml:space="preserve">Martin van Creveld,</w:t>
      </w:r>
      <w:r>
        <w:rPr>
          <w:rFonts w:ascii="Times New Roman" w:hAnsi="Times New Roman" w:cs="Times New Roman" w:eastAsia="Times New Roman"/>
          <w:color w:val="000000"/>
          <w:sz w:val="20"/>
          <w:szCs w:val="20"/>
        </w:rPr>
        <w:t xml:space="preserve"> </w:t>
      </w:r>
      <w:r>
        <w:rPr>
          <w:i/>
          <w:iCs/>
          <w:rFonts w:ascii="Times New Roman" w:hAnsi="Times New Roman" w:cs="Times New Roman" w:eastAsia="Times New Roman"/>
          <w:color w:val="000000"/>
          <w:sz w:val="20"/>
          <w:szCs w:val="20"/>
        </w:rPr>
        <w:t xml:space="preserve">Supplying War: Logistics from Wallenstein to Patton</w:t>
      </w:r>
      <w:r>
        <w:rPr>
          <w:rFonts w:ascii="Times New Roman" w:hAnsi="Times New Roman" w:cs="Times New Roman" w:eastAsia="Times New Roman"/>
          <w:color w:val="000000"/>
          <w:sz w:val="20"/>
          <w:szCs w:val="20"/>
        </w:rPr>
        <w:t xml:space="preserve">, 2nd ed. (Cambridge University Press, 2004).</w:t>
      </w:r>
    </w:p>
  </w:footnote>
  <w:footnote w:id="58">
    <w:p>
      <w:pPr>
        <w:pStyle w:val="FootnoteText"/>
        <w:spacing w:after="40" w:before="0" w:line="240" w:lineRule="auto"/>
      </w:pPr>
      <w:r>
        <w:rPr>
          <w:rStyle w:val="FootnoteReference"/>
          <w:rFonts w:ascii="Times New Roman" w:hAnsi="Times New Roman" w:cs="Times New Roman" w:eastAsia="Times New Roman"/>
          <w:color w:val="000000"/>
        </w:rPr>
        <w:footnoteRef/>
      </w:r>
      <w:r>
        <w:rPr>
          <w:rFonts w:ascii="Times New Roman" w:hAnsi="Times New Roman" w:cs="Times New Roman" w:eastAsia="Times New Roman"/>
          <w:color w:val="000000"/>
          <w:sz w:val="20"/>
          <w:szCs w:val="20"/>
        </w:rPr>
        <w:t xml:space="preserve"> </w:t>
      </w:r>
      <w:r>
        <w:rPr>
          <w:rFonts w:ascii="Times New Roman" w:hAnsi="Times New Roman" w:cs="Times New Roman" w:eastAsia="Times New Roman"/>
          <w:color w:val="000000"/>
          <w:sz w:val="20"/>
          <w:szCs w:val="20"/>
        </w:rPr>
        <w:t xml:space="preserve">Wesley M. Cohen and Daniel A. Levinthal,</w:t>
      </w:r>
      <w:r>
        <w:rPr>
          <w:rFonts w:ascii="Times New Roman" w:hAnsi="Times New Roman" w:cs="Times New Roman" w:eastAsia="Times New Roman"/>
          <w:color w:val="000000"/>
          <w:sz w:val="20"/>
          <w:szCs w:val="20"/>
        </w:rPr>
        <w:t xml:space="preserve"> </w:t>
      </w:r>
      <w:r>
        <w:rPr>
          <w:rFonts w:ascii="Times New Roman" w:hAnsi="Times New Roman" w:cs="Times New Roman" w:eastAsia="Times New Roman"/>
          <w:color w:val="000000"/>
          <w:sz w:val="20"/>
          <w:szCs w:val="20"/>
        </w:rPr>
        <w:t xml:space="preserve">“Absorptive Capacity: A New Perspective on Learning and Innovation,”</w:t>
      </w:r>
      <w:r>
        <w:rPr>
          <w:rFonts w:ascii="Times New Roman" w:hAnsi="Times New Roman" w:cs="Times New Roman" w:eastAsia="Times New Roman"/>
          <w:color w:val="000000"/>
          <w:sz w:val="20"/>
          <w:szCs w:val="20"/>
        </w:rPr>
        <w:t xml:space="preserve"> </w:t>
      </w:r>
      <w:r>
        <w:rPr>
          <w:i/>
          <w:iCs/>
          <w:rFonts w:ascii="Times New Roman" w:hAnsi="Times New Roman" w:cs="Times New Roman" w:eastAsia="Times New Roman"/>
          <w:color w:val="000000"/>
          <w:sz w:val="20"/>
          <w:szCs w:val="20"/>
        </w:rPr>
        <w:t xml:space="preserve">Administrative Science Quarterly</w:t>
      </w:r>
      <w:r>
        <w:rPr>
          <w:rFonts w:ascii="Times New Roman" w:hAnsi="Times New Roman" w:cs="Times New Roman" w:eastAsia="Times New Roman"/>
          <w:color w:val="000000"/>
          <w:sz w:val="20"/>
          <w:szCs w:val="20"/>
        </w:rPr>
        <w:t xml:space="preserve"> </w:t>
      </w:r>
      <w:r>
        <w:rPr>
          <w:rFonts w:ascii="Times New Roman" w:hAnsi="Times New Roman" w:cs="Times New Roman" w:eastAsia="Times New Roman"/>
          <w:color w:val="000000"/>
          <w:sz w:val="20"/>
          <w:szCs w:val="20"/>
        </w:rPr>
        <w:t xml:space="preserve">35, no. 1 (1990): 128–52,</w:t>
      </w:r>
      <w:r>
        <w:rPr>
          <w:rFonts w:ascii="Times New Roman" w:hAnsi="Times New Roman" w:cs="Times New Roman" w:eastAsia="Times New Roman"/>
          <w:color w:val="000000"/>
          <w:sz w:val="20"/>
          <w:szCs w:val="20"/>
        </w:rPr>
        <w:t xml:space="preserve"> </w:t>
      </w:r>
      <w:hyperlink r:id="rId59">
        <w:r>
          <w:rPr>
            <w:rStyle w:val="Hyperlink"/>
          </w:rPr>
          <w:t xml:space="preserve">https://doi.org/10.2307/2393553</w:t>
        </w:r>
      </w:hyperlink>
      <w:r>
        <w:rPr>
          <w:rFonts w:ascii="Times New Roman" w:hAnsi="Times New Roman" w:cs="Times New Roman" w:eastAsia="Times New Roman"/>
          <w:color w:val="000000"/>
          <w:sz w:val="20"/>
          <w:szCs w:val="20"/>
        </w:rPr>
        <w:t xml:space="preserve">.</w:t>
      </w:r>
    </w:p>
  </w:footnote>
  <w:footnote w:id="60">
    <w:p>
      <w:pPr>
        <w:pStyle w:val="FootnoteText"/>
        <w:spacing w:after="40" w:before="0" w:line="240" w:lineRule="auto"/>
      </w:pPr>
      <w:r>
        <w:rPr>
          <w:rStyle w:val="FootnoteReference"/>
          <w:rFonts w:ascii="Times New Roman" w:hAnsi="Times New Roman" w:cs="Times New Roman" w:eastAsia="Times New Roman"/>
          <w:color w:val="000000"/>
        </w:rPr>
        <w:footnoteRef/>
      </w:r>
      <w:r>
        <w:rPr>
          <w:rFonts w:ascii="Times New Roman" w:hAnsi="Times New Roman" w:cs="Times New Roman" w:eastAsia="Times New Roman"/>
          <w:color w:val="000000"/>
          <w:sz w:val="20"/>
          <w:szCs w:val="20"/>
        </w:rPr>
        <w:t xml:space="preserve"> </w:t>
      </w:r>
      <w:r>
        <w:rPr>
          <w:rFonts w:ascii="Times New Roman" w:hAnsi="Times New Roman" w:cs="Times New Roman" w:eastAsia="Times New Roman"/>
          <w:color w:val="000000"/>
          <w:sz w:val="20"/>
          <w:szCs w:val="20"/>
        </w:rPr>
        <w:t xml:space="preserve">Stephen Knack,</w:t>
      </w:r>
      <w:r>
        <w:rPr>
          <w:rFonts w:ascii="Times New Roman" w:hAnsi="Times New Roman" w:cs="Times New Roman" w:eastAsia="Times New Roman"/>
          <w:color w:val="000000"/>
          <w:sz w:val="20"/>
          <w:szCs w:val="20"/>
        </w:rPr>
        <w:t xml:space="preserve"> </w:t>
      </w:r>
      <w:r>
        <w:rPr>
          <w:rFonts w:ascii="Times New Roman" w:hAnsi="Times New Roman" w:cs="Times New Roman" w:eastAsia="Times New Roman"/>
          <w:color w:val="000000"/>
          <w:sz w:val="20"/>
          <w:szCs w:val="20"/>
        </w:rPr>
        <w:t xml:space="preserve">“Aid Dependence and the Quality of Governance: Cross-Country Empirical Tests,”</w:t>
      </w:r>
      <w:r>
        <w:rPr>
          <w:rFonts w:ascii="Times New Roman" w:hAnsi="Times New Roman" w:cs="Times New Roman" w:eastAsia="Times New Roman"/>
          <w:color w:val="000000"/>
          <w:sz w:val="20"/>
          <w:szCs w:val="20"/>
        </w:rPr>
        <w:t xml:space="preserve"> </w:t>
      </w:r>
      <w:r>
        <w:rPr>
          <w:i/>
          <w:iCs/>
          <w:rFonts w:ascii="Times New Roman" w:hAnsi="Times New Roman" w:cs="Times New Roman" w:eastAsia="Times New Roman"/>
          <w:color w:val="000000"/>
          <w:sz w:val="20"/>
          <w:szCs w:val="20"/>
        </w:rPr>
        <w:t xml:space="preserve">Southern Economic Journal</w:t>
      </w:r>
      <w:r>
        <w:rPr>
          <w:rFonts w:ascii="Times New Roman" w:hAnsi="Times New Roman" w:cs="Times New Roman" w:eastAsia="Times New Roman"/>
          <w:color w:val="000000"/>
          <w:sz w:val="20"/>
          <w:szCs w:val="20"/>
        </w:rPr>
        <w:t xml:space="preserve"> </w:t>
      </w:r>
      <w:r>
        <w:rPr>
          <w:rFonts w:ascii="Times New Roman" w:hAnsi="Times New Roman" w:cs="Times New Roman" w:eastAsia="Times New Roman"/>
          <w:color w:val="000000"/>
          <w:sz w:val="20"/>
          <w:szCs w:val="20"/>
        </w:rPr>
        <w:t xml:space="preserve">68, no. 2 (2001): 310–29,</w:t>
      </w:r>
      <w:r>
        <w:rPr>
          <w:rFonts w:ascii="Times New Roman" w:hAnsi="Times New Roman" w:cs="Times New Roman" w:eastAsia="Times New Roman"/>
          <w:color w:val="000000"/>
          <w:sz w:val="20"/>
          <w:szCs w:val="20"/>
        </w:rPr>
        <w:t xml:space="preserve"> </w:t>
      </w:r>
      <w:hyperlink r:id="rId61">
        <w:r>
          <w:rPr>
            <w:rStyle w:val="Hyperlink"/>
          </w:rPr>
          <w:t xml:space="preserve">https://doi.org/10.1002/j.2325-8012.2001.tb00421.x</w:t>
        </w:r>
      </w:hyperlink>
      <w:r>
        <w:rPr>
          <w:rFonts w:ascii="Times New Roman" w:hAnsi="Times New Roman" w:cs="Times New Roman" w:eastAsia="Times New Roman"/>
          <w:color w:val="000000"/>
          <w:sz w:val="20"/>
          <w:szCs w:val="20"/>
        </w:rPr>
        <w:t xml:space="preserve">; Deborah A. Bräutigam and Stephen Knack,</w:t>
      </w:r>
      <w:r>
        <w:rPr>
          <w:rFonts w:ascii="Times New Roman" w:hAnsi="Times New Roman" w:cs="Times New Roman" w:eastAsia="Times New Roman"/>
          <w:color w:val="000000"/>
          <w:sz w:val="20"/>
          <w:szCs w:val="20"/>
        </w:rPr>
        <w:t xml:space="preserve"> </w:t>
      </w:r>
      <w:r>
        <w:rPr>
          <w:rFonts w:ascii="Times New Roman" w:hAnsi="Times New Roman" w:cs="Times New Roman" w:eastAsia="Times New Roman"/>
          <w:color w:val="000000"/>
          <w:sz w:val="20"/>
          <w:szCs w:val="20"/>
        </w:rPr>
        <w:t xml:space="preserve">“Foreign Aid, Institutions, and Governance in Sub-Saharan Africa,”</w:t>
      </w:r>
      <w:r>
        <w:rPr>
          <w:rFonts w:ascii="Times New Roman" w:hAnsi="Times New Roman" w:cs="Times New Roman" w:eastAsia="Times New Roman"/>
          <w:color w:val="000000"/>
          <w:sz w:val="20"/>
          <w:szCs w:val="20"/>
        </w:rPr>
        <w:t xml:space="preserve"> </w:t>
      </w:r>
      <w:r>
        <w:rPr>
          <w:i/>
          <w:iCs/>
          <w:rFonts w:ascii="Times New Roman" w:hAnsi="Times New Roman" w:cs="Times New Roman" w:eastAsia="Times New Roman"/>
          <w:color w:val="000000"/>
          <w:sz w:val="20"/>
          <w:szCs w:val="20"/>
        </w:rPr>
        <w:t xml:space="preserve">Economic Development and Cultural Change</w:t>
      </w:r>
      <w:r>
        <w:rPr>
          <w:rFonts w:ascii="Times New Roman" w:hAnsi="Times New Roman" w:cs="Times New Roman" w:eastAsia="Times New Roman"/>
          <w:color w:val="000000"/>
          <w:sz w:val="20"/>
          <w:szCs w:val="20"/>
        </w:rPr>
        <w:t xml:space="preserve"> </w:t>
      </w:r>
      <w:r>
        <w:rPr>
          <w:rFonts w:ascii="Times New Roman" w:hAnsi="Times New Roman" w:cs="Times New Roman" w:eastAsia="Times New Roman"/>
          <w:color w:val="000000"/>
          <w:sz w:val="20"/>
          <w:szCs w:val="20"/>
        </w:rPr>
        <w:t xml:space="preserve">52, no. 2 (2004): 255–85,</w:t>
      </w:r>
      <w:r>
        <w:rPr>
          <w:rFonts w:ascii="Times New Roman" w:hAnsi="Times New Roman" w:cs="Times New Roman" w:eastAsia="Times New Roman"/>
          <w:color w:val="000000"/>
          <w:sz w:val="20"/>
          <w:szCs w:val="20"/>
        </w:rPr>
        <w:t xml:space="preserve"> </w:t>
      </w:r>
      <w:hyperlink r:id="rId62">
        <w:r>
          <w:rPr>
            <w:rStyle w:val="Hyperlink"/>
          </w:rPr>
          <w:t xml:space="preserve">https://doi.org/10.1086/380592</w:t>
        </w:r>
      </w:hyperlink>
      <w:r>
        <w:rPr>
          <w:rFonts w:ascii="Times New Roman" w:hAnsi="Times New Roman" w:cs="Times New Roman" w:eastAsia="Times New Roman"/>
          <w:color w:val="000000"/>
          <w:sz w:val="20"/>
          <w:szCs w:val="20"/>
        </w:rPr>
        <w:t xml:space="preserve">; Todd Moss, Gunilla Pettersson, and Nicolas van de Walle,</w:t>
      </w:r>
      <w:r>
        <w:rPr>
          <w:rFonts w:ascii="Times New Roman" w:hAnsi="Times New Roman" w:cs="Times New Roman" w:eastAsia="Times New Roman"/>
          <w:color w:val="000000"/>
          <w:sz w:val="20"/>
          <w:szCs w:val="20"/>
        </w:rPr>
        <w:t xml:space="preserve"> </w:t>
      </w:r>
      <w:r>
        <w:rPr>
          <w:i/>
          <w:iCs/>
          <w:rFonts w:ascii="Times New Roman" w:hAnsi="Times New Roman" w:cs="Times New Roman" w:eastAsia="Times New Roman"/>
          <w:color w:val="000000"/>
          <w:sz w:val="20"/>
          <w:szCs w:val="20"/>
        </w:rPr>
        <w:t xml:space="preserve">An Aid-Institutions Paradox? A Review Essay on Aid Dependency and State Building in Sub-Saharan Africa</w:t>
      </w:r>
      <w:r>
        <w:rPr>
          <w:rFonts w:ascii="Times New Roman" w:hAnsi="Times New Roman" w:cs="Times New Roman" w:eastAsia="Times New Roman"/>
          <w:color w:val="000000"/>
          <w:sz w:val="20"/>
          <w:szCs w:val="20"/>
        </w:rPr>
        <w:t xml:space="preserve">, Working Paper 74 (Center for Global Development, 2006).</w:t>
      </w:r>
    </w:p>
  </w:footnote>
  <w:footnote w:id="77">
    <w:p>
      <w:pPr>
        <w:pStyle w:val="FootnoteText"/>
        <w:spacing w:after="40" w:before="0" w:line="240" w:lineRule="auto"/>
      </w:pPr>
      <w:r>
        <w:rPr>
          <w:rStyle w:val="FootnoteReference"/>
          <w:rFonts w:ascii="Times New Roman" w:hAnsi="Times New Roman" w:cs="Times New Roman" w:eastAsia="Times New Roman"/>
          <w:color w:val="000000"/>
        </w:rPr>
        <w:footnoteRef/>
      </w:r>
      <w:r>
        <w:rPr>
          <w:rFonts w:ascii="Times New Roman" w:hAnsi="Times New Roman" w:cs="Times New Roman" w:eastAsia="Times New Roman"/>
          <w:color w:val="000000"/>
          <w:sz w:val="20"/>
          <w:szCs w:val="20"/>
        </w:rPr>
        <w:t xml:space="preserve"> </w:t>
      </w:r>
      <w:r>
        <w:rPr>
          <w:rFonts w:ascii="Times New Roman" w:hAnsi="Times New Roman" w:cs="Times New Roman" w:eastAsia="Times New Roman"/>
          <w:color w:val="000000"/>
          <w:sz w:val="20"/>
          <w:szCs w:val="20"/>
        </w:rPr>
        <w:t xml:space="preserve">Volker Grimm, Steven F. Railsback, Christian E. Vincenot, et al.,</w:t>
      </w:r>
      <w:r>
        <w:rPr>
          <w:rFonts w:ascii="Times New Roman" w:hAnsi="Times New Roman" w:cs="Times New Roman" w:eastAsia="Times New Roman"/>
          <w:color w:val="000000"/>
          <w:sz w:val="20"/>
          <w:szCs w:val="20"/>
        </w:rPr>
        <w:t xml:space="preserve"> </w:t>
      </w:r>
      <w:r>
        <w:rPr>
          <w:rFonts w:ascii="Times New Roman" w:hAnsi="Times New Roman" w:cs="Times New Roman" w:eastAsia="Times New Roman"/>
          <w:color w:val="000000"/>
          <w:sz w:val="20"/>
          <w:szCs w:val="20"/>
        </w:rPr>
        <w:t xml:space="preserve">“The ODD Protocol for Describing Agent-Based and Other Simulation Models: A Second Update to Improve Clarity, Replication, and Structural Realism,”</w:t>
      </w:r>
      <w:r>
        <w:rPr>
          <w:rFonts w:ascii="Times New Roman" w:hAnsi="Times New Roman" w:cs="Times New Roman" w:eastAsia="Times New Roman"/>
          <w:color w:val="000000"/>
          <w:sz w:val="20"/>
          <w:szCs w:val="20"/>
        </w:rPr>
        <w:t xml:space="preserve"> </w:t>
      </w:r>
      <w:r>
        <w:rPr>
          <w:i/>
          <w:iCs/>
          <w:rFonts w:ascii="Times New Roman" w:hAnsi="Times New Roman" w:cs="Times New Roman" w:eastAsia="Times New Roman"/>
          <w:color w:val="000000"/>
          <w:sz w:val="20"/>
          <w:szCs w:val="20"/>
        </w:rPr>
        <w:t xml:space="preserve">Journal of Artificial Societies and Social Simulation</w:t>
      </w:r>
      <w:r>
        <w:rPr>
          <w:rFonts w:ascii="Times New Roman" w:hAnsi="Times New Roman" w:cs="Times New Roman" w:eastAsia="Times New Roman"/>
          <w:color w:val="000000"/>
          <w:sz w:val="20"/>
          <w:szCs w:val="20"/>
        </w:rPr>
        <w:t xml:space="preserve"> </w:t>
      </w:r>
      <w:r>
        <w:rPr>
          <w:rFonts w:ascii="Times New Roman" w:hAnsi="Times New Roman" w:cs="Times New Roman" w:eastAsia="Times New Roman"/>
          <w:color w:val="000000"/>
          <w:sz w:val="20"/>
          <w:szCs w:val="20"/>
        </w:rPr>
        <w:t xml:space="preserve">23, no. 2 (2020): 7,</w:t>
      </w:r>
      <w:r>
        <w:rPr>
          <w:rFonts w:ascii="Times New Roman" w:hAnsi="Times New Roman" w:cs="Times New Roman" w:eastAsia="Times New Roman"/>
          <w:color w:val="000000"/>
          <w:sz w:val="20"/>
          <w:szCs w:val="20"/>
        </w:rPr>
        <w:t xml:space="preserve"> </w:t>
      </w:r>
      <w:hyperlink r:id="rId78">
        <w:r>
          <w:rPr>
            <w:rStyle w:val="Hyperlink"/>
          </w:rPr>
          <w:t xml:space="preserve">https://doi.org/10.18564/jasss.4259</w:t>
        </w:r>
      </w:hyperlink>
      <w:r>
        <w:rPr>
          <w:rFonts w:ascii="Times New Roman" w:hAnsi="Times New Roman" w:cs="Times New Roman" w:eastAsia="Times New Roman"/>
          <w:color w:val="000000"/>
          <w:sz w:val="20"/>
          <w:szCs w:val="20"/>
        </w:rPr>
        <w:t xml:space="preserve">.</w:t>
      </w:r>
    </w:p>
  </w:footnote>
  <w:footnote w:id="94">
    <w:p>
      <w:pPr>
        <w:pStyle w:val="FootnoteText"/>
        <w:spacing w:after="40" w:before="0" w:line="240" w:lineRule="auto"/>
      </w:pPr>
      <w:r>
        <w:rPr>
          <w:rStyle w:val="FootnoteReference"/>
          <w:rFonts w:ascii="Times New Roman" w:hAnsi="Times New Roman" w:cs="Times New Roman" w:eastAsia="Times New Roman"/>
          <w:color w:val="000000"/>
        </w:rPr>
        <w:footnoteRef/>
      </w:r>
      <w:r>
        <w:rPr>
          <w:rFonts w:ascii="Times New Roman" w:hAnsi="Times New Roman" w:cs="Times New Roman" w:eastAsia="Times New Roman"/>
          <w:color w:val="000000"/>
          <w:sz w:val="20"/>
          <w:szCs w:val="20"/>
        </w:rPr>
        <w:t xml:space="preserve"> </w:t>
      </w:r>
      <w:r>
        <w:rPr>
          <w:rFonts w:ascii="Times New Roman" w:hAnsi="Times New Roman" w:cs="Times New Roman" w:eastAsia="Times New Roman"/>
          <w:color w:val="000000"/>
          <w:sz w:val="20"/>
          <w:szCs w:val="20"/>
        </w:rPr>
        <w:t xml:space="preserve">The near-identical baseline coverage effects for M1 (-0.1056), M2 (-0.1050), and M3 (-0.1061) are not duplicate reporting artifacts. They represent three distinct Phase-Map cells with different nominal starting structures (</w:t>
      </w:r>
      <w:r>
        <w:rPr>
          <w:rStyle w:val="VerbatimChar"/>
          <w:rFonts w:ascii="Times New Roman" w:hAnsi="Times New Roman" w:cs="Times New Roman" w:eastAsia="Times New Roman"/>
          <w:color w:val="000000"/>
          <w:sz w:val="20"/>
          <w:szCs w:val="20"/>
        </w:rPr>
        <w:t xml:space="preserve">logistics_constrained</w:t>
      </w:r>
      <w:r>
        <w:rPr>
          <w:rFonts w:ascii="Times New Roman" w:hAnsi="Times New Roman" w:cs="Times New Roman" w:eastAsia="Times New Roman"/>
          <w:color w:val="000000"/>
          <w:sz w:val="20"/>
          <w:szCs w:val="20"/>
        </w:rPr>
        <w:t xml:space="preserve">,</w:t>
      </w:r>
      <w:r>
        <w:rPr>
          <w:rFonts w:ascii="Times New Roman" w:hAnsi="Times New Roman" w:cs="Times New Roman" w:eastAsia="Times New Roman"/>
          <w:color w:val="000000"/>
          <w:sz w:val="20"/>
          <w:szCs w:val="20"/>
        </w:rPr>
        <w:t xml:space="preserve"> </w:t>
      </w:r>
      <w:r>
        <w:rPr>
          <w:rStyle w:val="VerbatimChar"/>
          <w:rFonts w:ascii="Times New Roman" w:hAnsi="Times New Roman" w:cs="Times New Roman" w:eastAsia="Times New Roman"/>
          <w:color w:val="000000"/>
          <w:sz w:val="20"/>
          <w:szCs w:val="20"/>
        </w:rPr>
        <w:t xml:space="preserve">balanced_capacity</w:t>
      </w:r>
      <w:r>
        <w:rPr>
          <w:rFonts w:ascii="Times New Roman" w:hAnsi="Times New Roman" w:cs="Times New Roman" w:eastAsia="Times New Roman"/>
          <w:color w:val="000000"/>
          <w:sz w:val="20"/>
          <w:szCs w:val="20"/>
        </w:rPr>
        <w:t xml:space="preserve">, and</w:t>
      </w:r>
      <w:r>
        <w:rPr>
          <w:rFonts w:ascii="Times New Roman" w:hAnsi="Times New Roman" w:cs="Times New Roman" w:eastAsia="Times New Roman"/>
          <w:color w:val="000000"/>
          <w:sz w:val="20"/>
          <w:szCs w:val="20"/>
        </w:rPr>
        <w:t xml:space="preserve"> </w:t>
      </w:r>
      <w:r>
        <w:rPr>
          <w:rStyle w:val="VerbatimChar"/>
          <w:rFonts w:ascii="Times New Roman" w:hAnsi="Times New Roman" w:cs="Times New Roman" w:eastAsia="Times New Roman"/>
          <w:color w:val="000000"/>
          <w:sz w:val="20"/>
          <w:szCs w:val="20"/>
        </w:rPr>
        <w:t xml:space="preserve">forcegen_constrained</w:t>
      </w:r>
      <w:r>
        <w:rPr>
          <w:rFonts w:ascii="Times New Roman" w:hAnsi="Times New Roman" w:cs="Times New Roman" w:eastAsia="Times New Roman"/>
          <w:color w:val="000000"/>
          <w:sz w:val="20"/>
          <w:szCs w:val="20"/>
        </w:rPr>
        <w:t xml:space="preserve">) and capacity levels (0.40, 0.40, and 0.25) whose independently simulated 12-seed Stage-4 coverage penalties clustered around the -0.105 to -0.106 band.</w:t>
      </w:r>
    </w:p>
  </w:footnote>
  <w:footnote w:id="111">
    <w:p>
      <w:pPr>
        <w:pStyle w:val="FootnoteText"/>
        <w:spacing w:after="40" w:before="0" w:line="240" w:lineRule="auto"/>
      </w:pPr>
      <w:r>
        <w:rPr>
          <w:rStyle w:val="FootnoteReference"/>
          <w:rFonts w:ascii="Times New Roman" w:hAnsi="Times New Roman" w:cs="Times New Roman" w:eastAsia="Times New Roman"/>
          <w:color w:val="000000"/>
        </w:rPr>
        <w:footnoteRef/>
      </w:r>
      <w:r>
        <w:rPr>
          <w:rFonts w:ascii="Times New Roman" w:hAnsi="Times New Roman" w:cs="Times New Roman" w:eastAsia="Times New Roman"/>
          <w:color w:val="000000"/>
          <w:sz w:val="20"/>
          <w:szCs w:val="20"/>
        </w:rPr>
        <w:t xml:space="preserve"> </w:t>
      </w:r>
      <w:r>
        <w:rPr>
          <w:rFonts w:ascii="Times New Roman" w:hAnsi="Times New Roman" w:cs="Times New Roman" w:eastAsia="Times New Roman"/>
          <w:color w:val="000000"/>
          <w:sz w:val="20"/>
          <w:szCs w:val="20"/>
        </w:rPr>
        <w:t xml:space="preserve">Watson et al.,</w:t>
      </w:r>
      <w:r>
        <w:rPr>
          <w:rFonts w:ascii="Times New Roman" w:hAnsi="Times New Roman" w:cs="Times New Roman" w:eastAsia="Times New Roman"/>
          <w:color w:val="000000"/>
          <w:sz w:val="20"/>
          <w:szCs w:val="20"/>
        </w:rPr>
        <w:t xml:space="preserve"> </w:t>
      </w:r>
      <w:r>
        <w:rPr>
          <w:rFonts w:ascii="Times New Roman" w:hAnsi="Times New Roman" w:cs="Times New Roman" w:eastAsia="Times New Roman"/>
          <w:color w:val="000000"/>
          <w:sz w:val="20"/>
          <w:szCs w:val="20"/>
        </w:rPr>
        <w:t xml:space="preserve">“The Evolution of a Management Philosophy.”</w:t>
      </w:r>
    </w:p>
  </w:footnote>
  <w:footnote w:id="112">
    <w:p>
      <w:pPr>
        <w:pStyle w:val="FootnoteText"/>
        <w:spacing w:after="40" w:before="0" w:line="240" w:lineRule="auto"/>
      </w:pPr>
      <w:r>
        <w:rPr>
          <w:rStyle w:val="FootnoteReference"/>
          <w:rFonts w:ascii="Times New Roman" w:hAnsi="Times New Roman" w:cs="Times New Roman" w:eastAsia="Times New Roman"/>
          <w:color w:val="000000"/>
        </w:rPr>
        <w:footnoteRef/>
      </w:r>
      <w:r>
        <w:rPr>
          <w:rFonts w:ascii="Times New Roman" w:hAnsi="Times New Roman" w:cs="Times New Roman" w:eastAsia="Times New Roman"/>
          <w:color w:val="000000"/>
          <w:sz w:val="20"/>
          <w:szCs w:val="20"/>
        </w:rPr>
        <w:t xml:space="preserve"> </w:t>
      </w:r>
      <w:r>
        <w:rPr>
          <w:rFonts w:ascii="Times New Roman" w:hAnsi="Times New Roman" w:cs="Times New Roman" w:eastAsia="Times New Roman"/>
          <w:color w:val="000000"/>
          <w:sz w:val="20"/>
          <w:szCs w:val="20"/>
        </w:rPr>
        <w:t xml:space="preserve">Hirschman,</w:t>
      </w:r>
      <w:r>
        <w:rPr>
          <w:rFonts w:ascii="Times New Roman" w:hAnsi="Times New Roman" w:cs="Times New Roman" w:eastAsia="Times New Roman"/>
          <w:color w:val="000000"/>
          <w:sz w:val="20"/>
          <w:szCs w:val="20"/>
        </w:rPr>
        <w:t xml:space="preserve"> </w:t>
      </w:r>
      <w:r>
        <w:rPr>
          <w:i/>
          <w:iCs/>
          <w:rFonts w:ascii="Times New Roman" w:hAnsi="Times New Roman" w:cs="Times New Roman" w:eastAsia="Times New Roman"/>
          <w:color w:val="000000"/>
          <w:sz w:val="20"/>
          <w:szCs w:val="20"/>
        </w:rPr>
        <w:t xml:space="preserve">The Strategy of Economic Development</w:t>
      </w:r>
      <w:r>
        <w:rPr>
          <w:rFonts w:ascii="Times New Roman" w:hAnsi="Times New Roman" w:cs="Times New Roman" w:eastAsia="Times New Roman"/>
          <w:color w:val="000000"/>
          <w:sz w:val="20"/>
          <w:szCs w:val="20"/>
        </w:rPr>
        <w:t xml:space="preserve">.</w:t>
      </w:r>
    </w:p>
  </w:footnote>
  <w:footnote w:id="113">
    <w:p>
      <w:pPr>
        <w:pStyle w:val="FootnoteText"/>
        <w:spacing w:after="40" w:before="0" w:line="240" w:lineRule="auto"/>
      </w:pPr>
      <w:r>
        <w:rPr>
          <w:rStyle w:val="FootnoteReference"/>
          <w:rFonts w:ascii="Times New Roman" w:hAnsi="Times New Roman" w:cs="Times New Roman" w:eastAsia="Times New Roman"/>
          <w:color w:val="000000"/>
        </w:rPr>
        <w:footnoteRef/>
      </w:r>
      <w:r>
        <w:rPr>
          <w:rFonts w:ascii="Times New Roman" w:hAnsi="Times New Roman" w:cs="Times New Roman" w:eastAsia="Times New Roman"/>
          <w:color w:val="000000"/>
          <w:sz w:val="20"/>
          <w:szCs w:val="20"/>
        </w:rPr>
        <w:t xml:space="preserve"> </w:t>
      </w:r>
      <w:r>
        <w:rPr>
          <w:rFonts w:ascii="Times New Roman" w:hAnsi="Times New Roman" w:cs="Times New Roman" w:eastAsia="Times New Roman"/>
          <w:color w:val="000000"/>
          <w:sz w:val="20"/>
          <w:szCs w:val="20"/>
        </w:rPr>
        <w:t xml:space="preserve">Roodman,</w:t>
      </w:r>
      <w:r>
        <w:rPr>
          <w:rFonts w:ascii="Times New Roman" w:hAnsi="Times New Roman" w:cs="Times New Roman" w:eastAsia="Times New Roman"/>
          <w:color w:val="000000"/>
          <w:sz w:val="20"/>
          <w:szCs w:val="20"/>
        </w:rPr>
        <w:t xml:space="preserve"> </w:t>
      </w:r>
      <w:r>
        <w:rPr>
          <w:i/>
          <w:iCs/>
          <w:rFonts w:ascii="Times New Roman" w:hAnsi="Times New Roman" w:cs="Times New Roman" w:eastAsia="Times New Roman"/>
          <w:color w:val="000000"/>
          <w:sz w:val="20"/>
          <w:szCs w:val="20"/>
        </w:rPr>
        <w:t xml:space="preserve">Aid Project Proliferation and Absorptive Capacity</w:t>
      </w:r>
      <w:r>
        <w:rPr>
          <w:rFonts w:ascii="Times New Roman" w:hAnsi="Times New Roman" w:cs="Times New Roman" w:eastAsia="Times New Roman"/>
          <w:color w:val="000000"/>
          <w:sz w:val="20"/>
          <w:szCs w:val="20"/>
        </w:rPr>
        <w:t xml:space="preserve">; Arimoto and Kono,</w:t>
      </w:r>
      <w:r>
        <w:rPr>
          <w:rFonts w:ascii="Times New Roman" w:hAnsi="Times New Roman" w:cs="Times New Roman" w:eastAsia="Times New Roman"/>
          <w:color w:val="000000"/>
          <w:sz w:val="20"/>
          <w:szCs w:val="20"/>
        </w:rPr>
        <w:t xml:space="preserve"> </w:t>
      </w:r>
      <w:r>
        <w:rPr>
          <w:rFonts w:ascii="Times New Roman" w:hAnsi="Times New Roman" w:cs="Times New Roman" w:eastAsia="Times New Roman"/>
          <w:color w:val="000000"/>
          <w:sz w:val="20"/>
          <w:szCs w:val="20"/>
        </w:rPr>
        <w:t xml:space="preserve">“Foreign Aid and Recurrent Cost.”</w:t>
      </w:r>
    </w:p>
  </w:footnote>
  <w:footnote w:id="122">
    <w:p>
      <w:pPr>
        <w:pStyle w:val="FootnoteText"/>
        <w:spacing w:after="40" w:before="0" w:line="240" w:lineRule="auto"/>
      </w:pPr>
      <w:r>
        <w:rPr>
          <w:rStyle w:val="FootnoteReference"/>
          <w:rFonts w:ascii="Times New Roman" w:hAnsi="Times New Roman" w:cs="Times New Roman" w:eastAsia="Times New Roman"/>
          <w:color w:val="000000"/>
        </w:rPr>
        <w:footnoteRef/>
      </w:r>
      <w:r>
        <w:rPr>
          <w:rFonts w:ascii="Times New Roman" w:hAnsi="Times New Roman" w:cs="Times New Roman" w:eastAsia="Times New Roman"/>
          <w:color w:val="000000"/>
          <w:sz w:val="20"/>
          <w:szCs w:val="20"/>
        </w:rPr>
        <w:t xml:space="preserve"> </w:t>
      </w:r>
      <w:r>
        <w:rPr>
          <w:rFonts w:ascii="Times New Roman" w:hAnsi="Times New Roman" w:cs="Times New Roman" w:eastAsia="Times New Roman"/>
          <w:color w:val="000000"/>
          <w:sz w:val="20"/>
          <w:szCs w:val="20"/>
        </w:rPr>
        <w:t xml:space="preserve">Special Inspector General for Afghanistan Reconstruction,</w:t>
      </w:r>
      <w:r>
        <w:rPr>
          <w:rFonts w:ascii="Times New Roman" w:hAnsi="Times New Roman" w:cs="Times New Roman" w:eastAsia="Times New Roman"/>
          <w:color w:val="000000"/>
          <w:sz w:val="20"/>
          <w:szCs w:val="20"/>
        </w:rPr>
        <w:t xml:space="preserve"> </w:t>
      </w:r>
      <w:r>
        <w:rPr>
          <w:i/>
          <w:iCs/>
          <w:rFonts w:ascii="Times New Roman" w:hAnsi="Times New Roman" w:cs="Times New Roman" w:eastAsia="Times New Roman"/>
          <w:color w:val="000000"/>
          <w:sz w:val="20"/>
          <w:szCs w:val="20"/>
        </w:rPr>
        <w:t xml:space="preserve">Afghan Air Forces: DOD Has Taken Steps to Develop Afghan Aviation Capability but Continued u.s. Support Is Needed to Sustain Forces</w:t>
      </w:r>
      <w:r>
        <w:rPr>
          <w:rFonts w:ascii="Times New Roman" w:hAnsi="Times New Roman" w:cs="Times New Roman" w:eastAsia="Times New Roman"/>
          <w:color w:val="000000"/>
          <w:sz w:val="20"/>
          <w:szCs w:val="20"/>
        </w:rPr>
        <w:t xml:space="preserve">, SIGAR-21-14-AR (Special Inspector General for Afghanistan Reconstruction, 2022); Special Inspector General for Afghanistan Reconstruction,</w:t>
      </w:r>
      <w:r>
        <w:rPr>
          <w:rFonts w:ascii="Times New Roman" w:hAnsi="Times New Roman" w:cs="Times New Roman" w:eastAsia="Times New Roman"/>
          <w:color w:val="000000"/>
          <w:sz w:val="20"/>
          <w:szCs w:val="20"/>
        </w:rPr>
        <w:t xml:space="preserve"> </w:t>
      </w:r>
      <w:r>
        <w:rPr>
          <w:i/>
          <w:iCs/>
          <w:rFonts w:ascii="Times New Roman" w:hAnsi="Times New Roman" w:cs="Times New Roman" w:eastAsia="Times New Roman"/>
          <w:color w:val="000000"/>
          <w:sz w:val="20"/>
          <w:szCs w:val="20"/>
        </w:rPr>
        <w:t xml:space="preserve">Why the Afghan Security Forces Collapsed</w:t>
      </w:r>
      <w:r>
        <w:rPr>
          <w:rFonts w:ascii="Times New Roman" w:hAnsi="Times New Roman" w:cs="Times New Roman" w:eastAsia="Times New Roman"/>
          <w:color w:val="000000"/>
          <w:sz w:val="20"/>
          <w:szCs w:val="20"/>
        </w:rPr>
        <w:t xml:space="preserve">, SIGAR-23-16-IP (Special Inspector General for Afghanistan Reconstruction, 2023).</w:t>
      </w:r>
    </w:p>
  </w:footnote>
  <w:footnote w:id="123">
    <w:p>
      <w:pPr>
        <w:pStyle w:val="FootnoteText"/>
        <w:spacing w:after="40" w:before="0" w:line="240" w:lineRule="auto"/>
      </w:pPr>
      <w:r>
        <w:rPr>
          <w:rStyle w:val="FootnoteReference"/>
          <w:rFonts w:ascii="Times New Roman" w:hAnsi="Times New Roman" w:cs="Times New Roman" w:eastAsia="Times New Roman"/>
          <w:color w:val="000000"/>
        </w:rPr>
        <w:footnoteRef/>
      </w:r>
      <w:r>
        <w:rPr>
          <w:rFonts w:ascii="Times New Roman" w:hAnsi="Times New Roman" w:cs="Times New Roman" w:eastAsia="Times New Roman"/>
          <w:color w:val="000000"/>
          <w:sz w:val="20"/>
          <w:szCs w:val="20"/>
        </w:rPr>
        <w:t xml:space="preserve"> </w:t>
      </w:r>
      <w:r>
        <w:rPr>
          <w:rFonts w:ascii="Times New Roman" w:hAnsi="Times New Roman" w:cs="Times New Roman" w:eastAsia="Times New Roman"/>
          <w:color w:val="000000"/>
          <w:sz w:val="20"/>
          <w:szCs w:val="20"/>
        </w:rPr>
        <w:t xml:space="preserve">U.S. Government Accountability Office,</w:t>
      </w:r>
      <w:r>
        <w:rPr>
          <w:rFonts w:ascii="Times New Roman" w:hAnsi="Times New Roman" w:cs="Times New Roman" w:eastAsia="Times New Roman"/>
          <w:color w:val="000000"/>
          <w:sz w:val="20"/>
          <w:szCs w:val="20"/>
        </w:rPr>
        <w:t xml:space="preserve"> </w:t>
      </w:r>
      <w:r>
        <w:rPr>
          <w:i/>
          <w:iCs/>
          <w:rFonts w:ascii="Times New Roman" w:hAnsi="Times New Roman" w:cs="Times New Roman" w:eastAsia="Times New Roman"/>
          <w:color w:val="000000"/>
          <w:sz w:val="20"/>
          <w:szCs w:val="20"/>
        </w:rPr>
        <w:t xml:space="preserve">Operation Iraqi Freedom: Preliminary Observations on Iraqi Security Forces’ Logistical Capabilities</w:t>
      </w:r>
      <w:r>
        <w:rPr>
          <w:rFonts w:ascii="Times New Roman" w:hAnsi="Times New Roman" w:cs="Times New Roman" w:eastAsia="Times New Roman"/>
          <w:color w:val="000000"/>
          <w:sz w:val="20"/>
          <w:szCs w:val="20"/>
        </w:rPr>
        <w:t xml:space="preserve">, GAO-07-582T (U.S. Government Accountability Office, 2007); U.S. Government Accountability Office,</w:t>
      </w:r>
      <w:r>
        <w:rPr>
          <w:rFonts w:ascii="Times New Roman" w:hAnsi="Times New Roman" w:cs="Times New Roman" w:eastAsia="Times New Roman"/>
          <w:color w:val="000000"/>
          <w:sz w:val="20"/>
          <w:szCs w:val="20"/>
        </w:rPr>
        <w:t xml:space="preserve"> </w:t>
      </w:r>
      <w:r>
        <w:rPr>
          <w:i/>
          <w:iCs/>
          <w:rFonts w:ascii="Times New Roman" w:hAnsi="Times New Roman" w:cs="Times New Roman" w:eastAsia="Times New Roman"/>
          <w:color w:val="000000"/>
          <w:sz w:val="20"/>
          <w:szCs w:val="20"/>
        </w:rPr>
        <w:t xml:space="preserve">Operation Iraqi Freedom: Preliminary Observations on Iraqi Security Forces’ Logistics and Command and Control Capabilities</w:t>
      </w:r>
      <w:r>
        <w:rPr>
          <w:rFonts w:ascii="Times New Roman" w:hAnsi="Times New Roman" w:cs="Times New Roman" w:eastAsia="Times New Roman"/>
          <w:color w:val="000000"/>
          <w:sz w:val="20"/>
          <w:szCs w:val="20"/>
        </w:rPr>
        <w:t xml:space="preserve">, GAO-07-503R (U.S. Government Accountability Office, 2007); U.S. Government Accountability Office,</w:t>
      </w:r>
      <w:r>
        <w:rPr>
          <w:rFonts w:ascii="Times New Roman" w:hAnsi="Times New Roman" w:cs="Times New Roman" w:eastAsia="Times New Roman"/>
          <w:color w:val="000000"/>
          <w:sz w:val="20"/>
          <w:szCs w:val="20"/>
        </w:rPr>
        <w:t xml:space="preserve"> </w:t>
      </w:r>
      <w:r>
        <w:rPr>
          <w:i/>
          <w:iCs/>
          <w:rFonts w:ascii="Times New Roman" w:hAnsi="Times New Roman" w:cs="Times New Roman" w:eastAsia="Times New Roman"/>
          <w:color w:val="000000"/>
          <w:sz w:val="20"/>
          <w:szCs w:val="20"/>
        </w:rPr>
        <w:t xml:space="preserve">Operation Iraqi Freedom: DOD Assessment of Iraqi Security Forces’ Units as Independent Not Clear Because ISF Support Capabilities Are Not Fully Developed</w:t>
      </w:r>
      <w:r>
        <w:rPr>
          <w:rFonts w:ascii="Times New Roman" w:hAnsi="Times New Roman" w:cs="Times New Roman" w:eastAsia="Times New Roman"/>
          <w:color w:val="000000"/>
          <w:sz w:val="20"/>
          <w:szCs w:val="20"/>
        </w:rPr>
        <w:t xml:space="preserve">, GAO-08-143R (U.S. Government Accountability Office, 2007).</w:t>
      </w:r>
    </w:p>
  </w:footnote>
  <w:footnote w:id="124">
    <w:p>
      <w:pPr>
        <w:pStyle w:val="FootnoteText"/>
        <w:spacing w:after="40" w:before="0" w:line="240" w:lineRule="auto"/>
      </w:pPr>
      <w:r>
        <w:rPr>
          <w:rStyle w:val="FootnoteReference"/>
          <w:rFonts w:ascii="Times New Roman" w:hAnsi="Times New Roman" w:cs="Times New Roman" w:eastAsia="Times New Roman"/>
          <w:color w:val="000000"/>
        </w:rPr>
        <w:footnoteRef/>
      </w:r>
      <w:r>
        <w:rPr>
          <w:rFonts w:ascii="Times New Roman" w:hAnsi="Times New Roman" w:cs="Times New Roman" w:eastAsia="Times New Roman"/>
          <w:color w:val="000000"/>
          <w:sz w:val="20"/>
          <w:szCs w:val="20"/>
        </w:rPr>
        <w:t xml:space="preserve"> </w:t>
      </w:r>
      <w:r>
        <w:rPr>
          <w:rFonts w:ascii="Times New Roman" w:hAnsi="Times New Roman" w:cs="Times New Roman" w:eastAsia="Times New Roman"/>
          <w:color w:val="000000"/>
          <w:sz w:val="20"/>
          <w:szCs w:val="20"/>
        </w:rPr>
        <w:t xml:space="preserve">Department of Defense Inspector General,</w:t>
      </w:r>
      <w:r>
        <w:rPr>
          <w:rFonts w:ascii="Times New Roman" w:hAnsi="Times New Roman" w:cs="Times New Roman" w:eastAsia="Times New Roman"/>
          <w:color w:val="000000"/>
          <w:sz w:val="20"/>
          <w:szCs w:val="20"/>
        </w:rPr>
        <w:t xml:space="preserve"> </w:t>
      </w:r>
      <w:r>
        <w:rPr>
          <w:i/>
          <w:iCs/>
          <w:rFonts w:ascii="Times New Roman" w:hAnsi="Times New Roman" w:cs="Times New Roman" w:eastAsia="Times New Roman"/>
          <w:color w:val="000000"/>
          <w:sz w:val="20"/>
          <w:szCs w:val="20"/>
        </w:rPr>
        <w:t xml:space="preserve">Summary of Lessons Learned: DoD IG Assessment Oversight of Train, Advise, Assist, and Equip Operations by u.s. And Coalition Forces in Iraq and Afghanistan</w:t>
      </w:r>
      <w:r>
        <w:rPr>
          <w:rFonts w:ascii="Times New Roman" w:hAnsi="Times New Roman" w:cs="Times New Roman" w:eastAsia="Times New Roman"/>
          <w:color w:val="000000"/>
          <w:sz w:val="20"/>
          <w:szCs w:val="20"/>
        </w:rPr>
        <w:t xml:space="preserve">, DODIG-2015-093 (Department of Defense Inspector General, 2015).</w:t>
      </w:r>
    </w:p>
  </w:footnote>
  <w:footnote w:id="125">
    <w:p>
      <w:pPr>
        <w:pStyle w:val="FootnoteText"/>
        <w:spacing w:after="40" w:before="0" w:line="240" w:lineRule="auto"/>
      </w:pPr>
      <w:r>
        <w:rPr>
          <w:rStyle w:val="FootnoteReference"/>
          <w:rFonts w:ascii="Times New Roman" w:hAnsi="Times New Roman" w:cs="Times New Roman" w:eastAsia="Times New Roman"/>
          <w:color w:val="000000"/>
        </w:rPr>
        <w:footnoteRef/>
      </w:r>
      <w:r>
        <w:rPr>
          <w:rFonts w:ascii="Times New Roman" w:hAnsi="Times New Roman" w:cs="Times New Roman" w:eastAsia="Times New Roman"/>
          <w:color w:val="000000"/>
          <w:sz w:val="20"/>
          <w:szCs w:val="20"/>
        </w:rPr>
        <w:t xml:space="preserve"> </w:t>
      </w:r>
      <w:r>
        <w:rPr>
          <w:rFonts w:ascii="Times New Roman" w:hAnsi="Times New Roman" w:cs="Times New Roman" w:eastAsia="Times New Roman"/>
          <w:color w:val="000000"/>
          <w:sz w:val="20"/>
          <w:szCs w:val="20"/>
        </w:rPr>
        <w:t xml:space="preserve">Michael Shurkin, Stephanie Pezard, and S. Rebecca Zimmerman,</w:t>
      </w:r>
      <w:r>
        <w:rPr>
          <w:rFonts w:ascii="Times New Roman" w:hAnsi="Times New Roman" w:cs="Times New Roman" w:eastAsia="Times New Roman"/>
          <w:color w:val="000000"/>
          <w:sz w:val="20"/>
          <w:szCs w:val="20"/>
        </w:rPr>
        <w:t xml:space="preserve"> </w:t>
      </w:r>
      <w:r>
        <w:rPr>
          <w:i/>
          <w:iCs/>
          <w:rFonts w:ascii="Times New Roman" w:hAnsi="Times New Roman" w:cs="Times New Roman" w:eastAsia="Times New Roman"/>
          <w:color w:val="000000"/>
          <w:sz w:val="20"/>
          <w:szCs w:val="20"/>
        </w:rPr>
        <w:t xml:space="preserve">Mali’s Next Battle: Improving Counterterrorism Capabilities</w:t>
      </w:r>
      <w:r>
        <w:rPr>
          <w:rFonts w:ascii="Times New Roman" w:hAnsi="Times New Roman" w:cs="Times New Roman" w:eastAsia="Times New Roman"/>
          <w:color w:val="000000"/>
          <w:sz w:val="20"/>
          <w:szCs w:val="20"/>
        </w:rPr>
        <w:t xml:space="preserve">, RR-1241-OSD (RAND Corporation, 2017).</w:t>
      </w:r>
    </w:p>
  </w:footnote>
  <w:footnote w:id="126">
    <w:p>
      <w:pPr>
        <w:pStyle w:val="FootnoteText"/>
        <w:spacing w:after="40" w:before="0" w:line="240" w:lineRule="auto"/>
      </w:pPr>
      <w:r>
        <w:rPr>
          <w:rStyle w:val="FootnoteReference"/>
          <w:rFonts w:ascii="Times New Roman" w:hAnsi="Times New Roman" w:cs="Times New Roman" w:eastAsia="Times New Roman"/>
          <w:color w:val="000000"/>
        </w:rPr>
        <w:footnoteRef/>
      </w:r>
      <w:r>
        <w:rPr>
          <w:rFonts w:ascii="Times New Roman" w:hAnsi="Times New Roman" w:cs="Times New Roman" w:eastAsia="Times New Roman"/>
          <w:color w:val="000000"/>
          <w:sz w:val="20"/>
          <w:szCs w:val="20"/>
        </w:rPr>
        <w:t xml:space="preserve"> </w:t>
      </w:r>
      <w:r>
        <w:rPr>
          <w:rFonts w:ascii="Times New Roman" w:hAnsi="Times New Roman" w:cs="Times New Roman" w:eastAsia="Times New Roman"/>
          <w:color w:val="000000"/>
          <w:sz w:val="20"/>
          <w:szCs w:val="20"/>
        </w:rPr>
        <w:t xml:space="preserve">Nicholas Marsh and Øystein H. Rolandsen,</w:t>
      </w:r>
      <w:r>
        <w:rPr>
          <w:rFonts w:ascii="Times New Roman" w:hAnsi="Times New Roman" w:cs="Times New Roman" w:eastAsia="Times New Roman"/>
          <w:color w:val="000000"/>
          <w:sz w:val="20"/>
          <w:szCs w:val="20"/>
        </w:rPr>
        <w:t xml:space="preserve"> </w:t>
      </w:r>
      <w:r>
        <w:rPr>
          <w:rFonts w:ascii="Times New Roman" w:hAnsi="Times New Roman" w:cs="Times New Roman" w:eastAsia="Times New Roman"/>
          <w:color w:val="000000"/>
          <w:sz w:val="20"/>
          <w:szCs w:val="20"/>
        </w:rPr>
        <w:t xml:space="preserve">“Fragmented We Fall: Security Sector Cohesion and the Impact of Foreign Security Force Assistance in Mali,”</w:t>
      </w:r>
      <w:r>
        <w:rPr>
          <w:rFonts w:ascii="Times New Roman" w:hAnsi="Times New Roman" w:cs="Times New Roman" w:eastAsia="Times New Roman"/>
          <w:color w:val="000000"/>
          <w:sz w:val="20"/>
          <w:szCs w:val="20"/>
        </w:rPr>
        <w:t xml:space="preserve"> </w:t>
      </w:r>
      <w:r>
        <w:rPr>
          <w:i/>
          <w:iCs/>
          <w:rFonts w:ascii="Times New Roman" w:hAnsi="Times New Roman" w:cs="Times New Roman" w:eastAsia="Times New Roman"/>
          <w:color w:val="000000"/>
          <w:sz w:val="20"/>
          <w:szCs w:val="20"/>
        </w:rPr>
        <w:t xml:space="preserve">Journal of Intervention and Statebuilding</w:t>
      </w:r>
      <w:r>
        <w:rPr>
          <w:rFonts w:ascii="Times New Roman" w:hAnsi="Times New Roman" w:cs="Times New Roman" w:eastAsia="Times New Roman"/>
          <w:color w:val="000000"/>
          <w:sz w:val="20"/>
          <w:szCs w:val="20"/>
        </w:rPr>
        <w:t xml:space="preserve"> </w:t>
      </w:r>
      <w:r>
        <w:rPr>
          <w:rFonts w:ascii="Times New Roman" w:hAnsi="Times New Roman" w:cs="Times New Roman" w:eastAsia="Times New Roman"/>
          <w:color w:val="000000"/>
          <w:sz w:val="20"/>
          <w:szCs w:val="20"/>
        </w:rPr>
        <w:t xml:space="preserve">15, no. 5 (2021): 614–29,</w:t>
      </w:r>
      <w:r>
        <w:rPr>
          <w:rFonts w:ascii="Times New Roman" w:hAnsi="Times New Roman" w:cs="Times New Roman" w:eastAsia="Times New Roman"/>
          <w:color w:val="000000"/>
          <w:sz w:val="20"/>
          <w:szCs w:val="20"/>
        </w:rPr>
        <w:t xml:space="preserve"> </w:t>
      </w:r>
      <w:hyperlink r:id="rId127">
        <w:r>
          <w:rPr>
            <w:rStyle w:val="Hyperlink"/>
          </w:rPr>
          <w:t xml:space="preserve">https://doi.org/10.1080/17502977.2021.1988226</w:t>
        </w:r>
      </w:hyperlink>
      <w:r>
        <w:rPr>
          <w:rFonts w:ascii="Times New Roman" w:hAnsi="Times New Roman" w:cs="Times New Roman" w:eastAsia="Times New Roman"/>
          <w:color w:val="000000"/>
          <w:sz w:val="20"/>
          <w:szCs w:val="20"/>
        </w:rPr>
        <w:t xml:space="preserve">.</w:t>
      </w:r>
    </w:p>
  </w:footnote>
  <w:footnote w:id="128">
    <w:p>
      <w:pPr>
        <w:pStyle w:val="FootnoteText"/>
        <w:spacing w:after="40" w:before="0" w:line="240" w:lineRule="auto"/>
      </w:pPr>
      <w:r>
        <w:rPr>
          <w:rStyle w:val="FootnoteReference"/>
          <w:rFonts w:ascii="Times New Roman" w:hAnsi="Times New Roman" w:cs="Times New Roman" w:eastAsia="Times New Roman"/>
          <w:color w:val="000000"/>
        </w:rPr>
        <w:footnoteRef/>
      </w:r>
      <w:r>
        <w:rPr>
          <w:rFonts w:ascii="Times New Roman" w:hAnsi="Times New Roman" w:cs="Times New Roman" w:eastAsia="Times New Roman"/>
          <w:color w:val="000000"/>
          <w:sz w:val="20"/>
          <w:szCs w:val="20"/>
        </w:rPr>
        <w:t xml:space="preserve"> </w:t>
      </w:r>
      <w:r>
        <w:rPr>
          <w:rFonts w:ascii="Times New Roman" w:hAnsi="Times New Roman" w:cs="Times New Roman" w:eastAsia="Times New Roman"/>
          <w:color w:val="000000"/>
          <w:sz w:val="20"/>
          <w:szCs w:val="20"/>
        </w:rPr>
        <w:t xml:space="preserve">U.S. Government Accountability Office,</w:t>
      </w:r>
      <w:r>
        <w:rPr>
          <w:rFonts w:ascii="Times New Roman" w:hAnsi="Times New Roman" w:cs="Times New Roman" w:eastAsia="Times New Roman"/>
          <w:color w:val="000000"/>
          <w:sz w:val="20"/>
          <w:szCs w:val="20"/>
        </w:rPr>
        <w:t xml:space="preserve"> </w:t>
      </w:r>
      <w:r>
        <w:rPr>
          <w:i/>
          <w:iCs/>
          <w:rFonts w:ascii="Times New Roman" w:hAnsi="Times New Roman" w:cs="Times New Roman" w:eastAsia="Times New Roman"/>
          <w:color w:val="000000"/>
          <w:sz w:val="20"/>
          <w:szCs w:val="20"/>
        </w:rPr>
        <w:t xml:space="preserve">Plan Colombia: Drug Reduction Goals Were Not Fully Met, but Security Has Improved; u.s. Agencies Need More Detailed Plans for Reducing Assistance</w:t>
      </w:r>
      <w:r>
        <w:rPr>
          <w:rFonts w:ascii="Times New Roman" w:hAnsi="Times New Roman" w:cs="Times New Roman" w:eastAsia="Times New Roman"/>
          <w:color w:val="000000"/>
          <w:sz w:val="20"/>
          <w:szCs w:val="20"/>
        </w:rPr>
        <w:t xml:space="preserve">, GAO-09-71 (U.S. Government Accountability Office, 2008); U.S. Government Accountability Office,</w:t>
      </w:r>
      <w:r>
        <w:rPr>
          <w:rFonts w:ascii="Times New Roman" w:hAnsi="Times New Roman" w:cs="Times New Roman" w:eastAsia="Times New Roman"/>
          <w:color w:val="000000"/>
          <w:sz w:val="20"/>
          <w:szCs w:val="20"/>
        </w:rPr>
        <w:t xml:space="preserve"> </w:t>
      </w:r>
      <w:r>
        <w:rPr>
          <w:i/>
          <w:iCs/>
          <w:rFonts w:ascii="Times New Roman" w:hAnsi="Times New Roman" w:cs="Times New Roman" w:eastAsia="Times New Roman"/>
          <w:color w:val="000000"/>
          <w:sz w:val="20"/>
          <w:szCs w:val="20"/>
        </w:rPr>
        <w:t xml:space="preserve">Building Partner Capacity: DOD Is Meeting Most Targets for Colombia’s Regional Helicopter Training Center but Should Track Graduates</w:t>
      </w:r>
      <w:r>
        <w:rPr>
          <w:rFonts w:ascii="Times New Roman" w:hAnsi="Times New Roman" w:cs="Times New Roman" w:eastAsia="Times New Roman"/>
          <w:color w:val="000000"/>
          <w:sz w:val="20"/>
          <w:szCs w:val="20"/>
        </w:rPr>
        <w:t xml:space="preserve">, GAO-13-674 (U.S. Government Accountability Office, 2013); U.S. Government Accountability Office,</w:t>
      </w:r>
      <w:r>
        <w:rPr>
          <w:rFonts w:ascii="Times New Roman" w:hAnsi="Times New Roman" w:cs="Times New Roman" w:eastAsia="Times New Roman"/>
          <w:color w:val="000000"/>
          <w:sz w:val="20"/>
          <w:szCs w:val="20"/>
        </w:rPr>
        <w:t xml:space="preserve"> </w:t>
      </w:r>
      <w:r>
        <w:rPr>
          <w:i/>
          <w:iCs/>
          <w:rFonts w:ascii="Times New Roman" w:hAnsi="Times New Roman" w:cs="Times New Roman" w:eastAsia="Times New Roman"/>
          <w:color w:val="000000"/>
          <w:sz w:val="20"/>
          <w:szCs w:val="20"/>
        </w:rPr>
        <w:t xml:space="preserve">Colombia: U.s. Counternarcotics Assistance Achieved Some Positive Results, but State Needs to Review the Overall u.s. Approach</w:t>
      </w:r>
      <w:r>
        <w:rPr>
          <w:rFonts w:ascii="Times New Roman" w:hAnsi="Times New Roman" w:cs="Times New Roman" w:eastAsia="Times New Roman"/>
          <w:color w:val="000000"/>
          <w:sz w:val="20"/>
          <w:szCs w:val="20"/>
        </w:rPr>
        <w:t xml:space="preserve">, GAO-19-106 (U.S. Government Accountability Office, 2018).</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line="480" w:lineRule="auto"/>
    </w:pPr>
    <w:rPr>
      <w:rFonts w:ascii="Times New Roman" w:eastAsia="Times New Roman" w:hAnsi="Times New Roman"/>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rPr/>
  </w:style>
  <w:style w:customStyle="1" w:styleId="HeaderChar" w:type="character">
    <w:name w:val="Header Char"/>
    <w:basedOn w:val="DefaultParagraphFont"/>
    <w:link w:val="Header"/>
    <w:uiPriority w:val="99"/>
    <w:rsid w:val="00E618BF"/>
    <w:rPr/>
  </w:style>
  <w:style w:styleId="Footer" w:type="paragraph">
    <w:name w:val="footer"/>
    <w:basedOn w:val="Normal"/>
    <w:link w:val="FooterChar"/>
    <w:uiPriority w:val="99"/>
    <w:unhideWhenUsed/>
    <w:rsid w:val="00E618BF"/>
    <w:pPr>
      <w:tabs>
        <w:tab w:pos="4680" w:val="center"/>
        <w:tab w:pos="9360" w:val="right"/>
      </w:tabs>
      <w:spacing w:after="0" w:line="240" w:lineRule="auto"/>
    </w:pPr>
    <w:rPr/>
  </w:style>
  <w:style w:customStyle="1" w:styleId="FooterChar" w:type="character">
    <w:name w:val="Footer Char"/>
    <w:basedOn w:val="DefaultParagraphFont"/>
    <w:link w:val="Footer"/>
    <w:uiPriority w:val="99"/>
    <w:rsid w:val="00E618BF"/>
    <w:rPr/>
  </w:style>
  <w:style w:styleId="Heading1" w:type="paragraph">
    <w:name w:val="heading 1"/>
    <w:basedOn w:val="Normal"/>
    <w:next w:val="Normal"/>
    <w:link w:val="Heading1Char"/>
    <w:uiPriority w:val="9"/>
    <w:qFormat/>
    <w:rsid w:val="00FC693F"/>
    <w:pPr>
      <w:keepNext/>
      <w:keepLines/>
      <w:spacing w:after="0" w:before="240" w:line="480" w:lineRule="auto"/>
      <w:ind w:firstLine="0"/>
      <w:outlineLvl w:val="0"/>
    </w:pPr>
    <w:rPr>
      <w:rFonts w:ascii="Times New Roman" w:asciiTheme="majorHAnsi" w:cstheme="majorBidi" w:eastAsia="Times New Roman" w:eastAsiaTheme="majorEastAsia" w:hAnsi="Times New Roman" w:hAnsiTheme="majorHAnsi"/>
      <w:b/>
      <w:bCs/>
      <w:sz w:val="24"/>
      <w:szCs w:val="28"/>
    </w:rPr>
  </w:style>
  <w:style w:styleId="Heading2" w:type="paragraph">
    <w:name w:val="heading 2"/>
    <w:basedOn w:val="Normal"/>
    <w:next w:val="Normal"/>
    <w:link w:val="Heading2Char"/>
    <w:uiPriority w:val="9"/>
    <w:unhideWhenUsed/>
    <w:qFormat/>
    <w:rsid w:val="00FC693F"/>
    <w:pPr>
      <w:keepNext/>
      <w:keepLines/>
      <w:spacing w:after="0" w:before="120" w:line="480" w:lineRule="auto"/>
      <w:ind w:firstLine="0"/>
      <w:outlineLvl w:val="1"/>
    </w:pPr>
    <w:rPr>
      <w:rFonts w:ascii="Times New Roman" w:asciiTheme="majorHAnsi" w:cstheme="majorBidi" w:eastAsia="Times New Roman" w:eastAsiaTheme="majorEastAsia" w:hAnsi="Times New Roman" w:hAnsiTheme="majorHAnsi"/>
      <w:b/>
      <w:bCs/>
      <w:i/>
      <w:sz w:val="24"/>
      <w:szCs w:val="26"/>
    </w:rPr>
  </w:style>
  <w:style w:styleId="Heading3" w:type="paragraph">
    <w:name w:val="heading 3"/>
    <w:basedOn w:val="Normal"/>
    <w:next w:val="Normal"/>
    <w:link w:val="Heading3Char"/>
    <w:uiPriority w:val="9"/>
    <w:unhideWhenUsed/>
    <w:qFormat/>
    <w:rsid w:val="00FC693F"/>
    <w:pPr>
      <w:keepNext/>
      <w:keepLines/>
      <w:spacing w:after="0" w:before="120" w:line="480" w:lineRule="auto"/>
      <w:ind w:firstLine="0"/>
      <w:outlineLvl w:val="2"/>
    </w:pPr>
    <w:rPr>
      <w:rFonts w:ascii="Times New Roman" w:asciiTheme="majorHAnsi" w:cstheme="majorBidi" w:eastAsia="Times New Roman" w:eastAsiaTheme="majorEastAsia" w:hAnsi="Times New Roman" w:hAnsiTheme="majorHAnsi"/>
      <w:b/>
      <w:bCs/>
      <w:i/>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sz w:val="20"/>
      <w:szCs w:val="20"/>
    </w:rPr>
  </w:style>
  <w:style w:default="1" w:styleId="DefaultParagraphFont" w:type="character">
    <w:name w:val="Default Paragraph Font"/>
    <w:uiPriority w:val="1"/>
    <w:semiHidden/>
    <w:unhideWhenUsed/>
    <w:rPr/>
  </w:style>
  <w:style w:default="1" w:styleId="TableNormal" w:type="table">
    <w:name w:val="Normal Table"/>
    <w:uiPriority w:val="99"/>
    <w:semiHidden/>
    <w:unhideWhenUsed/>
    <w:rPr/>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r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rPr>
  </w:style>
  <w:style w:styleId="Title" w:type="paragraph">
    <w:name w:val="Title"/>
    <w:basedOn w:val="Normal"/>
    <w:next w:val="Normal"/>
    <w:link w:val="TitleChar"/>
    <w:uiPriority w:val="10"/>
    <w:qFormat/>
    <w:rsid w:val="00FC693F"/>
    <w:pPr>
      <w:keepNext/>
      <w:spacing w:after="300" w:line="240" w:lineRule="auto"/>
      <w:ind w:firstLine="0"/>
      <w:contextualSpacing/>
      <w:jc w:val="center"/>
    </w:pPr>
    <w:rPr>
      <w:rFonts w:ascii="Times New Roman" w:asciiTheme="majorHAnsi" w:cstheme="majorBidi" w:eastAsia="Times New Roman" w:eastAsiaTheme="majorEastAsia" w:hAnsi="Times New Roman" w:hAnsiTheme="majorHAnsi"/>
      <w:b/>
      <w:spacing w:val="5"/>
      <w:kern w:val="28"/>
      <w:sz w:val="28"/>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spacing w:val="5"/>
      <w:kern w:val="28"/>
      <w:sz w:val="52"/>
      <w:szCs w:val="52"/>
    </w:rPr>
  </w:style>
  <w:style w:styleId="Subtitle" w:type="paragraph">
    <w:name w:val="Subtitle"/>
    <w:basedOn w:val="Normal"/>
    <w:next w:val="Normal"/>
    <w:link w:val="SubtitleChar"/>
    <w:uiPriority w:val="11"/>
    <w:qFormat/>
    <w:rsid w:val="00FC693F"/>
    <w:pPr>
      <w:keepNext/>
      <w:numPr>
        <w:ilvl w:val="1"/>
      </w:numPr>
      <w:ind w:firstLine="0"/>
      <w:jc w:val="center"/>
    </w:pPr>
    <w:rPr>
      <w:rFonts w:ascii="Times New Roman" w:asciiTheme="majorHAnsi" w:cstheme="majorBidi" w:eastAsia="Times New Roman" w:eastAsiaTheme="majorEastAsia" w:hAnsi="Times New Roman" w:hAnsiTheme="majorHAnsi"/>
      <w:i/>
      <w:iCs/>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spacing w:val="15"/>
      <w:sz w:val="24"/>
      <w:szCs w:val="24"/>
    </w:rPr>
  </w:style>
  <w:style w:styleId="ListParagraph" w:type="paragraph">
    <w:name w:val="List Paragraph"/>
    <w:basedOn w:val="Normal"/>
    <w:uiPriority w:val="34"/>
    <w:qFormat/>
    <w:rsid w:val="00FC693F"/>
    <w:pPr>
      <w:ind w:left="720"/>
      <w:contextualSpacing/>
    </w:pPr>
    <w:rPr/>
  </w:style>
  <w:style w:styleId="BodyText" w:type="paragraph">
    <w:name w:val="Body Text"/>
    <w:basedOn w:val="Normal"/>
    <w:link w:val="BodyTextChar"/>
    <w:uiPriority w:val="99"/>
    <w:unhideWhenUsed/>
    <w:rsid w:val="00AA1D8D"/>
    <w:pPr>
      <w:spacing w:after="0" w:before="0" w:line="480" w:lineRule="auto"/>
      <w:ind w:firstLine="720"/>
    </w:pPr>
    <w:rPr>
      <w:rFonts w:ascii="Times New Roman" w:eastAsia="Times New Roman" w:hAnsi="Times New Roman"/>
      <w:sz w:val="24"/>
    </w:rPr>
  </w:style>
  <w:style w:customStyle="1" w:styleId="BodyTextChar" w:type="character">
    <w:name w:val="Body Text Char"/>
    <w:basedOn w:val="DefaultParagraphFont"/>
    <w:link w:val="BodyText"/>
    <w:uiPriority w:val="99"/>
    <w:rsid w:val="00AA1D8D"/>
    <w:rPr/>
  </w:style>
  <w:style w:styleId="BodyText2" w:type="paragraph">
    <w:name w:val="Body Text 2"/>
    <w:basedOn w:val="Normal"/>
    <w:link w:val="BodyText2Char"/>
    <w:uiPriority w:val="99"/>
    <w:unhideWhenUsed/>
    <w:rsid w:val="00AA1D8D"/>
    <w:pPr>
      <w:spacing w:after="120" w:line="480" w:lineRule="auto"/>
    </w:pPr>
    <w:rPr/>
  </w:style>
  <w:style w:customStyle="1" w:styleId="BodyText2Char" w:type="character">
    <w:name w:val="Body Text 2 Char"/>
    <w:basedOn w:val="DefaultParagraphFont"/>
    <w:link w:val="BodyText2"/>
    <w:uiPriority w:val="99"/>
    <w:rsid w:val="00AA1D8D"/>
    <w:rPr/>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rPr/>
  </w:style>
  <w:style w:styleId="List2" w:type="paragraph">
    <w:name w:val="List 2"/>
    <w:basedOn w:val="Normal"/>
    <w:uiPriority w:val="99"/>
    <w:unhideWhenUsed/>
    <w:rsid w:val="00326F90"/>
    <w:pPr>
      <w:ind w:hanging="360" w:left="720"/>
      <w:contextualSpacing/>
    </w:pPr>
    <w:rPr/>
  </w:style>
  <w:style w:styleId="List3" w:type="paragraph">
    <w:name w:val="List 3"/>
    <w:basedOn w:val="Normal"/>
    <w:uiPriority w:val="99"/>
    <w:unhideWhenUsed/>
    <w:rsid w:val="00326F90"/>
    <w:pPr>
      <w:ind w:hanging="360" w:left="1080"/>
      <w:contextualSpacing/>
    </w:pPr>
    <w:rPr/>
  </w:style>
  <w:style w:styleId="ListBullet" w:type="paragraph">
    <w:name w:val="List Bullet"/>
    <w:basedOn w:val="Normal"/>
    <w:uiPriority w:val="99"/>
    <w:unhideWhenUsed/>
    <w:rsid w:val="00326F90"/>
    <w:pPr>
      <w:numPr>
        <w:numId w:val="1"/>
      </w:numPr>
      <w:contextualSpacing/>
    </w:pPr>
    <w:rPr/>
  </w:style>
  <w:style w:styleId="ListBullet2" w:type="paragraph">
    <w:name w:val="List Bullet 2"/>
    <w:basedOn w:val="Normal"/>
    <w:uiPriority w:val="99"/>
    <w:unhideWhenUsed/>
    <w:rsid w:val="00326F90"/>
    <w:pPr>
      <w:numPr>
        <w:numId w:val="2"/>
      </w:numPr>
      <w:contextualSpacing/>
    </w:pPr>
    <w:rPr/>
  </w:style>
  <w:style w:styleId="ListBullet3" w:type="paragraph">
    <w:name w:val="List Bullet 3"/>
    <w:basedOn w:val="Normal"/>
    <w:uiPriority w:val="99"/>
    <w:unhideWhenUsed/>
    <w:rsid w:val="00326F90"/>
    <w:pPr>
      <w:numPr>
        <w:numId w:val="3"/>
      </w:numPr>
      <w:contextualSpacing/>
    </w:pPr>
    <w:rPr/>
  </w:style>
  <w:style w:styleId="ListNumber" w:type="paragraph">
    <w:name w:val="List Number"/>
    <w:basedOn w:val="Normal"/>
    <w:uiPriority w:val="99"/>
    <w:unhideWhenUsed/>
    <w:rsid w:val="00326F90"/>
    <w:pPr>
      <w:numPr>
        <w:numId w:val="5"/>
      </w:numPr>
      <w:contextualSpacing/>
    </w:pPr>
    <w:rPr/>
  </w:style>
  <w:style w:styleId="ListNumber2" w:type="paragraph">
    <w:name w:val="List Number 2"/>
    <w:basedOn w:val="Normal"/>
    <w:uiPriority w:val="99"/>
    <w:unhideWhenUsed/>
    <w:rsid w:val="0029639D"/>
    <w:pPr>
      <w:numPr>
        <w:numId w:val="6"/>
      </w:numPr>
      <w:contextualSpacing/>
    </w:pPr>
    <w:rPr/>
  </w:style>
  <w:style w:styleId="ListNumber3" w:type="paragraph">
    <w:name w:val="List Number 3"/>
    <w:basedOn w:val="Normal"/>
    <w:uiPriority w:val="99"/>
    <w:unhideWhenUsed/>
    <w:rsid w:val="0029639D"/>
    <w:pPr>
      <w:numPr>
        <w:numId w:val="7"/>
      </w:numPr>
      <w:contextualSpacing/>
    </w:pPr>
    <w:rPr/>
  </w:style>
  <w:style w:styleId="ListContinue" w:type="paragraph">
    <w:name w:val="List Continue"/>
    <w:basedOn w:val="Normal"/>
    <w:uiPriority w:val="99"/>
    <w:unhideWhenUsed/>
    <w:rsid w:val="0029639D"/>
    <w:pPr>
      <w:spacing w:after="120"/>
      <w:ind w:left="360"/>
      <w:contextualSpacing/>
    </w:pPr>
    <w:rPr/>
  </w:style>
  <w:style w:styleId="ListContinue2" w:type="paragraph">
    <w:name w:val="List Continue 2"/>
    <w:basedOn w:val="Normal"/>
    <w:uiPriority w:val="99"/>
    <w:unhideWhenUsed/>
    <w:rsid w:val="0029639D"/>
    <w:pPr>
      <w:spacing w:after="120"/>
      <w:ind w:left="720"/>
      <w:contextualSpacing/>
    </w:pPr>
    <w:rPr/>
  </w:style>
  <w:style w:styleId="ListContinue3" w:type="paragraph">
    <w:name w:val="List Continue 3"/>
    <w:basedOn w:val="Normal"/>
    <w:uiPriority w:val="99"/>
    <w:unhideWhenUsed/>
    <w:rsid w:val="0029639D"/>
    <w:pPr>
      <w:spacing w:after="120"/>
      <w:ind w:left="1080"/>
      <w:contextualSpacing/>
    </w:pPr>
    <w:r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rPr>
  </w:style>
  <w:style w:customStyle="1" w:styleId="QuoteChar" w:type="character">
    <w:name w:val="Quote Char"/>
    <w:basedOn w:val="DefaultParagraphFont"/>
    <w:link w:val="Quote"/>
    <w:uiPriority w:val="29"/>
    <w:rsid w:val="00FC693F"/>
    <w:rPr>
      <w:i/>
      <w:iCs/>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sz w:val="20"/>
      <w:szCs w:val="20"/>
    </w:rPr>
  </w:style>
  <w:style w:styleId="Caption" w:type="paragraph">
    <w:name w:val="caption"/>
    <w:basedOn w:val="Normal"/>
    <w:next w:val="Normal"/>
    <w:uiPriority w:val="35"/>
    <w:semiHidden/>
    <w:unhideWhenUsed/>
    <w:qFormat/>
    <w:rsid w:val="00FC693F"/>
    <w:pPr>
      <w:keepNext/>
      <w:spacing w:after="240" w:before="120" w:line="276" w:lineRule="auto"/>
      <w:ind w:firstLine="0"/>
    </w:pPr>
    <w:rPr>
      <w:rFonts w:ascii="Times New Roman" w:eastAsia="Times New Roman" w:hAnsi="Times New Roman"/>
      <w:b/>
      <w:bCs/>
      <w:sz w:val="20"/>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spacing w:after="280" w:before="200"/>
      <w:ind w:left="936" w:right="936"/>
    </w:pPr>
    <w:rPr>
      <w:b/>
      <w:bCs/>
      <w:i/>
      <w:iCs/>
    </w:rPr>
  </w:style>
  <w:style w:customStyle="1" w:styleId="IntenseQuoteChar" w:type="character">
    <w:name w:val="Intense Quote Char"/>
    <w:basedOn w:val="DefaultParagraphFont"/>
    <w:link w:val="IntenseQuote"/>
    <w:uiPriority w:val="30"/>
    <w:rsid w:val="00FC693F"/>
    <w:rPr>
      <w:b/>
      <w:bCs/>
      <w:i/>
      <w:iCs/>
    </w:rPr>
  </w:style>
  <w:style w:styleId="SubtleEmphasis" w:type="character">
    <w:name w:val="Subtle Emphasis"/>
    <w:basedOn w:val="DefaultParagraphFont"/>
    <w:uiPriority w:val="19"/>
    <w:qFormat/>
    <w:rsid w:val="00FC693F"/>
    <w:rPr>
      <w:i/>
      <w:iCs/>
    </w:rPr>
  </w:style>
  <w:style w:styleId="IntenseEmphasis" w:type="character">
    <w:name w:val="Intense Emphasis"/>
    <w:basedOn w:val="DefaultParagraphFont"/>
    <w:uiPriority w:val="21"/>
    <w:qFormat/>
    <w:rsid w:val="00FC693F"/>
    <w:rPr>
      <w:b/>
      <w:bCs/>
      <w:i/>
      <w:iCs/>
    </w:rPr>
  </w:style>
  <w:style w:styleId="SubtleReference" w:type="character">
    <w:name w:val="Subtle Reference"/>
    <w:basedOn w:val="DefaultParagraphFont"/>
    <w:uiPriority w:val="31"/>
    <w:qFormat/>
    <w:rsid w:val="00FC693F"/>
    <w:rPr>
      <w:smallCaps/>
      <w:u w:val="single"/>
    </w:rPr>
  </w:style>
  <w:style w:styleId="IntenseReference" w:type="character">
    <w:name w:val="Intense Reference"/>
    <w:basedOn w:val="DefaultParagraphFont"/>
    <w:uiPriority w:val="32"/>
    <w:qFormat/>
    <w:rsid w:val="00FC693F"/>
    <w:rPr>
      <w:b/>
      <w:bCs/>
      <w:smallCaps/>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rPr/>
  </w:style>
  <w:style w:styleId="TableGrid" w:type="table">
    <w:name w:val="Table Grid"/>
    <w:basedOn w:val="TableNormal"/>
    <w:uiPriority w:val="59"/>
    <w:rsid w:val="00FC693F"/>
    <w:pPr>
      <w:spacing w:after="0" w:line="240" w:lineRule="auto"/>
    </w:pPr>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r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r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r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r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r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r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r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r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r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r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r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r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r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r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r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r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r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r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r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r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r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r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r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r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r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r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r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r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rPr/>
  </w:style>
  <w:style w:type="character" w:customStyle="1" w:styleId="KeywordTok">
    <w:name w:val="KeywordTok"/>
    <w:basedOn w:val="VerbatimChar"/>
    <w:rPr>
      <w:b/>
    </w:rPr>
  </w:style>
  <w:style w:type="character" w:customStyle="1" w:styleId="DataTypeTok">
    <w:name w:val="DataTypeTok"/>
    <w:basedOn w:val="VerbatimChar"/>
    <w:rPr/>
  </w:style>
  <w:style w:type="character" w:customStyle="1" w:styleId="DecValTok">
    <w:name w:val="DecValTok"/>
    <w:basedOn w:val="VerbatimChar"/>
    <w:rPr/>
  </w:style>
  <w:style w:type="character" w:customStyle="1" w:styleId="BaseNTok">
    <w:name w:val="BaseNTok"/>
    <w:basedOn w:val="VerbatimChar"/>
    <w:rPr/>
  </w:style>
  <w:style w:type="character" w:customStyle="1" w:styleId="FloatTok">
    <w:name w:val="FloatTok"/>
    <w:basedOn w:val="VerbatimChar"/>
    <w:rPr/>
  </w:style>
  <w:style w:type="character" w:customStyle="1" w:styleId="ConstantTok">
    <w:name w:val="ConstantTok"/>
    <w:basedOn w:val="VerbatimChar"/>
    <w:rPr/>
  </w:style>
  <w:style w:type="character" w:customStyle="1" w:styleId="CharTok">
    <w:name w:val="CharTok"/>
    <w:basedOn w:val="VerbatimChar"/>
    <w:rPr/>
  </w:style>
  <w:style w:type="character" w:customStyle="1" w:styleId="SpecialCharTok">
    <w:name w:val="SpecialCharTok"/>
    <w:basedOn w:val="VerbatimChar"/>
    <w:rPr/>
  </w:style>
  <w:style w:type="character" w:customStyle="1" w:styleId="StringTok">
    <w:name w:val="StringTok"/>
    <w:basedOn w:val="VerbatimChar"/>
    <w:rPr/>
  </w:style>
  <w:style w:type="character" w:customStyle="1" w:styleId="VerbatimStringTok">
    <w:name w:val="VerbatimStringTok"/>
    <w:basedOn w:val="VerbatimChar"/>
    <w:rPr/>
  </w:style>
  <w:style w:type="character" w:customStyle="1" w:styleId="SpecialStringTok">
    <w:name w:val="SpecialStringTok"/>
    <w:basedOn w:val="VerbatimChar"/>
    <w:rPr/>
  </w:style>
  <w:style w:type="character" w:customStyle="1" w:styleId="ImportTok">
    <w:name w:val="ImportTok"/>
    <w:basedOn w:val="VerbatimChar"/>
    <w:rPr>
      <w:b/>
    </w:rPr>
  </w:style>
  <w:style w:type="character" w:customStyle="1" w:styleId="CommentTok">
    <w:name w:val="CommentTok"/>
    <w:basedOn w:val="VerbatimChar"/>
    <w:rPr>
      <w:i/>
    </w:rPr>
  </w:style>
  <w:style w:type="character" w:customStyle="1" w:styleId="DocumentationTok">
    <w:name w:val="DocumentationTok"/>
    <w:basedOn w:val="VerbatimChar"/>
    <w:rPr>
      <w:i/>
    </w:rPr>
  </w:style>
  <w:style w:type="character" w:customStyle="1" w:styleId="AnnotationTok">
    <w:name w:val="AnnotationTok"/>
    <w:basedOn w:val="VerbatimChar"/>
    <w:rPr>
      <w:b/>
      <w:i/>
    </w:rPr>
  </w:style>
  <w:style w:type="character" w:customStyle="1" w:styleId="CommentVarTok">
    <w:name w:val="CommentVarTok"/>
    <w:basedOn w:val="VerbatimChar"/>
    <w:rPr>
      <w:b/>
      <w:i/>
    </w:rPr>
  </w:style>
  <w:style w:type="character" w:customStyle="1" w:styleId="OtherTok">
    <w:name w:val="OtherTok"/>
    <w:basedOn w:val="VerbatimChar"/>
    <w:rPr/>
  </w:style>
  <w:style w:type="character" w:customStyle="1" w:styleId="FunctionTok">
    <w:name w:val="FunctionTok"/>
    <w:basedOn w:val="VerbatimChar"/>
    <w:rPr/>
  </w:style>
  <w:style w:type="character" w:customStyle="1" w:styleId="VariableTok">
    <w:name w:val="VariableTok"/>
    <w:basedOn w:val="VerbatimChar"/>
    <w:rPr/>
  </w:style>
  <w:style w:type="character" w:customStyle="1" w:styleId="ControlFlowTok">
    <w:name w:val="ControlFlowTok"/>
    <w:basedOn w:val="VerbatimChar"/>
    <w:rPr>
      <w:b/>
    </w:rPr>
  </w:style>
  <w:style w:type="character" w:customStyle="1" w:styleId="OperatorTok">
    <w:name w:val="OperatorTok"/>
    <w:basedOn w:val="VerbatimChar"/>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style>
  <w:style w:type="character" w:customStyle="1" w:styleId="AttributeTok">
    <w:name w:val="AttributeTok"/>
    <w:basedOn w:val="VerbatimChar"/>
    <w:rPr/>
  </w:style>
  <w:style w:type="character" w:customStyle="1" w:styleId="RegionMarkerTok">
    <w:name w:val="RegionMarkerTok"/>
    <w:basedOn w:val="VerbatimChar"/>
    <w:rPr/>
  </w:style>
  <w:style w:type="character" w:customStyle="1" w:styleId="InformationTok">
    <w:name w:val="InformationTok"/>
    <w:basedOn w:val="VerbatimChar"/>
    <w:rPr>
      <w:b/>
      <w:i/>
    </w:rPr>
  </w:style>
  <w:style w:type="character" w:customStyle="1" w:styleId="WarningTok">
    <w:name w:val="WarningTok"/>
    <w:basedOn w:val="VerbatimChar"/>
    <w:rPr>
      <w:b/>
      <w:i/>
    </w:rPr>
  </w:style>
  <w:style w:type="character" w:customStyle="1" w:styleId="AlertTok">
    <w:name w:val="AlertTok"/>
    <w:basedOn w:val="VerbatimChar"/>
    <w:rPr>
      <w:b/>
    </w:rPr>
  </w:style>
  <w:style w:type="character" w:customStyle="1" w:styleId="ErrorTok">
    <w:name w:val="ErrorTok"/>
    <w:basedOn w:val="VerbatimChar"/>
    <w:rPr>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0" Type="http://schemas.openxmlformats.org/officeDocument/2006/relationships/image" Target="media/rId70.png"/><Relationship Id="rId86" Type="http://schemas.openxmlformats.org/officeDocument/2006/relationships/image" Target="media/rId86.png"/><Relationship Id="rId90" Type="http://schemas.openxmlformats.org/officeDocument/2006/relationships/image" Target="media/rId90.png"/><Relationship Id="rId96" Type="http://schemas.openxmlformats.org/officeDocument/2006/relationships/image" Target="media/rId96.png"/><Relationship Id="rId102" Type="http://schemas.openxmlformats.org/officeDocument/2006/relationships/image" Target="media/rId102.png"/><Relationship Id="rId61" Type="http://schemas.openxmlformats.org/officeDocument/2006/relationships/hyperlink" Target="https://doi.org/10.1002/j.2325-8012.2001.tb00421.x" TargetMode="External"/><Relationship Id="rId49" Type="http://schemas.openxmlformats.org/officeDocument/2006/relationships/hyperlink" Target="https://doi.org/10.1016/0305-750X(84)90024-X" TargetMode="External"/><Relationship Id="rId22" Type="http://schemas.openxmlformats.org/officeDocument/2006/relationships/hyperlink" Target="https://doi.org/10.1016/j.jom.2006.04.004" TargetMode="External"/><Relationship Id="rId41" Type="http://schemas.openxmlformats.org/officeDocument/2006/relationships/hyperlink" Target="https://doi.org/10.1080/00220388.2012.709614" TargetMode="External"/><Relationship Id="rId12" Type="http://schemas.openxmlformats.org/officeDocument/2006/relationships/hyperlink" Target="https://doi.org/10.1080/01402390.2017.1307745" TargetMode="External"/><Relationship Id="rId15" Type="http://schemas.openxmlformats.org/officeDocument/2006/relationships/hyperlink" Target="https://doi.org/10.1080/03071847.2019.1643258" TargetMode="External"/><Relationship Id="rId14" Type="http://schemas.openxmlformats.org/officeDocument/2006/relationships/hyperlink" Target="https://doi.org/10.1080/14751798.2018.1500757" TargetMode="External"/><Relationship Id="rId36" Type="http://schemas.openxmlformats.org/officeDocument/2006/relationships/hyperlink" Target="https://doi.org/10.1080/14751798.2025.2596533" TargetMode="External"/><Relationship Id="rId19" Type="http://schemas.openxmlformats.org/officeDocument/2006/relationships/hyperlink" Target="https://doi.org/10.1080/17502977.2021.1988224" TargetMode="External"/><Relationship Id="rId127" Type="http://schemas.openxmlformats.org/officeDocument/2006/relationships/hyperlink" Target="https://doi.org/10.1080/17502977.2021.1988226" TargetMode="External"/><Relationship Id="rId62" Type="http://schemas.openxmlformats.org/officeDocument/2006/relationships/hyperlink" Target="https://doi.org/10.1086/380592" TargetMode="External"/><Relationship Id="rId42" Type="http://schemas.openxmlformats.org/officeDocument/2006/relationships/hyperlink" Target="https://doi.org/10.1093/acprof:oso/9780198747482.001.0001" TargetMode="External"/><Relationship Id="rId16" Type="http://schemas.openxmlformats.org/officeDocument/2006/relationships/hyperlink" Target="https://doi.org/10.1093/ia/iiac215" TargetMode="External"/><Relationship Id="rId20" Type="http://schemas.openxmlformats.org/officeDocument/2006/relationships/hyperlink" Target="https://doi.org/10.1093/isr/viag003" TargetMode="External"/><Relationship Id="rId25" Type="http://schemas.openxmlformats.org/officeDocument/2006/relationships/hyperlink" Target="https://doi.org/10.1111/j.1467-9361.2008.00486.x" TargetMode="External"/><Relationship Id="rId11" Type="http://schemas.openxmlformats.org/officeDocument/2006/relationships/hyperlink" Target="https://doi.org/10.1162/DAED_a_00464" TargetMode="External"/><Relationship Id="rId13" Type="http://schemas.openxmlformats.org/officeDocument/2006/relationships/hyperlink" Target="https://doi.org/10.1162/isec_a_00453" TargetMode="External"/><Relationship Id="rId17" Type="http://schemas.openxmlformats.org/officeDocument/2006/relationships/hyperlink" Target="https://doi.org/10.1177/00108367231184717" TargetMode="External"/><Relationship Id="rId78" Type="http://schemas.openxmlformats.org/officeDocument/2006/relationships/hyperlink" Target="https://doi.org/10.18564/jasss.4259" TargetMode="External"/><Relationship Id="rId51" Type="http://schemas.openxmlformats.org/officeDocument/2006/relationships/hyperlink" Target="https://doi.org/10.2307/2118400" TargetMode="External"/><Relationship Id="rId59" Type="http://schemas.openxmlformats.org/officeDocument/2006/relationships/hyperlink" Target="https://doi.org/10.2307/2393553" TargetMode="External"/><Relationship Id="rId54" Type="http://schemas.openxmlformats.org/officeDocument/2006/relationships/hyperlink" Target="https://doi.org/10.2307/2538875" TargetMode="External"/><Relationship Id="rId56" Type="http://schemas.openxmlformats.org/officeDocument/2006/relationships/hyperlink" Target="https://doi.org/10.2307/j.ctt7s19h" TargetMode="External"/><Relationship Id="rId38" Type="http://schemas.openxmlformats.org/officeDocument/2006/relationships/hyperlink" Target="https://doi.org/10.7249/RR1232" TargetMode="External"/><Relationship Id="rId9" Type="http://schemas.openxmlformats.org/officeDocument/2006/relationships/header" Target="header1.xm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61" Type="http://schemas.openxmlformats.org/officeDocument/2006/relationships/hyperlink" Target="https://doi.org/10.1002/j.2325-8012.2001.tb00421.x" TargetMode="External"/><Relationship Id="rId49" Type="http://schemas.openxmlformats.org/officeDocument/2006/relationships/hyperlink" Target="https://doi.org/10.1016/0305-750X(84)90024-X" TargetMode="External"/><Relationship Id="rId22" Type="http://schemas.openxmlformats.org/officeDocument/2006/relationships/hyperlink" Target="https://doi.org/10.1016/j.jom.2006.04.004" TargetMode="External"/><Relationship Id="rId41" Type="http://schemas.openxmlformats.org/officeDocument/2006/relationships/hyperlink" Target="https://doi.org/10.1080/00220388.2012.709614" TargetMode="External"/><Relationship Id="rId12" Type="http://schemas.openxmlformats.org/officeDocument/2006/relationships/hyperlink" Target="https://doi.org/10.1080/01402390.2017.1307745" TargetMode="External"/><Relationship Id="rId15" Type="http://schemas.openxmlformats.org/officeDocument/2006/relationships/hyperlink" Target="https://doi.org/10.1080/03071847.2019.1643258" TargetMode="External"/><Relationship Id="rId14" Type="http://schemas.openxmlformats.org/officeDocument/2006/relationships/hyperlink" Target="https://doi.org/10.1080/14751798.2018.1500757" TargetMode="External"/><Relationship Id="rId36" Type="http://schemas.openxmlformats.org/officeDocument/2006/relationships/hyperlink" Target="https://doi.org/10.1080/14751798.2025.2596533" TargetMode="External"/><Relationship Id="rId19" Type="http://schemas.openxmlformats.org/officeDocument/2006/relationships/hyperlink" Target="https://doi.org/10.1080/17502977.2021.1988224" TargetMode="External"/><Relationship Id="rId127" Type="http://schemas.openxmlformats.org/officeDocument/2006/relationships/hyperlink" Target="https://doi.org/10.1080/17502977.2021.1988226" TargetMode="External"/><Relationship Id="rId62" Type="http://schemas.openxmlformats.org/officeDocument/2006/relationships/hyperlink" Target="https://doi.org/10.1086/380592" TargetMode="External"/><Relationship Id="rId42" Type="http://schemas.openxmlformats.org/officeDocument/2006/relationships/hyperlink" Target="https://doi.org/10.1093/acprof:oso/9780198747482.001.0001" TargetMode="External"/><Relationship Id="rId16" Type="http://schemas.openxmlformats.org/officeDocument/2006/relationships/hyperlink" Target="https://doi.org/10.1093/ia/iiac215" TargetMode="External"/><Relationship Id="rId20" Type="http://schemas.openxmlformats.org/officeDocument/2006/relationships/hyperlink" Target="https://doi.org/10.1093/isr/viag003" TargetMode="External"/><Relationship Id="rId25" Type="http://schemas.openxmlformats.org/officeDocument/2006/relationships/hyperlink" Target="https://doi.org/10.1111/j.1467-9361.2008.00486.x" TargetMode="External"/><Relationship Id="rId11" Type="http://schemas.openxmlformats.org/officeDocument/2006/relationships/hyperlink" Target="https://doi.org/10.1162/DAED_a_00464" TargetMode="External"/><Relationship Id="rId13" Type="http://schemas.openxmlformats.org/officeDocument/2006/relationships/hyperlink" Target="https://doi.org/10.1162/isec_a_00453" TargetMode="External"/><Relationship Id="rId17" Type="http://schemas.openxmlformats.org/officeDocument/2006/relationships/hyperlink" Target="https://doi.org/10.1177/00108367231184717" TargetMode="External"/><Relationship Id="rId78" Type="http://schemas.openxmlformats.org/officeDocument/2006/relationships/hyperlink" Target="https://doi.org/10.18564/jasss.4259" TargetMode="External"/><Relationship Id="rId51" Type="http://schemas.openxmlformats.org/officeDocument/2006/relationships/hyperlink" Target="https://doi.org/10.2307/2118400" TargetMode="External"/><Relationship Id="rId59" Type="http://schemas.openxmlformats.org/officeDocument/2006/relationships/hyperlink" Target="https://doi.org/10.2307/2393553" TargetMode="External"/><Relationship Id="rId54" Type="http://schemas.openxmlformats.org/officeDocument/2006/relationships/hyperlink" Target="https://doi.org/10.2307/2538875" TargetMode="External"/><Relationship Id="rId56" Type="http://schemas.openxmlformats.org/officeDocument/2006/relationships/hyperlink" Target="https://doi.org/10.2307/j.ctt7s19h" TargetMode="External"/><Relationship Id="rId38" Type="http://schemas.openxmlformats.org/officeDocument/2006/relationships/hyperlink" Target="https://doi.org/10.7249/RR123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Suffering from Success: Relief, Yield, and Retention in Security Assistance</dc:title>
  <dc:creator/>
  <cp:keywords/>
  <dcterms:created xsi:type="dcterms:W3CDTF">2026-09-21T23:51:38Z</dcterms:created>
  <dcterms:modified xsi:type="dcterms:W3CDTF">2026-09-21T23:51:38Z</dcterms:modified>
  <cp:lastModifiedBy/>
  <dc:description/>
  <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C:\Users\Jandro\Documents\ChatGPT\Pineland-all-branches-merge\paper\partner_force_autonomy\submission\references.bib</vt:lpwstr>
  </property>
  <property fmtid="{D5CDD505-2E9C-101B-9397-08002B2CF9AE}" pid="3" name="csl">
    <vt:lpwstr>C:\Users\Jandro\Documents\ChatGPT\Pineland-all-branches-merge\paper\partner_force_autonomy\submission\chicago-notes.csl</vt:lpwstr>
  </property>
  <property fmtid="{D5CDD505-2E9C-101B-9397-08002B2CF9AE}" pid="4" name="date">
    <vt:lpwstr>September 21, 2026</vt:lpwstr>
  </property>
</Properties>
</file>