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Souscrire un contrat de capitalisation (personne physique)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2 janv. 2023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Situation initiale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Monsieur Jacquin, âgé de 72 ans, est veuf et a deux fils, Vincent et Maxime.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a déjà souscrit plusieurs contrats d’assurance-vie au profit de ses enfants. Les abattements de 152 000 € (au titre des versements réalisés avant le 70ème anniversaire) et de 30 500 € (au titre des versements réalisés après 70 ans) sont déjà utilisés en totalité.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n’a pas réalisé de donation durant les 15 dernières années.</w:t>
      </w:r>
    </w:p>
    <w:p>
      <w:pPr>
        <w:pStyle w:val="p"/>
        <w:spacing w:before="0" w:after="180" w:line="330" w:lineRule="atLeast"/>
        <w:ind w:left="0" w:right="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est propriétaire : </w:t>
      </w:r>
    </w:p>
    <w:p>
      <w:pPr>
        <w:pStyle w:val="linotnth-last-child1"/>
        <w:numPr>
          <w:ilvl w:val="0"/>
          <w:numId w:val="29"/>
        </w:numPr>
        <w:spacing w:before="240"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de sa résidence principale, évaluée à 300 000 € </w:t>
      </w:r>
    </w:p>
    <w:p>
      <w:pPr>
        <w:pStyle w:val="linotnth-last-child1"/>
        <w:numPr>
          <w:ilvl w:val="0"/>
          <w:numId w:val="29"/>
        </w:numPr>
        <w:spacing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d’un immeuble locatif évalué à 350 000 €</w:t>
      </w:r>
    </w:p>
    <w:p>
      <w:pPr>
        <w:numPr>
          <w:ilvl w:val="0"/>
          <w:numId w:val="29"/>
        </w:numPr>
        <w:spacing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et dispose de 50 000 € de liquidités (comptes titres, livets..)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dispose de 400 000 € de liquidités à investir.</w:t>
      </w:r>
    </w:p>
    <w:p>
      <w:pPr>
        <w:pStyle w:val="p"/>
        <w:spacing w:before="0" w:after="180" w:line="330" w:lineRule="atLeast"/>
        <w:ind w:left="0" w:right="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souhaite optimiser la transmission de son patrimoine, réduire autant que possible la fiscalité dont seront redevables ses enfants à son décès et percevoir des flux réguliers.</w:t>
      </w:r>
    </w:p>
    <w:p>
      <w:pPr>
        <w:pStyle w:val="fd-document-box-purplefd-document-box-title"/>
        <w:pageBreakBefore w:val="0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24" w:color="D6D6D6"/>
        </w:pBdr>
        <w:shd w:val="clear" w:color="auto" w:fill="F5F5F5"/>
        <w:spacing w:before="0" w:after="240" w:line="240" w:lineRule="atLeast"/>
        <w:ind w:left="540" w:right="495"/>
        <w:outlineLvl w:val="4"/>
        <w:rPr>
          <w:b/>
          <w:bCs/>
          <w:color w:val="C882FF"/>
          <w:sz w:val="18"/>
          <w:szCs w:val="18"/>
        </w:rPr>
      </w:pPr>
      <w:r>
        <w:rPr>
          <w:b/>
          <w:bCs/>
          <w:color w:val="C882FF"/>
          <w:sz w:val="18"/>
          <w:szCs w:val="18"/>
        </w:rPr>
        <w:t>Remarque : </w:t>
      </w:r>
    </w:p>
    <w:p>
      <w:pPr>
        <w:pStyle w:val="fd-document-box-purplefd-document-box-descriptionany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24" w:color="D6D6D6"/>
        </w:pBdr>
        <w:shd w:val="clear" w:color="auto" w:fill="F5F5F5"/>
        <w:spacing w:before="0" w:after="18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Par hypothèse :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before="240"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on  retient une date de décès dans 20 ans,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on considère une valorisation de son épargne à 2 %, nette de prélèvements sociaux,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les enfants sont soumis aux droits de succession au taux de 20 %.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60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au moyen de retraits programmés, Monsieur Jacquin perçoit l’équivalent de la valorisation annuelle du contrat.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Investissement sur un contrat d’assurance-vie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On propose à Monsieur Jacquin de réinvestir les 400 000 € dans un contrat d’assurance-vie après son 70ème anniversaire et l’abattement de 30 500 € est déjà été utilisé : les primes versées restent intégralement taxables.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Au décès, les capitaux décès (nets de prélèvements sociaux) versés à chacun de ses enfants s’établissent à 200 000 €.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Primes versées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acquise au décès en raison des rachats partiels réguliers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succession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succession à 20 %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40 000 € 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Capital décès net perçu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160 000 € par enfant (200 000 - 40 000)</w:t>
            </w:r>
          </w:p>
        </w:tc>
      </w:tr>
    </w:tbl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Les deux enfants s’enrichissent de 320 000 € au total.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Investissement et donation d’un contrat de capitalisation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On propose à Monsieur Jacquin d’investir les 200 000 € sur deux contrats de capitalisation avec donation de la nue-propriété respective des contrats à ses fils. Il conserve un usufruit, évalué 30 %. Les droits de donations de 12 400 € (6 200 € x 2) sont payés par le père. Cette somme aurait pu être placée au même taux (2 % nets de prélèvements sociaux). Par conséquent, le coût réel à prendre en compte est d’environ 18 400 €. Nous le déduirons par la suite.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Contrat de capitalisation (pleine propriété)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donation</w:t>
            </w:r>
            <w:r>
              <w:rPr>
                <w:color w:val="202020"/>
                <w:sz w:val="21"/>
                <w:szCs w:val="21"/>
              </w:rPr>
              <w:br/>
            </w:r>
            <w:r>
              <w:rPr>
                <w:color w:val="202020"/>
                <w:sz w:val="21"/>
                <w:szCs w:val="21"/>
              </w:rPr>
              <w:t>(nue-propriété du contrat de capitalisation = 70 %)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140 000 €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Abattement en ligne directe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Assiette des droits de donation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40 000 €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succession à 20 %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6 200 € par enfant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(*) L'abattement de 100 000 € et les plus petites tranches du barème sont consommés.</w:t>
      </w:r>
    </w:p>
    <w:p>
      <w:pPr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M. Jacquin réalise des retraits réguliers sa vie durant. A son décès, l’usufruit s’éteint et les enfants se retrouve pleins propriétaires des contrats. Ils rachètent alors leur contrat de capitalisation et paient la fiscalité correspondante. 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Valeur du contrat de capitalisation au jour du décès (après déduction des rachats partiels réguliers)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succession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0 € (l'usufruit rejoint la nue-propriété sans taxation)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donation, payés par le donateur (6 200 €), actualisés à 2 %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 9 200 €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Imposition des rachats (PFU à 12,8 % sur les intérêts du contrat)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3 000 € par enfant (hypothèse retenue sur 10 000 € d'intérêts générés après la donation en nue-propriété)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Capital décès net perçu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187 800 € par enfant (200 000 - 9 200 - 3 000)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(</w:t>
      </w:r>
      <w:r>
        <w:rPr>
          <w:color w:val="646464"/>
          <w:sz w:val="24"/>
          <w:szCs w:val="24"/>
        </w:rPr>
        <w:t>*) Seuls les intérêts générés avant la donation en nue-propriété : les intérêts générés après la donation en nue-propriété ne sont a priori pas purgés.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Les rachats peuvent être progressifs. Dans ce cas, l’abattement de 4 600 € ou 9 200 € permettrait de limiter encore l’imposition des capitaux perçus.</w:t>
      </w:r>
    </w:p>
    <w:p>
      <w:pPr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u w:val="single" w:color="646464"/>
        </w:rPr>
        <w:t>Les deux enfants s’enrichissent de 375 600 € au total.</w:t>
      </w:r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6"/>
      <w:footerReference w:type="default" r:id="rId7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3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description">
    <w:name w:val="description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paragraph" w:customStyle="1" w:styleId="linotnth-last-child1">
    <w:name w:val="li_not(:nth-last-child(1))"/>
    <w:basedOn w:val="Normal"/>
  </w:style>
  <w:style w:type="paragraph" w:customStyle="1" w:styleId="fd-document-box-purple">
    <w:name w:val="fd-document-box-purple"/>
    <w:basedOn w:val="Normal"/>
    <w:pPr>
      <w:pBdr>
        <w:top w:val="single" w:sz="6" w:space="0" w:color="D6D6D6"/>
        <w:left w:val="single" w:sz="24" w:space="0" w:color="C882FF"/>
        <w:bottom w:val="single" w:sz="6" w:space="0" w:color="D6D6D6"/>
        <w:right w:val="single" w:sz="6" w:space="0" w:color="D6D6D6"/>
      </w:pBdr>
      <w:shd w:val="clear" w:color="auto" w:fill="F5F5F5"/>
      <w:spacing w:line="300" w:lineRule="atLeast"/>
    </w:pPr>
    <w:rPr>
      <w:sz w:val="21"/>
      <w:szCs w:val="21"/>
      <w:bdr w:val="single" w:sz="6" w:space="0" w:color="D6D6D6"/>
      <w:shd w:val="clear" w:color="auto" w:fill="F5F5F5"/>
    </w:rPr>
  </w:style>
  <w:style w:type="paragraph" w:customStyle="1" w:styleId="fd-document-box-purplefd-document-box-title">
    <w:name w:val="fd-document-box-purple_fd-document-box-title"/>
    <w:basedOn w:val="Normal"/>
    <w:pPr>
      <w:pBdr>
        <w:top w:val="none" w:sz="0" w:space="12" w:color="auto"/>
        <w:left w:val="none" w:sz="0" w:space="24" w:color="auto"/>
        <w:bottom w:val="none" w:sz="0" w:space="0" w:color="auto"/>
        <w:right w:val="none" w:sz="0" w:space="24" w:color="auto"/>
      </w:pBdr>
    </w:pPr>
    <w:rPr>
      <w:color w:val="C882FF"/>
    </w:rPr>
  </w:style>
  <w:style w:type="paragraph" w:customStyle="1" w:styleId="fd-document-box-purplefd-document-box-descriptionany">
    <w:name w:val="fd-document-box-purple_fd-document-box-description &gt; any"/>
    <w:basedOn w:val="Normal"/>
    <w:pPr>
      <w:pBdr>
        <w:top w:val="none" w:sz="0" w:space="0" w:color="auto"/>
        <w:left w:val="none" w:sz="0" w:space="24" w:color="auto"/>
        <w:bottom w:val="none" w:sz="0" w:space="0" w:color="auto"/>
        <w:right w:val="none" w:sz="0" w:space="24" w:color="auto"/>
      </w:pBdr>
    </w:pPr>
  </w:style>
  <w:style w:type="paragraph" w:customStyle="1" w:styleId="fd-document-box-purpleulli">
    <w:name w:val="fd-document-box-purple_ul_li"/>
    <w:basedOn w:val="Normal"/>
    <w:pPr>
      <w:pBdr>
        <w:left w:val="none" w:sz="0" w:space="24" w:color="auto"/>
      </w:pBdr>
    </w:pPr>
  </w:style>
  <w:style w:type="table" w:customStyle="1" w:styleId="table">
    <w:name w:val="table"/>
    <w:basedOn w:val="TableNormal"/>
    <w:tblPr/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2023-11-27T09:02:32Z</dcterms:created>
  <dcterms:modified xsi:type="dcterms:W3CDTF">2023-11-27T09:02:32Z</dcterms:modified>
</cp:coreProperties>
</file>