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646464"/>
          <w:sz w:val="24"/>
          <w:szCs w:val="24"/>
        </w:rPr>
        <w:drawing>
          <wp:inline>
            <wp:extent cx="3377424" cy="1524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4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46464"/>
          <w:sz w:val="24"/>
          <w:szCs w:val="24"/>
        </w:rPr>
        <w:t xml:space="preserve"> </w:t>
      </w:r>
    </w:p>
    <w:p>
      <w:pPr>
        <w:pStyle w:val="h2title"/>
        <w:pageBreakBefore w:val="0"/>
        <w:spacing w:before="240" w:after="240" w:line="570" w:lineRule="atLeast"/>
        <w:ind w:left="0" w:right="0"/>
        <w:jc w:val="center"/>
        <w:outlineLvl w:val="1"/>
        <w:rPr>
          <w:b/>
          <w:bCs/>
          <w:caps w:val="0"/>
          <w:color w:val="202020"/>
          <w:sz w:val="48"/>
          <w:szCs w:val="48"/>
        </w:rPr>
      </w:pPr>
      <w:r>
        <w:rPr>
          <w:b/>
          <w:bCs/>
          <w:caps w:val="0"/>
          <w:color w:val="202020"/>
          <w:sz w:val="48"/>
          <w:szCs w:val="48"/>
        </w:rPr>
        <w:t>IS / CONTRAT DE CAPITALISATION – Quelles sont les conséquences d’un TME négatif ?</w:t>
      </w:r>
    </w:p>
    <w:p>
      <w:pPr>
        <w:pStyle w:val="updated-at"/>
        <w:spacing w:before="0" w:after="300" w:line="360" w:lineRule="atLeast"/>
        <w:ind w:left="0" w:right="0"/>
        <w:rPr>
          <w:color w:val="646464"/>
          <w:sz w:val="27"/>
          <w:szCs w:val="27"/>
        </w:rPr>
      </w:pPr>
      <w:r>
        <w:rPr>
          <w:color w:val="646464"/>
          <w:sz w:val="27"/>
          <w:szCs w:val="27"/>
        </w:rPr>
        <w:t>Mis à jour le 13 janv. 2023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1.</w:t>
      </w:r>
      <w:r>
        <w:rPr>
          <w:b/>
          <w:bCs/>
          <w:caps w:val="0"/>
          <w:color w:val="202020"/>
          <w:sz w:val="27"/>
          <w:szCs w:val="27"/>
        </w:rPr>
        <w:t xml:space="preserve"> Question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i/>
          <w:iCs/>
          <w:color w:val="646464"/>
          <w:sz w:val="24"/>
          <w:szCs w:val="24"/>
        </w:rPr>
        <w:t>Quelles sont les conséquences d’un TME négatif ? Est-ce vraiment avantageux pour la gestion de la trésorerie d’entreprise ?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2.</w:t>
      </w:r>
      <w:r>
        <w:rPr>
          <w:b/>
          <w:bCs/>
          <w:caps w:val="0"/>
          <w:color w:val="202020"/>
          <w:sz w:val="27"/>
          <w:szCs w:val="27"/>
        </w:rPr>
        <w:t xml:space="preserve"> Réponse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Non, un TME négatif n’est pas nécessairement avantageux d’un point de vue fiscal. Cette situation peut, dans certains cas, conduire à une taxation plus forte.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 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 xml:space="preserve">Les contrats de capitalisation souscrits par une personne morale soumise à l’impôt sur les sociétés (également applicable aux entreprises soumises au BIC, BNC ou BA) font l’objet d’une </w:t>
      </w:r>
      <w:r>
        <w:rPr>
          <w:color w:val="646464"/>
          <w:sz w:val="24"/>
          <w:szCs w:val="24"/>
          <w:u w:val="single" w:color="646464"/>
        </w:rPr>
        <w:t>taxation forfaitaire annuelle</w:t>
      </w:r>
      <w:r>
        <w:rPr>
          <w:color w:val="646464"/>
          <w:sz w:val="24"/>
          <w:szCs w:val="24"/>
        </w:rPr>
        <w:t xml:space="preserve"> (indépendamment de l’évolution réelle du contrat) même en l’absence de rachat.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 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L’assiette de taxation est déterminée selon la formule suivante :</w:t>
      </w:r>
    </w:p>
    <w:tbl>
      <w:tblPr>
        <w:tblStyle w:val="figuretable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349"/>
        <w:gridCol w:w="2174"/>
        <w:gridCol w:w="4348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2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Montan nominal du contrat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X</w:t>
            </w:r>
          </w:p>
        </w:tc>
        <w:tc>
          <w:tcPr>
            <w:tcW w:w="2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105 %  du TME connu lors de la souscription du contrat</w:t>
            </w:r>
          </w:p>
        </w:tc>
      </w:tr>
    </w:tbl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 xml:space="preserve">Le TME est fixe </w:t>
      </w:r>
      <w:r>
        <w:rPr>
          <w:color w:val="646464"/>
          <w:sz w:val="24"/>
          <w:szCs w:val="24"/>
          <w:u w:val="single" w:color="646464"/>
        </w:rPr>
        <w:t>pour toute la durée du contrat</w:t>
      </w:r>
      <w:r>
        <w:rPr>
          <w:color w:val="646464"/>
          <w:sz w:val="24"/>
          <w:szCs w:val="24"/>
        </w:rPr>
        <w:t xml:space="preserve">. La taxation forfaitaire annuelle </w:t>
      </w:r>
      <w:r>
        <w:rPr>
          <w:color w:val="646464"/>
          <w:sz w:val="24"/>
          <w:szCs w:val="24"/>
          <w:u w:val="single" w:color="646464"/>
        </w:rPr>
        <w:t>n'est qu'une avance fiscale</w:t>
      </w:r>
      <w:r>
        <w:rPr>
          <w:color w:val="646464"/>
          <w:sz w:val="24"/>
          <w:szCs w:val="24"/>
        </w:rPr>
        <w:t xml:space="preserve"> : elle est régularisée lors d’un rachat partiel ou total en fonction des intérêts réellement générés.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 xml:space="preserve">Si le TME est </w:t>
      </w:r>
      <w:r>
        <w:rPr>
          <w:color w:val="646464"/>
          <w:sz w:val="24"/>
          <w:szCs w:val="24"/>
          <w:u w:val="single" w:color="646464"/>
        </w:rPr>
        <w:t>négatif</w:t>
      </w:r>
      <w:r>
        <w:rPr>
          <w:color w:val="646464"/>
          <w:sz w:val="24"/>
          <w:szCs w:val="24"/>
        </w:rPr>
        <w:t xml:space="preserve"> au moment de la souscription du contrat de capitalisation, </w:t>
      </w:r>
      <w:r>
        <w:rPr>
          <w:color w:val="646464"/>
          <w:sz w:val="24"/>
          <w:szCs w:val="24"/>
          <w:u w:val="single" w:color="646464"/>
        </w:rPr>
        <w:t>aucune taxation annuelle ne sera due.</w:t>
      </w:r>
      <w:r>
        <w:rPr>
          <w:color w:val="646464"/>
          <w:sz w:val="24"/>
          <w:szCs w:val="24"/>
          <w:u w:val="single" w:color="646464"/>
        </w:rPr>
        <w:br/>
      </w:r>
      <w:r>
        <w:rPr>
          <w:color w:val="646464"/>
          <w:sz w:val="24"/>
          <w:szCs w:val="24"/>
        </w:rPr>
        <w:t xml:space="preserve">Il ne faut pas se réjouir trop vite de cette absence de fiscalité au fil de l’eau. En effet, </w:t>
      </w:r>
      <w:r>
        <w:rPr>
          <w:color w:val="646464"/>
          <w:sz w:val="24"/>
          <w:szCs w:val="24"/>
          <w:u w:val="single" w:color="646464"/>
        </w:rPr>
        <w:t>la taxation forfaitaire annuelle peut être plus intéressante qu’une taxation à terme uniquement</w:t>
      </w:r>
      <w:r>
        <w:rPr>
          <w:color w:val="646464"/>
          <w:sz w:val="24"/>
          <w:szCs w:val="24"/>
        </w:rPr>
        <w:t>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 </w:t>
      </w:r>
    </w:p>
    <w:p>
      <w:pPr>
        <w:pStyle w:val="fd-chevron-lvl1"/>
        <w:pBdr>
          <w:left w:val="none" w:sz="0" w:space="15" w:color="auto"/>
        </w:pBdr>
        <w:spacing w:before="0" w:after="180" w:line="330" w:lineRule="atLeast"/>
        <w:ind w:left="300" w:right="0"/>
        <w:rPr>
          <w:b w:val="0"/>
          <w:bCs w:val="0"/>
          <w:color w:val="202020"/>
          <w:sz w:val="24"/>
          <w:szCs w:val="24"/>
        </w:rPr>
      </w:pPr>
      <w:r>
        <w:rPr>
          <w:b w:val="0"/>
          <w:bCs w:val="0"/>
          <w:color w:val="202020"/>
          <w:sz w:val="24"/>
          <w:szCs w:val="24"/>
        </w:rPr>
        <w:t>IS à taux réduit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Le taux réduit d’impôt sur les sociétés de </w:t>
      </w:r>
      <w:r>
        <w:rPr>
          <w:color w:val="646464"/>
          <w:sz w:val="24"/>
          <w:szCs w:val="24"/>
          <w:u w:val="single" w:color="646464"/>
        </w:rPr>
        <w:t>15 %</w:t>
      </w:r>
      <w:r>
        <w:rPr>
          <w:color w:val="646464"/>
          <w:sz w:val="24"/>
          <w:szCs w:val="24"/>
        </w:rPr>
        <w:t> s'applique sur les </w:t>
      </w:r>
      <w:r>
        <w:rPr>
          <w:color w:val="646464"/>
          <w:sz w:val="24"/>
          <w:szCs w:val="24"/>
          <w:u w:val="single" w:color="646464"/>
        </w:rPr>
        <w:t xml:space="preserve">42 500 premiers euros </w:t>
      </w:r>
      <w:r>
        <w:rPr>
          <w:color w:val="646464"/>
          <w:sz w:val="24"/>
          <w:szCs w:val="24"/>
        </w:rPr>
        <w:t>de bénéfices d’une année. Au-delà, le taux normal à 25 % s’applique. Une taxation forfaitaire au fil du temps peut permettre de bénéficier du taux réduit alors qu’une taxation unique à terme pourrait avoir pour effet de soumettre les intérêts au taux de 25 %.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 </w:t>
      </w:r>
    </w:p>
    <w:p>
      <w:pPr>
        <w:pStyle w:val="fd-chevron-lvl1"/>
        <w:pBdr>
          <w:left w:val="none" w:sz="0" w:space="15" w:color="auto"/>
        </w:pBdr>
        <w:spacing w:before="0" w:after="180" w:line="330" w:lineRule="atLeast"/>
        <w:ind w:left="300" w:right="0"/>
        <w:rPr>
          <w:b w:val="0"/>
          <w:bCs w:val="0"/>
          <w:color w:val="202020"/>
          <w:sz w:val="24"/>
          <w:szCs w:val="24"/>
        </w:rPr>
      </w:pPr>
      <w:r>
        <w:rPr>
          <w:b w:val="0"/>
          <w:bCs w:val="0"/>
          <w:color w:val="202020"/>
          <w:sz w:val="24"/>
          <w:szCs w:val="24"/>
        </w:rPr>
        <w:t>Organismes sans but lucratif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Ils sont imposés au taux de : </w:t>
      </w:r>
    </w:p>
    <w:p>
      <w:pPr>
        <w:pStyle w:val="linotnth-last-child1"/>
        <w:numPr>
          <w:ilvl w:val="0"/>
          <w:numId w:val="29"/>
        </w:numPr>
        <w:spacing w:before="240"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10 % annuellement (taxation forfaitaire)</w:t>
      </w:r>
    </w:p>
    <w:p>
      <w:pPr>
        <w:numPr>
          <w:ilvl w:val="0"/>
          <w:numId w:val="29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et de 24 % en cas de rachat pour la seule part des intérêts non encore taxés.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Ainsi le TME négatif conduit les organismes sans but lucratif à être taxés à 24 % pour l’intégralité des intérêts acquis contre 10 % à 24 % normalement.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3.</w:t>
      </w:r>
      <w:r>
        <w:rPr>
          <w:b/>
          <w:bCs/>
          <w:caps w:val="0"/>
          <w:color w:val="202020"/>
          <w:sz w:val="27"/>
          <w:szCs w:val="27"/>
        </w:rPr>
        <w:t xml:space="preserve"> Références</w:t>
      </w:r>
    </w:p>
    <w:p>
      <w:pPr>
        <w:pStyle w:val="content"/>
        <w:spacing w:after="240" w:line="330" w:lineRule="atLeas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CGI. art. 238 septies E, II, 3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CGI. art. 219 bis</w:t>
      </w:r>
      <w:r>
        <w:rPr>
          <w:color w:val="646464"/>
          <w:sz w:val="24"/>
          <w:szCs w:val="24"/>
        </w:rPr>
        <w:br/>
      </w:r>
      <w:hyperlink r:id="rId6" w:history="1">
        <w:r>
          <w:rPr>
            <w:rStyle w:val="a"/>
            <w:color w:val="4623EB"/>
            <w:sz w:val="24"/>
            <w:szCs w:val="24"/>
          </w:rPr>
          <w:t>BOI-BIC-PDSTK-10-20-60-10</w:t>
        </w:r>
      </w:hyperlink>
      <w:r>
        <w:rPr>
          <w:color w:val="646464"/>
          <w:sz w:val="24"/>
          <w:szCs w:val="24"/>
        </w:rPr>
        <w:t> </w:t>
      </w:r>
      <w:r>
        <w:rPr>
          <w:color w:val="646464"/>
          <w:sz w:val="24"/>
          <w:szCs w:val="24"/>
        </w:rPr>
        <w:br/>
      </w:r>
      <w:hyperlink r:id="rId7" w:tgtFrame="_blank" w:history="1">
        <w:r>
          <w:rPr>
            <w:rStyle w:val="a"/>
            <w:color w:val="4623EB"/>
            <w:sz w:val="24"/>
            <w:szCs w:val="24"/>
          </w:rPr>
          <w:t>BOI-BIC-PDSTK-10-20-60-20</w:t>
        </w:r>
      </w:hyperlink>
      <w:r>
        <w:rPr>
          <w:rStyle w:val="a"/>
          <w:color w:val="4623EB"/>
          <w:sz w:val="24"/>
          <w:szCs w:val="24"/>
        </w:rPr>
        <w:br/>
      </w:r>
      <w:hyperlink r:id="rId8" w:tgtFrame="_blank" w:history="1">
        <w:r>
          <w:rPr>
            <w:rStyle w:val="a"/>
            <w:color w:val="4623EB"/>
            <w:sz w:val="24"/>
            <w:szCs w:val="24"/>
          </w:rPr>
          <w:t>Inst. adm. 27 fév. 2008, BOI 4 A-3-08</w:t>
        </w:r>
      </w:hyperlink>
      <w:r>
        <w:rPr>
          <w:rStyle w:val="a"/>
          <w:color w:val="4623EB"/>
          <w:sz w:val="24"/>
          <w:szCs w:val="24"/>
        </w:rPr>
        <w:br/>
      </w:r>
      <w:hyperlink r:id="rId9" w:tgtFrame="_blank" w:history="1">
        <w:r>
          <w:rPr>
            <w:rStyle w:val="a"/>
            <w:color w:val="4623EB"/>
            <w:sz w:val="24"/>
            <w:szCs w:val="24"/>
          </w:rPr>
          <w:t>Doc. adm. 4 H-6112</w:t>
        </w:r>
      </w:hyperlink>
      <w:r>
        <w:rPr>
          <w:color w:val="646464"/>
          <w:sz w:val="24"/>
          <w:szCs w:val="24"/>
        </w:rPr>
        <w:t> n° 12 et 40</w:t>
      </w:r>
    </w:p>
    <w:p>
      <w:pPr>
        <w:pStyle w:val="legal-notice"/>
        <w:spacing w:before="1920" w:line="240" w:lineRule="atLeast"/>
        <w:jc w:val="center"/>
        <w:rPr>
          <w:color w:val="9A9A9A"/>
          <w:sz w:val="18"/>
          <w:szCs w:val="18"/>
        </w:rPr>
      </w:pPr>
      <w:r>
        <w:rPr>
          <w:color w:val="9A9A9A"/>
          <w:sz w:val="18"/>
          <w:szCs w:val="18"/>
        </w:rPr>
        <w:t>Bonjour Patrimoine est la marque commerciale des sociétés CGP ONE et PYRÉNÉES FINANCE CONSEIL. Société CGP ONE, S.A.R.L. à associé unique à capital variable (capital minimum de 800 €uros) enregistrée au RCS de Toulouse sous le n° 450 434 535 - Code APE 7022Z – TVA INTRACOMMUNAUTAIRE FR12450434535 - Siège social : 14-16 place Laganne 31300 Toulouse – Téléphone : 05 61 52 17 01 Etablissement secondaire : 31 rue Saint Hilaire 94210 Saint Maur des Fossés – Téléphone : 01 45 14 80 34 Société PYRENEES FINANCE CONSEIL, SASU au capital de 44000 € enregistrée au RCS de Tarbes sous le n° 433 881 760 - Code APE 6619B – TVA INTRACOMMUNAUTAIRE FR61433881760 - Siège social : 8 rue Latil 65000 Tarbes – Téléphone : 05 62 56 31 56 CGP ONE et PYRÉNÉES FINANCE CONSEIL détiennent en propre l’intégralité des habilitations nécessaires pour l’exercice de la profession de Conseil en Gestion de Patrimoine - Enregistrées respectivement à l’ORIAS sous le n° 07 002 919 et sous le n° 07 008 066 (https://www.orias.fr) en qualité de Courtier en Assurance positionné dans la catégorie « b », de Courtier en opérations de banque et en services de paiement et de Conseiller en Investissements Financiers adhérents à la Chambre Nationale des Conseillers en Gestion de Patrimoine (CNCGP), association agréée par l'AMF (Autorité des Marchés Financiers) – Activité de transaction sur immeuble et fonds de commerce carte professionnelle n° CPI 3101 2018 000 035 300 délivrée par la CCI de Toulouse pour CGP ONE et n°CPI 6501 2021 000 000 001 délivrée par la CCI de Tarbes et des Hautes-Pyrénées pour PYRENEES FINANCE CONSEIL - RCP et garantie financière n°112.786.342 (adhérent n°224545 pour CGP ONE et n°232188 pour PYRENEES FINANCE CONSEIL) auprès de la Compagnie MMA IARD Assurances Mutuelles / MMA IARD, 14 Bd Marie et Alexandre Oyon 72030 LE MANS CEDEX 9. Ne peut recevoir aucun fonds, effet ou valeur.</w:t>
      </w:r>
    </w:p>
    <w:sectPr>
      <w:headerReference w:type="default" r:id="rId10"/>
      <w:footerReference w:type="default" r:id="rId11"/>
      <w:pgSz w:w="11906" w:h="16838"/>
      <w:pgMar w:top="454" w:right="680" w:bottom="794" w:left="851" w:header="454" w:footer="454"/>
      <w:pgNumType w:start="1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5000" w:type="pct"/>
      <w:jc w:val="center"/>
      <w:tblCellSpacing w:w="-8" w:type="dxa"/>
      <w:tblLayout w:type="fixed"/>
      <w:tblCellMar>
        <w:top w:w="15" w:type="dxa"/>
        <w:left w:w="45" w:type="dxa"/>
        <w:bottom w:w="15" w:type="dxa"/>
        <w:right w:w="45" w:type="dxa"/>
      </w:tblCellMar>
      <w:tblLook w:val="04A0"/>
    </w:tblPr>
    <w:tblGrid>
      <w:gridCol w:w="9887"/>
      <w:gridCol w:w="578"/>
    </w:tblGrid>
    <w:tr w:rsidTr="00650C20">
      <w:tblPrEx>
        <w:tblW w:w="5000" w:type="pct"/>
        <w:jc w:val="center"/>
        <w:tblCellSpacing w:w="-8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A0"/>
      </w:tblPrEx>
      <w:trPr>
        <w:tblCellSpacing w:w="-8" w:type="dxa"/>
        <w:jc w:val="center"/>
      </w:trPr>
      <w:tc>
        <w:tcPr>
          <w:tcW w:w="4724" w:type="pct"/>
        </w:tcPr>
        <w:p w:rsidR="00A80841" w:rsidRPr="00D46CF9" w:rsidP="00650C20">
          <w:pPr>
            <w:jc w:val="center"/>
          </w:pPr>
        </w:p>
      </w:tc>
      <w:tc>
        <w:tcPr>
          <w:tcW w:w="299" w:type="pct"/>
        </w:tcPr>
        <w:p w:rsidR="00A80841" w:rsidRPr="00D46CF9" w:rsidP="00650C20">
          <w:pPr>
            <w:jc w:val="center"/>
          </w:pPr>
          <w:r w:rsidRPr="00D46CF9">
            <w:rPr>
              <w:b/>
            </w:rPr>
            <w:fldChar w:fldCharType="begin"/>
          </w:r>
          <w:r w:rsidRPr="00D46CF9" w:rsidR="00320D97">
            <w:rPr>
              <w:b/>
            </w:rPr>
            <w:instrText xml:space="preserve">PAGE </w:instrText>
          </w:r>
          <w:r w:rsidRPr="00D46CF9">
            <w:rPr>
              <w:b/>
            </w:rPr>
            <w:fldChar w:fldCharType="separate"/>
          </w:r>
          <w:r w:rsidRPr="00D46CF9" w:rsidR="00320D97">
            <w:rPr>
              <w:rFonts w:ascii="Franklin Gothic Book" w:hAnsi="Franklin Gothic Book" w:eastAsiaTheme="minorHAnsi" w:cstheme="minorBidi"/>
              <w:b/>
              <w:color w:val="5F5F5F"/>
              <w:sz w:val="22"/>
              <w:szCs w:val="22"/>
              <w:lang w:val="fr-FR" w:eastAsia="en-US" w:bidi="ar-SA"/>
            </w:rPr>
            <w:t>2</w:t>
          </w:r>
          <w:r w:rsidRPr="00D46CF9">
            <w:rPr>
              <w:b/>
            </w:rPr>
            <w:fldChar w:fldCharType="end"/>
          </w:r>
        </w:p>
      </w:tc>
    </w:tr>
  </w:tbl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301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63008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8AC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84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4B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6EA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1CF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784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2498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525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23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hybridMultilevel"/>
    <w:tmpl w:val="1A082E12"/>
    <w:lvl w:ilvl="0">
      <w:start w:val="1"/>
      <w:numFmt w:val="bullet"/>
      <w:pStyle w:val="Listepuce3"/>
      <w:lvlText w:val=""/>
      <w:lvlJc w:val="left"/>
      <w:pPr>
        <w:ind w:left="927" w:hanging="360"/>
      </w:pPr>
      <w:rPr>
        <w:rFonts w:ascii="Wingdings" w:hAnsi="Wingdings" w:cs="Wingdings" w:hint="default"/>
        <w:color w:val="4B575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1A"/>
    <w:multiLevelType w:val="singleLevel"/>
    <w:tmpl w:val="2AA099C8"/>
    <w:lvl w:ilvl="0">
      <w:start w:val="1"/>
      <w:numFmt w:val="bullet"/>
      <w:pStyle w:val="Listepuce2"/>
      <w:lvlText w:val="-"/>
      <w:lvlJc w:val="left"/>
      <w:pPr>
        <w:ind w:left="435" w:hanging="360"/>
      </w:pPr>
      <w:rPr>
        <w:rFonts w:ascii="Arial" w:hAnsi="Arial" w:hint="default"/>
        <w:noProof/>
        <w:color w:val="4B575F"/>
        <w:sz w:val="20"/>
      </w:rPr>
    </w:lvl>
  </w:abstractNum>
  <w:abstractNum w:abstractNumId="12">
    <w:nsid w:val="07A6EE8B"/>
    <w:multiLevelType w:val="singleLevel"/>
    <w:tmpl w:val="D3F4C88C"/>
    <w:lvl w:ilvl="0">
      <w:start w:val="0"/>
      <w:numFmt w:val="bullet"/>
      <w:lvlText w:val="§"/>
      <w:lvlJc w:val="left"/>
      <w:pPr>
        <w:tabs>
          <w:tab w:val="num" w:pos="840"/>
        </w:tabs>
        <w:ind w:left="840" w:hanging="285"/>
      </w:pPr>
      <w:rPr>
        <w:rFonts w:ascii="Wingdings" w:hAnsi="Wingdings" w:cs="Wingdings"/>
        <w:sz w:val="20"/>
        <w:szCs w:val="20"/>
      </w:rPr>
    </w:lvl>
  </w:abstractNum>
  <w:abstractNum w:abstractNumId="13">
    <w:nsid w:val="24C3760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6263294"/>
    <w:multiLevelType w:val="hybridMultilevel"/>
    <w:tmpl w:val="0418487C"/>
    <w:lvl w:ilvl="0">
      <w:start w:val="1"/>
      <w:numFmt w:val="bullet"/>
      <w:lvlText w:val="i"/>
      <w:lvlJc w:val="left"/>
      <w:pPr>
        <w:ind w:left="644" w:hanging="360"/>
      </w:pPr>
      <w:rPr>
        <w:rFonts w:ascii="Webdings" w:hAnsi="Webdings" w:cs="Wingdings" w:hint="default"/>
        <w:color w:val="5B9BD5" w:themeColor="accent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734BCD"/>
    <w:multiLevelType w:val="hybridMultilevel"/>
    <w:tmpl w:val="5228430C"/>
    <w:lvl w:ilvl="0">
      <w:start w:val="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B16B9"/>
    <w:multiLevelType w:val="multilevel"/>
    <w:tmpl w:val="5D1C4DFA"/>
    <w:lvl w:ilvl="0">
      <w:start w:val="1"/>
      <w:numFmt w:val="bullet"/>
      <w:lvlText w:val="·"/>
      <w:lvlJc w:val="left"/>
      <w:pPr>
        <w:tabs>
          <w:tab w:val="num" w:pos="269"/>
        </w:tabs>
        <w:ind w:left="-299" w:firstLine="299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1309B"/>
    <w:multiLevelType w:val="singleLevel"/>
    <w:tmpl w:val="5C9EA41E"/>
    <w:lvl w:ilvl="0">
      <w:start w:val="1"/>
      <w:numFmt w:val="bullet"/>
      <w:lvlText w:val="i"/>
      <w:lvlJc w:val="left"/>
      <w:pPr>
        <w:tabs>
          <w:tab w:val="num" w:pos="555"/>
        </w:tabs>
        <w:ind w:hanging="285"/>
      </w:pPr>
      <w:rPr>
        <w:rFonts w:ascii="Webdings" w:hAnsi="Webdings"/>
        <w:color w:val="C84040"/>
        <w:sz w:val="20"/>
      </w:rPr>
    </w:lvl>
  </w:abstractNum>
  <w:abstractNum w:abstractNumId="18">
    <w:nsid w:val="38D45865"/>
    <w:multiLevelType w:val="multilevel"/>
    <w:tmpl w:val="8C120BA8"/>
    <w:lvl w:ilvl="0">
      <w:start w:val="1"/>
      <w:numFmt w:val="bullet"/>
      <w:lvlText w:val="-"/>
      <w:lvlJc w:val="left"/>
      <w:pPr>
        <w:tabs>
          <w:tab w:val="num" w:pos="1122"/>
        </w:tabs>
        <w:ind w:left="555" w:hanging="284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63A21"/>
    <w:multiLevelType w:val="hybridMultilevel"/>
    <w:tmpl w:val="4F4434A4"/>
    <w:lvl w:ilvl="0">
      <w:start w:val="1"/>
      <w:numFmt w:val="bullet"/>
      <w:lvlText w:val="-"/>
      <w:lvlJc w:val="left"/>
      <w:pPr>
        <w:tabs>
          <w:tab w:val="num" w:pos="567"/>
        </w:tabs>
        <w:ind w:left="567" w:hanging="296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A6F06B"/>
    <w:multiLevelType w:val="singleLevel"/>
    <w:tmpl w:val="5EC9667B"/>
    <w:lvl w:ilvl="0">
      <w:start w:val="1"/>
      <w:numFmt w:val="bullet"/>
      <w:lvlText w:val="·"/>
      <w:lvlJc w:val="left"/>
      <w:pPr>
        <w:tabs>
          <w:tab w:val="num" w:pos="270"/>
        </w:tabs>
        <w:ind w:hanging="285"/>
      </w:pPr>
      <w:rPr>
        <w:rFonts w:ascii="Symbol" w:hAnsi="Symbol"/>
        <w:noProof/>
        <w:sz w:val="20"/>
      </w:rPr>
    </w:lvl>
  </w:abstractNum>
  <w:abstractNum w:abstractNumId="21">
    <w:nsid w:val="4C43CD31"/>
    <w:multiLevelType w:val="singleLevel"/>
    <w:tmpl w:val="45622109"/>
    <w:lvl w:ilvl="0">
      <w:start w:val="1"/>
      <w:numFmt w:val="bullet"/>
      <w:lvlText w:val="§"/>
      <w:lvlJc w:val="left"/>
      <w:pPr>
        <w:tabs>
          <w:tab w:val="num" w:pos="840"/>
        </w:tabs>
        <w:ind w:hanging="285"/>
      </w:pPr>
      <w:rPr>
        <w:rFonts w:ascii="Wingdings" w:hAnsi="Wingdings"/>
        <w:noProof/>
        <w:sz w:val="20"/>
      </w:rPr>
    </w:lvl>
  </w:abstractNum>
  <w:abstractNum w:abstractNumId="22">
    <w:nsid w:val="5EAE291D"/>
    <w:multiLevelType w:val="singleLevel"/>
    <w:tmpl w:val="D41CDB52"/>
    <w:lvl w:ilvl="0">
      <w:start w:val="0"/>
      <w:numFmt w:val="bullet"/>
      <w:lvlText w:val="i"/>
      <w:lvlJc w:val="left"/>
      <w:pPr>
        <w:tabs>
          <w:tab w:val="num" w:pos="555"/>
        </w:tabs>
        <w:ind w:left="555" w:hanging="285"/>
      </w:pPr>
      <w:rPr>
        <w:rFonts w:ascii="Webdings" w:hAnsi="Webdings" w:cs="Webdings"/>
        <w:color w:val="C84040"/>
        <w:sz w:val="20"/>
        <w:szCs w:val="20"/>
      </w:rPr>
    </w:lvl>
  </w:abstractNum>
  <w:abstractNum w:abstractNumId="23">
    <w:nsid w:val="5FEC2877"/>
    <w:multiLevelType w:val="hybridMultilevel"/>
    <w:tmpl w:val="74A8DB74"/>
    <w:lvl w:ilvl="0">
      <w:start w:val="1"/>
      <w:numFmt w:val="bullet"/>
      <w:pStyle w:val="Bulleinfo"/>
      <w:lvlText w:val=""/>
      <w:lvlJc w:val="left"/>
      <w:pPr>
        <w:ind w:left="717" w:hanging="360"/>
      </w:pPr>
      <w:rPr>
        <w:rFonts w:ascii="Webdings" w:hAnsi="Webdings" w:cs="Wingdings" w:hint="default"/>
        <w:color w:val="39659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5D72BF"/>
    <w:multiLevelType w:val="multilevel"/>
    <w:tmpl w:val="CFD80868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>
    <w:nsid w:val="62249CE4"/>
    <w:multiLevelType w:val="singleLevel"/>
    <w:tmpl w:val="25F2EB60"/>
    <w:lvl w:ilvl="0">
      <w:start w:val="1"/>
      <w:numFmt w:val="bullet"/>
      <w:lvlText w:val="-"/>
      <w:lvlJc w:val="left"/>
      <w:pPr>
        <w:tabs>
          <w:tab w:val="num" w:pos="555"/>
        </w:tabs>
        <w:ind w:hanging="285"/>
      </w:pPr>
      <w:rPr>
        <w:rFonts w:ascii="Symbol" w:hAnsi="Symbol"/>
        <w:noProof/>
        <w:sz w:val="20"/>
      </w:rPr>
    </w:lvl>
  </w:abstractNum>
  <w:abstractNum w:abstractNumId="26">
    <w:nsid w:val="72404382"/>
    <w:multiLevelType w:val="hybridMultilevel"/>
    <w:tmpl w:val="0602BE92"/>
    <w:lvl w:ilvl="0">
      <w:start w:val="1"/>
      <w:numFmt w:val="bullet"/>
      <w:pStyle w:val="Listepuce"/>
      <w:lvlText w:val=""/>
      <w:lvlJc w:val="left"/>
      <w:pPr>
        <w:ind w:left="360" w:hanging="360"/>
      </w:pPr>
      <w:rPr>
        <w:rFonts w:ascii="Symbol" w:hAnsi="Symbol" w:hint="default"/>
        <w:color w:val="39659F"/>
        <w:sz w:val="2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04383"/>
    <w:multiLevelType w:val="hybridMultilevel"/>
    <w:tmpl w:val="724043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1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8"/>
  </w:num>
  <w:num w:numId="19">
    <w:abstractNumId w:val="24"/>
  </w:num>
  <w:num w:numId="20">
    <w:abstractNumId w:val="16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26"/>
  </w:num>
  <w:num w:numId="27">
    <w:abstractNumId w:val="11"/>
  </w:num>
  <w:num w:numId="28">
    <w:abstractNumId w:val="1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001"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1" w:visibleStyles="0"/>
  <w:stylePaneSortMethod w:val="name"/>
  <w:defaultTabStop w:val="720"/>
  <w:hyphenationZone w:val="425"/>
  <w:doNotShadeFormData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01"/>
    <w:rsid w:val="000139BB"/>
    <w:rsid w:val="000169B4"/>
    <w:rsid w:val="00021B1D"/>
    <w:rsid w:val="0002488E"/>
    <w:rsid w:val="00030EDF"/>
    <w:rsid w:val="00046E08"/>
    <w:rsid w:val="000603F8"/>
    <w:rsid w:val="00092AEA"/>
    <w:rsid w:val="0009665C"/>
    <w:rsid w:val="000D575D"/>
    <w:rsid w:val="0013271A"/>
    <w:rsid w:val="00174B96"/>
    <w:rsid w:val="00180675"/>
    <w:rsid w:val="001A5821"/>
    <w:rsid w:val="001B0796"/>
    <w:rsid w:val="001B4BE8"/>
    <w:rsid w:val="001D3BC2"/>
    <w:rsid w:val="001F27E9"/>
    <w:rsid w:val="00204901"/>
    <w:rsid w:val="0020506C"/>
    <w:rsid w:val="00212F71"/>
    <w:rsid w:val="002156F2"/>
    <w:rsid w:val="00220EE7"/>
    <w:rsid w:val="00221880"/>
    <w:rsid w:val="00244652"/>
    <w:rsid w:val="0024758D"/>
    <w:rsid w:val="00251547"/>
    <w:rsid w:val="00274886"/>
    <w:rsid w:val="002762A5"/>
    <w:rsid w:val="002B3CDE"/>
    <w:rsid w:val="002B3FBD"/>
    <w:rsid w:val="002C1627"/>
    <w:rsid w:val="002D18D3"/>
    <w:rsid w:val="002D24EA"/>
    <w:rsid w:val="002D296B"/>
    <w:rsid w:val="002D2A2A"/>
    <w:rsid w:val="002E0D29"/>
    <w:rsid w:val="00320D97"/>
    <w:rsid w:val="003235C7"/>
    <w:rsid w:val="00330A1F"/>
    <w:rsid w:val="003656BA"/>
    <w:rsid w:val="00373012"/>
    <w:rsid w:val="003849EF"/>
    <w:rsid w:val="003B439B"/>
    <w:rsid w:val="003B49BA"/>
    <w:rsid w:val="003C20A4"/>
    <w:rsid w:val="003E02F8"/>
    <w:rsid w:val="003E38B5"/>
    <w:rsid w:val="003F08EB"/>
    <w:rsid w:val="004114DC"/>
    <w:rsid w:val="0042227E"/>
    <w:rsid w:val="0043194F"/>
    <w:rsid w:val="00437242"/>
    <w:rsid w:val="00442EA8"/>
    <w:rsid w:val="00455499"/>
    <w:rsid w:val="004649AC"/>
    <w:rsid w:val="004662EF"/>
    <w:rsid w:val="004663B5"/>
    <w:rsid w:val="004767DB"/>
    <w:rsid w:val="00491077"/>
    <w:rsid w:val="004A1928"/>
    <w:rsid w:val="004D4149"/>
    <w:rsid w:val="004D518C"/>
    <w:rsid w:val="004E4109"/>
    <w:rsid w:val="004F1898"/>
    <w:rsid w:val="004F74DA"/>
    <w:rsid w:val="00512E6D"/>
    <w:rsid w:val="00523FEB"/>
    <w:rsid w:val="0053205D"/>
    <w:rsid w:val="0053472E"/>
    <w:rsid w:val="00546B1B"/>
    <w:rsid w:val="0055180E"/>
    <w:rsid w:val="00554E4B"/>
    <w:rsid w:val="00565E3B"/>
    <w:rsid w:val="005868D0"/>
    <w:rsid w:val="00591A78"/>
    <w:rsid w:val="00593833"/>
    <w:rsid w:val="005A6ADE"/>
    <w:rsid w:val="005C4D8F"/>
    <w:rsid w:val="005E4F0A"/>
    <w:rsid w:val="005F6BB1"/>
    <w:rsid w:val="0060117A"/>
    <w:rsid w:val="00614A4A"/>
    <w:rsid w:val="00633941"/>
    <w:rsid w:val="00650C20"/>
    <w:rsid w:val="00652AD1"/>
    <w:rsid w:val="00652F5C"/>
    <w:rsid w:val="0066291B"/>
    <w:rsid w:val="0068574B"/>
    <w:rsid w:val="00691706"/>
    <w:rsid w:val="006A38E2"/>
    <w:rsid w:val="006E1B6F"/>
    <w:rsid w:val="006F1D65"/>
    <w:rsid w:val="007070B6"/>
    <w:rsid w:val="00717372"/>
    <w:rsid w:val="007234AA"/>
    <w:rsid w:val="00734164"/>
    <w:rsid w:val="00745C53"/>
    <w:rsid w:val="0075142C"/>
    <w:rsid w:val="00751C79"/>
    <w:rsid w:val="00753F6D"/>
    <w:rsid w:val="007752BC"/>
    <w:rsid w:val="00780EC2"/>
    <w:rsid w:val="00783662"/>
    <w:rsid w:val="00787BFC"/>
    <w:rsid w:val="007940CD"/>
    <w:rsid w:val="0079546B"/>
    <w:rsid w:val="00796A57"/>
    <w:rsid w:val="007A770C"/>
    <w:rsid w:val="007B4511"/>
    <w:rsid w:val="007B52DF"/>
    <w:rsid w:val="007C72EB"/>
    <w:rsid w:val="007D299A"/>
    <w:rsid w:val="007D6934"/>
    <w:rsid w:val="007F3411"/>
    <w:rsid w:val="0080257B"/>
    <w:rsid w:val="00823211"/>
    <w:rsid w:val="00825D56"/>
    <w:rsid w:val="0085094D"/>
    <w:rsid w:val="0085502C"/>
    <w:rsid w:val="008635AA"/>
    <w:rsid w:val="008848FC"/>
    <w:rsid w:val="008B1AB8"/>
    <w:rsid w:val="008B6750"/>
    <w:rsid w:val="008C6368"/>
    <w:rsid w:val="008D1ACF"/>
    <w:rsid w:val="00907DD4"/>
    <w:rsid w:val="00925C1D"/>
    <w:rsid w:val="0093022A"/>
    <w:rsid w:val="00931DB5"/>
    <w:rsid w:val="009350EE"/>
    <w:rsid w:val="00952EC1"/>
    <w:rsid w:val="00960279"/>
    <w:rsid w:val="00984DA7"/>
    <w:rsid w:val="00985BB2"/>
    <w:rsid w:val="00990866"/>
    <w:rsid w:val="009C1E14"/>
    <w:rsid w:val="009D5469"/>
    <w:rsid w:val="00A03ADD"/>
    <w:rsid w:val="00A125ED"/>
    <w:rsid w:val="00A36561"/>
    <w:rsid w:val="00A45601"/>
    <w:rsid w:val="00A57662"/>
    <w:rsid w:val="00A74E46"/>
    <w:rsid w:val="00A7702E"/>
    <w:rsid w:val="00A80841"/>
    <w:rsid w:val="00A86A16"/>
    <w:rsid w:val="00AA5CA0"/>
    <w:rsid w:val="00AA65D4"/>
    <w:rsid w:val="00AD4F2B"/>
    <w:rsid w:val="00AE7BE4"/>
    <w:rsid w:val="00AF7AAB"/>
    <w:rsid w:val="00B22D10"/>
    <w:rsid w:val="00B25956"/>
    <w:rsid w:val="00B31322"/>
    <w:rsid w:val="00B33FC3"/>
    <w:rsid w:val="00B35B4D"/>
    <w:rsid w:val="00B36C62"/>
    <w:rsid w:val="00B602B7"/>
    <w:rsid w:val="00B7261B"/>
    <w:rsid w:val="00B80B77"/>
    <w:rsid w:val="00BB6490"/>
    <w:rsid w:val="00BC51B5"/>
    <w:rsid w:val="00BC6D95"/>
    <w:rsid w:val="00BD6DE2"/>
    <w:rsid w:val="00BD6FDE"/>
    <w:rsid w:val="00BE1CFB"/>
    <w:rsid w:val="00BE5A10"/>
    <w:rsid w:val="00C10F77"/>
    <w:rsid w:val="00C16D63"/>
    <w:rsid w:val="00C44334"/>
    <w:rsid w:val="00C65EC2"/>
    <w:rsid w:val="00C768CF"/>
    <w:rsid w:val="00C8150A"/>
    <w:rsid w:val="00C94B6D"/>
    <w:rsid w:val="00CB61B3"/>
    <w:rsid w:val="00CC31AB"/>
    <w:rsid w:val="00CC3628"/>
    <w:rsid w:val="00CC6718"/>
    <w:rsid w:val="00CD6A3D"/>
    <w:rsid w:val="00CE189C"/>
    <w:rsid w:val="00D074D7"/>
    <w:rsid w:val="00D10EEE"/>
    <w:rsid w:val="00D21DE2"/>
    <w:rsid w:val="00D23348"/>
    <w:rsid w:val="00D30AFC"/>
    <w:rsid w:val="00D46CF9"/>
    <w:rsid w:val="00D632C8"/>
    <w:rsid w:val="00D639C4"/>
    <w:rsid w:val="00D72AD7"/>
    <w:rsid w:val="00D73B5E"/>
    <w:rsid w:val="00D769A0"/>
    <w:rsid w:val="00D83933"/>
    <w:rsid w:val="00DB2382"/>
    <w:rsid w:val="00DE2A07"/>
    <w:rsid w:val="00DF64AE"/>
    <w:rsid w:val="00E4236C"/>
    <w:rsid w:val="00E5215B"/>
    <w:rsid w:val="00E64F38"/>
    <w:rsid w:val="00E705F7"/>
    <w:rsid w:val="00E83749"/>
    <w:rsid w:val="00EA3A23"/>
    <w:rsid w:val="00EB5E62"/>
    <w:rsid w:val="00ED54CB"/>
    <w:rsid w:val="00F02C4A"/>
    <w:rsid w:val="00F07263"/>
    <w:rsid w:val="00F076FA"/>
    <w:rsid w:val="00F303C9"/>
    <w:rsid w:val="00F4442A"/>
    <w:rsid w:val="00F5342A"/>
    <w:rsid w:val="00F56170"/>
    <w:rsid w:val="00F81C3C"/>
    <w:rsid w:val="00F832EE"/>
    <w:rsid w:val="00F93B6B"/>
    <w:rsid w:val="00FA5A2A"/>
    <w:rsid w:val="00FB301D"/>
    <w:rsid w:val="00FB7D57"/>
    <w:rsid w:val="00FC0083"/>
    <w:rsid w:val="00FC1F08"/>
    <w:rsid w:val="00FC2E48"/>
    <w:rsid w:val="00FC6091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FD68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paragraph" w:styleId="Heading1">
    <w:name w:val="heading 1"/>
    <w:basedOn w:val="BodyText"/>
    <w:link w:val="Titre1Car"/>
    <w:autoRedefine/>
    <w:uiPriority w:val="9"/>
    <w:qFormat/>
    <w:rsid w:val="004A1928"/>
    <w:pPr>
      <w:keepNext/>
      <w:keepLines/>
      <w:pageBreakBefore/>
      <w:framePr w:w="10433" w:wrap="around" w:vAnchor="page" w:hAnchor="text" w:yAlign="center"/>
      <w:pBdr>
        <w:bottom w:val="single" w:sz="12" w:space="1" w:color="39659F"/>
      </w:pBdr>
      <w:spacing w:after="0"/>
      <w:outlineLvl w:val="0"/>
    </w:pPr>
    <w:rPr>
      <w:rFonts w:eastAsiaTheme="majorEastAsia" w:cstheme="majorBidi"/>
      <w:caps/>
      <w:color w:val="39659F"/>
      <w:spacing w:val="60"/>
      <w:sz w:val="60"/>
      <w:szCs w:val="32"/>
    </w:rPr>
  </w:style>
  <w:style w:type="paragraph" w:styleId="Heading2">
    <w:name w:val="heading 2"/>
    <w:basedOn w:val="BodyText"/>
    <w:next w:val="BodyText"/>
    <w:link w:val="Titre2Car"/>
    <w:uiPriority w:val="9"/>
    <w:unhideWhenUsed/>
    <w:qFormat/>
    <w:rsid w:val="004A1928"/>
    <w:pPr>
      <w:keepNext/>
      <w:keepLines/>
      <w:pageBreakBefore/>
      <w:spacing w:after="240"/>
      <w:outlineLvl w:val="1"/>
    </w:pPr>
    <w:rPr>
      <w:rFonts w:eastAsiaTheme="majorEastAsia" w:cstheme="majorBidi"/>
      <w:caps/>
      <w:color w:val="39659F"/>
      <w:sz w:val="40"/>
      <w:szCs w:val="26"/>
    </w:rPr>
  </w:style>
  <w:style w:type="paragraph" w:styleId="Heading3">
    <w:name w:val="heading 3"/>
    <w:basedOn w:val="BodyText"/>
    <w:next w:val="BodyText"/>
    <w:link w:val="Titre3Car"/>
    <w:uiPriority w:val="9"/>
    <w:unhideWhenUsed/>
    <w:qFormat/>
    <w:rsid w:val="00565E3B"/>
    <w:pPr>
      <w:keepNext/>
      <w:keepLines/>
      <w:pBdr>
        <w:bottom w:val="dotted" w:sz="4" w:space="1" w:color="39659F"/>
      </w:pBdr>
      <w:spacing w:before="480" w:after="240" w:line="320" w:lineRule="exact"/>
      <w:outlineLvl w:val="2"/>
    </w:pPr>
    <w:rPr>
      <w:rFonts w:eastAsiaTheme="majorEastAsia" w:cstheme="majorBidi"/>
      <w:color w:val="39659F"/>
      <w:sz w:val="28"/>
      <w:szCs w:val="30"/>
    </w:rPr>
  </w:style>
  <w:style w:type="paragraph" w:styleId="Heading4">
    <w:name w:val="heading 4"/>
    <w:basedOn w:val="BodyText"/>
    <w:next w:val="BodyText"/>
    <w:link w:val="Titre4Car"/>
    <w:uiPriority w:val="9"/>
    <w:unhideWhenUsed/>
    <w:qFormat/>
    <w:rsid w:val="00251547"/>
    <w:pPr>
      <w:keepNext/>
      <w:keepLines/>
      <w:spacing w:before="240" w:after="240"/>
      <w:outlineLvl w:val="3"/>
    </w:pPr>
    <w:rPr>
      <w:rFonts w:eastAsiaTheme="majorEastAsia" w:cstheme="majorBidi"/>
      <w:b/>
      <w:iCs/>
      <w:szCs w:val="28"/>
    </w:rPr>
  </w:style>
  <w:style w:type="paragraph" w:styleId="Heading5">
    <w:name w:val="heading 5"/>
    <w:basedOn w:val="BodyText"/>
    <w:next w:val="BodyText"/>
    <w:link w:val="Titre5Car"/>
    <w:uiPriority w:val="9"/>
    <w:unhideWhenUsed/>
    <w:qFormat/>
    <w:rsid w:val="00E83749"/>
    <w:pPr>
      <w:keepNext/>
      <w:keepLines/>
      <w:spacing w:before="120" w:after="120"/>
      <w:outlineLvl w:val="4"/>
    </w:pPr>
    <w:rPr>
      <w:rFonts w:eastAsiaTheme="majorEastAsia" w:cstheme="majorBidi"/>
      <w:color w:val="39659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CorpsdetexteCar"/>
    <w:uiPriority w:val="99"/>
    <w:rsid w:val="0024758D"/>
    <w:pPr>
      <w:pBdr>
        <w:top w:val="nil"/>
        <w:left w:val="nil"/>
        <w:bottom w:val="nil"/>
        <w:right w:val="nil"/>
        <w:between w:val="nil"/>
      </w:pBdr>
      <w:autoSpaceDE w:val="0"/>
      <w:autoSpaceDN w:val="0"/>
      <w:adjustRightInd w:val="0"/>
      <w:spacing w:after="160" w:line="259" w:lineRule="auto"/>
    </w:pPr>
    <w:rPr>
      <w:rFonts w:eastAsia="Arial" w:cs="Arial"/>
      <w:lang w:eastAsia="fr-FR"/>
    </w:rPr>
  </w:style>
  <w:style w:type="paragraph" w:customStyle="1" w:styleId="Listepuce2">
    <w:name w:val="Liste à puce 2"/>
    <w:basedOn w:val="Listepuce"/>
    <w:uiPriority w:val="1"/>
    <w:rsid w:val="00251547"/>
    <w:pPr>
      <w:numPr>
        <w:numId w:val="27"/>
      </w:numPr>
    </w:pPr>
    <w:rPr>
      <w:szCs w:val="24"/>
    </w:rPr>
  </w:style>
  <w:style w:type="paragraph" w:customStyle="1" w:styleId="Listepuce">
    <w:name w:val="Liste à puce"/>
    <w:basedOn w:val="BodyText"/>
    <w:qFormat/>
    <w:rsid w:val="00E83749"/>
    <w:pPr>
      <w:numPr>
        <w:numId w:val="26"/>
      </w:numPr>
      <w:spacing w:before="20" w:after="20"/>
      <w:contextualSpacing/>
    </w:pPr>
  </w:style>
  <w:style w:type="paragraph" w:customStyle="1" w:styleId="Titre2bis">
    <w:name w:val="Titre 2 bis"/>
    <w:basedOn w:val="Heading2"/>
    <w:next w:val="BodyText"/>
    <w:rsid w:val="00787BFC"/>
    <w:pPr>
      <w:outlineLvl w:val="9"/>
    </w:pPr>
  </w:style>
  <w:style w:type="paragraph" w:styleId="TOC1">
    <w:name w:val="toc 1"/>
    <w:basedOn w:val="BodyText"/>
    <w:uiPriority w:val="39"/>
    <w:unhideWhenUsed/>
    <w:rsid w:val="00E83749"/>
    <w:pPr>
      <w:spacing w:before="240" w:after="100"/>
    </w:pPr>
    <w:rPr>
      <w:caps/>
      <w:color w:val="39659F"/>
      <w:sz w:val="24"/>
    </w:rPr>
  </w:style>
  <w:style w:type="paragraph" w:styleId="TOC2">
    <w:name w:val="toc 2"/>
    <w:basedOn w:val="BodyText"/>
    <w:next w:val="BodyText"/>
    <w:uiPriority w:val="39"/>
    <w:unhideWhenUsed/>
    <w:rsid w:val="004649AC"/>
    <w:pPr>
      <w:spacing w:after="100"/>
    </w:pPr>
  </w:style>
  <w:style w:type="paragraph" w:customStyle="1" w:styleId="Important">
    <w:name w:val="Important"/>
    <w:basedOn w:val="BodyText"/>
    <w:next w:val="BodyText"/>
    <w:qFormat/>
    <w:rsid w:val="00565E3B"/>
    <w:pPr>
      <w:pBdr>
        <w:top w:val="none" w:sz="0" w:space="0" w:color="auto"/>
        <w:left w:val="single" w:sz="12" w:space="4" w:color="39659F"/>
        <w:bottom w:val="none" w:sz="0" w:space="0" w:color="auto"/>
        <w:right w:val="none" w:sz="0" w:space="0" w:color="auto"/>
        <w:between w:val="none" w:sz="0" w:space="0" w:color="auto"/>
      </w:pBdr>
      <w:shd w:val="clear" w:color="AFABB7" w:fill="auto"/>
      <w:spacing w:before="360" w:after="240"/>
      <w:ind w:left="284"/>
    </w:pPr>
    <w:rPr>
      <w:color w:val="39659F"/>
    </w:rPr>
  </w:style>
  <w:style w:type="paragraph" w:customStyle="1" w:styleId="Bulleinfo">
    <w:name w:val="Bulle info"/>
    <w:basedOn w:val="Listepuce"/>
    <w:rsid w:val="00E83749"/>
    <w:pPr>
      <w:numPr>
        <w:numId w:val="25"/>
      </w:num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  <w:between w:val="none" w:sz="0" w:space="0" w:color="auto"/>
      </w:pBdr>
      <w:shd w:val="clear" w:color="auto" w:fill="F2F2F2" w:themeFill="background1" w:themeFillShade="F2"/>
      <w:spacing w:before="0" w:after="160"/>
    </w:pPr>
    <w:rPr>
      <w:sz w:val="20"/>
    </w:rPr>
  </w:style>
  <w:style w:type="paragraph" w:customStyle="1" w:styleId="Legende">
    <w:name w:val="Legende"/>
    <w:basedOn w:val="Normal"/>
    <w:qFormat/>
    <w:rsid w:val="004E4109"/>
    <w:pPr>
      <w:spacing w:before="120" w:after="120"/>
      <w:contextualSpacing/>
    </w:pPr>
    <w:rPr>
      <w:i/>
      <w:sz w:val="16"/>
    </w:rPr>
  </w:style>
  <w:style w:type="paragraph" w:customStyle="1" w:styleId="Listepuce3">
    <w:name w:val="Liste à puce 3"/>
    <w:basedOn w:val="Listepuce"/>
    <w:rsid w:val="00251547"/>
    <w:pPr>
      <w:numPr>
        <w:numId w:val="28"/>
      </w:numPr>
    </w:pPr>
    <w:rPr>
      <w:szCs w:val="24"/>
    </w:rPr>
  </w:style>
  <w:style w:type="paragraph" w:styleId="ListContinue">
    <w:name w:val="List Continue"/>
    <w:basedOn w:val="BodyText"/>
    <w:rsid w:val="007C72EB"/>
    <w:pPr>
      <w:spacing w:before="20" w:after="20"/>
      <w:ind w:left="284"/>
      <w:contextualSpacing/>
    </w:pPr>
    <w:rPr>
      <w:szCs w:val="24"/>
    </w:rPr>
  </w:style>
  <w:style w:type="paragraph" w:customStyle="1" w:styleId="Cellule2defaut">
    <w:name w:val="Cellule 2 defaut"/>
    <w:basedOn w:val="Celluledefaut"/>
    <w:link w:val="Cellule2defautCar"/>
    <w:rsid w:val="00593833"/>
    <w:rPr>
      <w:sz w:val="16"/>
      <w:szCs w:val="22"/>
    </w:rPr>
  </w:style>
  <w:style w:type="paragraph" w:styleId="ListContinue2">
    <w:name w:val="List Continue 2"/>
    <w:basedOn w:val="ListContinue"/>
    <w:rsid w:val="007C72EB"/>
    <w:pPr>
      <w:ind w:left="567"/>
    </w:pPr>
  </w:style>
  <w:style w:type="paragraph" w:styleId="ListContinue3">
    <w:name w:val="List Continue 3"/>
    <w:basedOn w:val="ListContinue"/>
    <w:rsid w:val="007C72EB"/>
    <w:pPr>
      <w:ind w:left="851"/>
    </w:pPr>
  </w:style>
  <w:style w:type="paragraph" w:customStyle="1" w:styleId="Celluleentete">
    <w:name w:val="Cellule entete"/>
    <w:basedOn w:val="Celluledefaut"/>
    <w:qFormat/>
    <w:rsid w:val="00251547"/>
    <w:pPr>
      <w:spacing w:before="20"/>
    </w:pPr>
    <w:rPr>
      <w:rFonts w:eastAsiaTheme="majorEastAsia"/>
      <w:b/>
    </w:rPr>
  </w:style>
  <w:style w:type="paragraph" w:customStyle="1" w:styleId="Celluletotal">
    <w:name w:val="Cellule total"/>
    <w:basedOn w:val="Celluledefaut"/>
    <w:qFormat/>
    <w:rsid w:val="00EB5E62"/>
    <w:pPr>
      <w:spacing w:before="20"/>
    </w:pPr>
    <w:rPr>
      <w:b/>
    </w:rPr>
  </w:style>
  <w:style w:type="paragraph" w:customStyle="1" w:styleId="Celluleniveau1">
    <w:name w:val="Cellule niveau 1"/>
    <w:basedOn w:val="Celluledefaut"/>
    <w:qFormat/>
    <w:rsid w:val="00EB5E62"/>
    <w:pPr>
      <w:ind w:left="284"/>
    </w:pPr>
    <w:rPr>
      <w:rFonts w:eastAsiaTheme="majorEastAsia"/>
      <w:color w:val="777777"/>
    </w:rPr>
  </w:style>
  <w:style w:type="paragraph" w:customStyle="1" w:styleId="Celluleniveau2">
    <w:name w:val="Cellule niveau 2"/>
    <w:basedOn w:val="Celluledefaut"/>
    <w:qFormat/>
    <w:rsid w:val="002762A5"/>
    <w:pPr>
      <w:ind w:left="567" w:right="0"/>
    </w:pPr>
    <w:rPr>
      <w:color w:val="777777"/>
      <w:szCs w:val="18"/>
    </w:rPr>
  </w:style>
  <w:style w:type="paragraph" w:customStyle="1" w:styleId="Celluledefaut">
    <w:name w:val="Cellule defaut"/>
    <w:basedOn w:val="BodyText"/>
    <w:link w:val="CelluledefautCarCar"/>
    <w:qFormat/>
    <w:rsid w:val="00F02C4A"/>
    <w:pPr>
      <w:spacing w:before="60" w:after="20"/>
      <w:ind w:left="28" w:right="28"/>
    </w:pPr>
    <w:rPr>
      <w:rFonts w:eastAsia="Times New Roman"/>
      <w:sz w:val="20"/>
      <w:szCs w:val="20"/>
    </w:rPr>
  </w:style>
  <w:style w:type="table" w:styleId="TableGrid">
    <w:name w:val="Table Grid"/>
    <w:basedOn w:val="TableNormal"/>
    <w:uiPriority w:val="99"/>
    <w:rsid w:val="00F5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s-titre2">
    <w:name w:val="Sous-titre 2"/>
    <w:basedOn w:val="BodyText"/>
    <w:rsid w:val="00FC2E48"/>
    <w:pPr>
      <w:spacing w:after="480"/>
      <w:jc w:val="right"/>
    </w:pPr>
    <w:rPr>
      <w:rFonts w:eastAsia="Times New Roman"/>
      <w:sz w:val="28"/>
    </w:rPr>
  </w:style>
  <w:style w:type="paragraph" w:customStyle="1" w:styleId="Cellule2entete">
    <w:name w:val="Cellule 2 entete"/>
    <w:basedOn w:val="Cellule2defaut"/>
    <w:rsid w:val="00EB5E62"/>
    <w:rPr>
      <w:b/>
    </w:rPr>
  </w:style>
  <w:style w:type="paragraph" w:customStyle="1" w:styleId="Cellule2niveau1">
    <w:name w:val="Cellule 2 niveau 1"/>
    <w:basedOn w:val="Cellule2defaut"/>
    <w:rsid w:val="000169B4"/>
    <w:pPr>
      <w:ind w:left="284"/>
    </w:pPr>
  </w:style>
  <w:style w:type="paragraph" w:customStyle="1" w:styleId="Cellule2niveau2">
    <w:name w:val="Cellule 2 niveau 2"/>
    <w:basedOn w:val="Cellule2defaut"/>
    <w:rsid w:val="000169B4"/>
    <w:pPr>
      <w:ind w:left="567"/>
    </w:pPr>
  </w:style>
  <w:style w:type="paragraph" w:customStyle="1" w:styleId="Cellule2total">
    <w:name w:val="Cellule 2 total"/>
    <w:basedOn w:val="Cellule2defaut"/>
    <w:link w:val="Cellule2totalCar"/>
    <w:rsid w:val="00EB5E62"/>
    <w:rPr>
      <w:b/>
    </w:rPr>
  </w:style>
  <w:style w:type="character" w:customStyle="1" w:styleId="Cellule2defautCar">
    <w:name w:val="Cellule 2 defaut Car"/>
    <w:link w:val="Cellule2defaut"/>
    <w:rsid w:val="00593833"/>
    <w:rPr>
      <w:rFonts w:ascii="Century Gothic" w:hAnsi="Century Gothic"/>
      <w:sz w:val="16"/>
      <w:szCs w:val="22"/>
      <w:lang w:val="fr-FR" w:eastAsia="fr-FR" w:bidi="ar-SA"/>
    </w:rPr>
  </w:style>
  <w:style w:type="character" w:customStyle="1" w:styleId="Cellule2totalCar">
    <w:name w:val="Cellule 2 total Car"/>
    <w:link w:val="Cellule2total"/>
    <w:rsid w:val="00EB5E62"/>
    <w:rPr>
      <w:rFonts w:ascii="Source Sans Pro" w:eastAsia="Times New Roman" w:hAnsi="Source Sans Pro"/>
      <w:b/>
      <w:color w:val="5F5F5F"/>
      <w:sz w:val="16"/>
      <w:szCs w:val="22"/>
    </w:rPr>
  </w:style>
  <w:style w:type="table" w:customStyle="1" w:styleId="Tableauhvs">
    <w:name w:val="Tableau hvs"/>
    <w:basedOn w:val="TableNormal"/>
    <w:uiPriority w:val="99"/>
    <w:rsid w:val="0093022A"/>
    <w:rPr>
      <w:rFonts w:eastAsiaTheme="minorHAnsi" w:cstheme="minorBidi"/>
      <w:szCs w:val="22"/>
      <w:lang w:eastAsia="en-US"/>
    </w:rPr>
    <w:tblPr>
      <w:tblStyleRowBandSize w:val="1"/>
      <w:tblStyleColBandSize w:val="1"/>
    </w:tblPr>
    <w:tblStylePr w:type="firstRow">
      <w:rPr>
        <w:rFonts w:ascii="Arial" w:hAnsi="Arial"/>
        <w:sz w:val="20"/>
      </w:rPr>
      <w:tblPr/>
      <w:tcPr>
        <w:tcBorders>
          <w:top w:val="nil"/>
          <w:bottom w:val="single" w:sz="4" w:space="0" w:color="39659F"/>
        </w:tcBorders>
      </w:tcPr>
    </w:tblStylePr>
    <w:tblStylePr w:type="lastRow">
      <w:rPr>
        <w:rFonts w:ascii="Arial" w:hAnsi="Arial"/>
        <w:sz w:val="20"/>
      </w:rPr>
      <w:tblPr/>
      <w:tcPr>
        <w:tcBorders>
          <w:top w:val="single" w:sz="12" w:space="0" w:color="39659F"/>
          <w:left w:val="nil"/>
          <w:bottom w:val="single" w:sz="4" w:space="0" w:color="39659F"/>
          <w:right w:val="nil"/>
          <w:insideH w:val="nil"/>
          <w:insideV w:val="nil"/>
        </w:tcBorders>
      </w:tcPr>
    </w:tblStylePr>
  </w:style>
  <w:style w:type="paragraph" w:customStyle="1" w:styleId="TitreCouverture">
    <w:name w:val="TitreCouverture"/>
    <w:basedOn w:val="BodyText"/>
    <w:qFormat/>
    <w:rsid w:val="009350EE"/>
    <w:rPr>
      <w:b/>
      <w:sz w:val="96"/>
      <w:szCs w:val="120"/>
    </w:rPr>
  </w:style>
  <w:style w:type="character" w:customStyle="1" w:styleId="CorpsdetexteCar">
    <w:name w:val="Corps de texte Car"/>
    <w:link w:val="BodyText"/>
    <w:uiPriority w:val="99"/>
    <w:rsid w:val="0024758D"/>
    <w:rPr>
      <w:color w:val="5F5F5F"/>
      <w:sz w:val="22"/>
      <w:szCs w:val="22"/>
    </w:rPr>
  </w:style>
  <w:style w:type="character" w:customStyle="1" w:styleId="CelluledefautCarCar">
    <w:name w:val="Cellule defaut Car Car"/>
    <w:link w:val="Celluledefaut"/>
    <w:rsid w:val="00F02C4A"/>
    <w:rPr>
      <w:rFonts w:ascii="Source Sans Pro" w:eastAsia="Times New Roman" w:hAnsi="Source Sans Pro"/>
      <w:color w:val="5F5F5F"/>
    </w:rPr>
  </w:style>
  <w:style w:type="character" w:customStyle="1" w:styleId="Titre1Car">
    <w:name w:val="Titre 1 Car"/>
    <w:basedOn w:val="DefaultParagraphFont"/>
    <w:link w:val="Heading1"/>
    <w:uiPriority w:val="9"/>
    <w:rsid w:val="004A1928"/>
    <w:rPr>
      <w:rFonts w:ascii="Franklin Gothic Book" w:hAnsi="Franklin Gothic Book" w:eastAsiaTheme="majorEastAsia" w:cstheme="majorBidi"/>
      <w:caps/>
      <w:color w:val="39659F"/>
      <w:spacing w:val="60"/>
      <w:sz w:val="60"/>
      <w:szCs w:val="32"/>
    </w:rPr>
  </w:style>
  <w:style w:type="character" w:customStyle="1" w:styleId="Titre2Car">
    <w:name w:val="Titre 2 Car"/>
    <w:basedOn w:val="DefaultParagraphFont"/>
    <w:link w:val="Heading2"/>
    <w:uiPriority w:val="9"/>
    <w:rsid w:val="004A1928"/>
    <w:rPr>
      <w:rFonts w:ascii="Franklin Gothic Book" w:hAnsi="Franklin Gothic Book" w:eastAsiaTheme="majorEastAsia" w:cstheme="majorBidi"/>
      <w:caps/>
      <w:color w:val="39659F"/>
      <w:sz w:val="40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565E3B"/>
    <w:rPr>
      <w:rFonts w:eastAsiaTheme="majorEastAsia" w:cstheme="majorBidi"/>
      <w:color w:val="39659F"/>
      <w:sz w:val="28"/>
      <w:szCs w:val="30"/>
    </w:rPr>
  </w:style>
  <w:style w:type="character" w:customStyle="1" w:styleId="Titre4Car">
    <w:name w:val="Titre 4 Car"/>
    <w:basedOn w:val="DefaultParagraphFont"/>
    <w:link w:val="Heading4"/>
    <w:uiPriority w:val="9"/>
    <w:rsid w:val="00CC3628"/>
    <w:rPr>
      <w:rFonts w:eastAsiaTheme="majorEastAsia" w:cstheme="majorBidi"/>
      <w:b/>
      <w:iCs/>
      <w:color w:val="5F5F5F"/>
      <w:sz w:val="22"/>
      <w:szCs w:val="28"/>
    </w:rPr>
  </w:style>
  <w:style w:type="character" w:customStyle="1" w:styleId="Titre5Car">
    <w:name w:val="Titre 5 Car"/>
    <w:basedOn w:val="DefaultParagraphFont"/>
    <w:link w:val="Heading5"/>
    <w:uiPriority w:val="9"/>
    <w:rsid w:val="00E83749"/>
    <w:rPr>
      <w:rFonts w:eastAsiaTheme="majorEastAsia" w:cstheme="majorBidi"/>
      <w:color w:val="39659F"/>
      <w:sz w:val="22"/>
      <w:szCs w:val="22"/>
    </w:rPr>
  </w:style>
  <w:style w:type="character" w:styleId="Strong">
    <w:name w:val="Strong"/>
    <w:basedOn w:val="DefaultParagraphFont"/>
    <w:uiPriority w:val="99"/>
    <w:qFormat/>
    <w:rsid w:val="000D575D"/>
    <w:rPr>
      <w:rFonts w:eastAsiaTheme="majorEastAsia"/>
      <w:b/>
      <w:color w:val="5F5F5F"/>
    </w:rPr>
  </w:style>
  <w:style w:type="paragraph" w:styleId="BodyTextFirstIndent">
    <w:name w:val="Body Text First Indent"/>
    <w:basedOn w:val="BodyText"/>
    <w:link w:val="Retrait1religneCar"/>
    <w:uiPriority w:val="99"/>
    <w:semiHidden/>
    <w:unhideWhenUsed/>
    <w:rsid w:val="00FC2E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/>
      <w:autoSpaceDN/>
      <w:adjustRightInd/>
      <w:ind w:firstLine="360"/>
    </w:pPr>
    <w:rPr>
      <w:rFonts w:eastAsiaTheme="minorHAnsi" w:cstheme="minorBidi"/>
      <w:lang w:eastAsia="en-US"/>
    </w:rPr>
  </w:style>
  <w:style w:type="character" w:customStyle="1" w:styleId="Retrait1religneCar">
    <w:name w:val="Retrait 1re ligne Car"/>
    <w:basedOn w:val="CorpsdetexteCar"/>
    <w:link w:val="BodyTextFirstIndent"/>
    <w:uiPriority w:val="99"/>
    <w:semiHidden/>
    <w:rsid w:val="00FC2E48"/>
    <w:rPr>
      <w:rFonts w:eastAsiaTheme="minorHAnsi" w:cstheme="minorBidi"/>
      <w:color w:val="5F5F5F"/>
      <w:sz w:val="22"/>
      <w:szCs w:val="22"/>
      <w:lang w:eastAsia="en-US"/>
    </w:rPr>
  </w:style>
  <w:style w:type="paragraph" w:styleId="Header">
    <w:name w:val="header"/>
    <w:basedOn w:val="Normal"/>
    <w:link w:val="En-tt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paragraph" w:styleId="Footer">
    <w:name w:val="footer"/>
    <w:basedOn w:val="Normal"/>
    <w:link w:val="Pieddepag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character" w:styleId="BookTitle">
    <w:name w:val="Book Title"/>
    <w:basedOn w:val="DefaultParagraphFont"/>
    <w:uiPriority w:val="33"/>
    <w:qFormat/>
    <w:rsid w:val="00E705F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705F7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E705F7"/>
    <w:rPr>
      <w:i/>
      <w:iCs/>
      <w:color w:val="404040" w:themeColor="text1" w:themeTint="BF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5B9BD5" w:themeColor="accent1"/>
      </w:pBdr>
      <w:spacing w:after="300" w:line="240" w:lineRule="auto"/>
      <w:contextualSpacing/>
      <w:outlineLvl w:val="9"/>
    </w:pPr>
    <w:rPr>
      <w:rFonts w:ascii="Cambria" w:eastAsia="Times New Roman" w:hAnsi="Cambria" w:cs="Times New Roman"/>
      <w:color w:val="17365D" w:themeShade="BF"/>
      <w:spacing w:val="5"/>
      <w:kern w:val="28"/>
      <w:sz w:val="52"/>
      <w:szCs w:val="52"/>
    </w:rPr>
  </w:style>
  <w:style w:type="paragraph" w:customStyle="1" w:styleId="h2title">
    <w:name w:val="h2_title"/>
    <w:basedOn w:val="Heading2"/>
    <w:pPr>
      <w:pageBreakBefore w:val="0"/>
      <w:spacing w:line="570" w:lineRule="atLeast"/>
      <w:jc w:val="center"/>
    </w:pPr>
    <w:rPr>
      <w:b/>
      <w:bCs/>
      <w:caps w:val="0"/>
      <w:color w:val="202020"/>
      <w:sz w:val="48"/>
      <w:szCs w:val="48"/>
    </w:rPr>
  </w:style>
  <w:style w:type="paragraph" w:customStyle="1" w:styleId="updated-at">
    <w:name w:val="updated-at"/>
    <w:basedOn w:val="Normal"/>
    <w:pPr>
      <w:spacing w:line="360" w:lineRule="atLeast"/>
    </w:pPr>
    <w:rPr>
      <w:sz w:val="27"/>
      <w:szCs w:val="27"/>
    </w:rPr>
  </w:style>
  <w:style w:type="paragraph" w:customStyle="1" w:styleId="content">
    <w:name w:val="content"/>
    <w:basedOn w:val="Normal"/>
  </w:style>
  <w:style w:type="paragraph" w:customStyle="1" w:styleId="p">
    <w:name w:val="p"/>
    <w:basedOn w:val="Normal"/>
    <w:rPr>
      <w:color w:val="646464"/>
    </w:rPr>
  </w:style>
  <w:style w:type="table" w:customStyle="1" w:styleId="figuretabletable">
    <w:name w:val="figure_table_table"/>
    <w:basedOn w:val="TableNormal"/>
    <w:tblPr/>
  </w:style>
  <w:style w:type="paragraph" w:customStyle="1" w:styleId="fd-chevron-lvl1">
    <w:name w:val="fd-chevron-lvl1"/>
    <w:basedOn w:val="Normal"/>
    <w:pPr>
      <w:pBdr>
        <w:left w:val="none" w:sz="0" w:space="15" w:color="auto"/>
      </w:pBdr>
    </w:pPr>
    <w:rPr>
      <w:b w:val="0"/>
      <w:bCs w:val="0"/>
      <w:color w:val="202020"/>
    </w:rPr>
  </w:style>
  <w:style w:type="paragraph" w:customStyle="1" w:styleId="linotnth-last-child1">
    <w:name w:val="li_not(:nth-last-child(1))"/>
    <w:basedOn w:val="Normal"/>
  </w:style>
  <w:style w:type="character" w:customStyle="1" w:styleId="a">
    <w:name w:val="a"/>
    <w:basedOn w:val="DefaultParagraphFont"/>
    <w:rPr>
      <w:color w:val="4623EB"/>
    </w:rPr>
  </w:style>
  <w:style w:type="paragraph" w:customStyle="1" w:styleId="legal-notice">
    <w:name w:val="legal-notice"/>
    <w:basedOn w:val="Normal"/>
    <w:pPr>
      <w:spacing w:line="240" w:lineRule="atLeast"/>
      <w:jc w:val="center"/>
    </w:pPr>
    <w:rPr>
      <w:color w:val="9A9A9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://bofip.impots.gouv.fr/bofip/1510-PGP.html?identifiant=BOI-BIC-PDSTK-10-20-60-20120912/" TargetMode="External" /><Relationship Id="rId7" Type="http://schemas.openxmlformats.org/officeDocument/2006/relationships/hyperlink" Target="http://bofip.impots.gouv.fr/bofip/2432-PGP.html?identifiant=BOI-BIC-PDSTK-10-20-60-20-20141020" TargetMode="External" /><Relationship Id="rId8" Type="http://schemas.openxmlformats.org/officeDocument/2006/relationships/hyperlink" Target="https://api.fidroit.fr/api/technical-resource/attachment/2869/download" TargetMode="External" /><Relationship Id="rId9" Type="http://schemas.openxmlformats.org/officeDocument/2006/relationships/hyperlink" Target="https://api.fidroit.fr/api/technical-resource/attachment/old/administrative/4H6112.pdf" TargetMode="External" 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4A46-50BC-4C60-85AE-62D66024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20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Harvest</Manager>
  <Company>Harvest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</dc:creator>
  <cp:revision>20</cp:revision>
  <cp:lastPrinted>1899-12-31T23:00:00Z</cp:lastPrinted>
  <dcterms:created xsi:type="dcterms:W3CDTF">2023-11-27T09:08:12Z</dcterms:created>
  <dcterms:modified xsi:type="dcterms:W3CDTF">2023-11-27T09:08:12Z</dcterms:modified>
</cp:coreProperties>
</file>