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SUCCESSION / ASSURANCE-VIE – Un héritier qui a accepté une succession peut-il renoncer au legs ? au contrat d'assurance-vie ?</w:t>
      </w:r>
    </w:p>
    <w:p>
      <w:pPr>
        <w:pStyle w:val="updated-at"/>
        <w:spacing w:before="0" w:after="300" w:line="360" w:lineRule="atLeast"/>
        <w:ind w:left="0" w:right="0"/>
        <w:rPr>
          <w:color w:val="646464"/>
          <w:sz w:val="27"/>
          <w:szCs w:val="27"/>
        </w:rPr>
      </w:pPr>
      <w:r>
        <w:rPr>
          <w:color w:val="646464"/>
          <w:sz w:val="27"/>
          <w:szCs w:val="27"/>
        </w:rPr>
        <w:t>Mis à jour le 22 juin 2018</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Un héritier qui a accepté une succession peut-il renoncer au legs que le défunt lui a consenti ?</w:t>
      </w:r>
      <w:r>
        <w:rPr>
          <w:i/>
          <w:iCs/>
          <w:color w:val="646464"/>
          <w:sz w:val="24"/>
          <w:szCs w:val="24"/>
        </w:rPr>
        <w:br/>
      </w:r>
      <w:r>
        <w:rPr>
          <w:i/>
          <w:iCs/>
          <w:color w:val="646464"/>
          <w:sz w:val="24"/>
          <w:szCs w:val="24"/>
        </w:rPr>
        <w:t>Peut-il renoncer au contrat d’assurance-vie dont il est bénéficiaire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Oui, une personne qui est à la fois héritier, légataire et bénéficiaire d’un contrat d’assurance-vie peut indépendamment </w:t>
      </w:r>
      <w:r>
        <w:rPr>
          <w:color w:val="646464"/>
          <w:sz w:val="24"/>
          <w:szCs w:val="24"/>
          <w:u w:val="single" w:color="646464"/>
        </w:rPr>
        <w:t>accepter ou renoncer à chacun de ces droits</w:t>
      </w:r>
      <w:r>
        <w:rPr>
          <w:color w:val="646464"/>
          <w:sz w:val="24"/>
          <w:szCs w:val="24"/>
        </w:rPr>
        <w:t xml:space="preserve"> : un héritier légataire peut accepter le legs qui lui a été consenti et refuser la part successorale qui lui est attribuée par la loi en qualité d’héritier. </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Cas particulier des contrats d’assurance-vie :</w:t>
      </w:r>
    </w:p>
    <w:p>
      <w:pPr>
        <w:pStyle w:val="linotnth-last-child1"/>
        <w:numPr>
          <w:ilvl w:val="0"/>
          <w:numId w:val="29"/>
        </w:numPr>
        <w:shd w:val="clear" w:color="auto" w:fill="F5F5F5"/>
        <w:spacing w:before="240" w:line="300" w:lineRule="atLeast"/>
        <w:ind w:left="540" w:right="495" w:hanging="360"/>
        <w:jc w:val="left"/>
        <w:rPr>
          <w:color w:val="646464"/>
          <w:sz w:val="21"/>
          <w:szCs w:val="21"/>
        </w:rPr>
      </w:pPr>
      <w:r>
        <w:rPr>
          <w:color w:val="646464"/>
          <w:sz w:val="21"/>
          <w:szCs w:val="21"/>
        </w:rPr>
        <w:t xml:space="preserve">La clause du contrat d’assurance-vie désigne comme bénéficiaire </w:t>
      </w:r>
      <w:r>
        <w:rPr>
          <w:color w:val="646464"/>
          <w:sz w:val="21"/>
          <w:szCs w:val="21"/>
          <w:u w:val="single" w:color="646464"/>
        </w:rPr>
        <w:t>les héritiers du souscripteur,</w:t>
      </w:r>
      <w:r>
        <w:rPr>
          <w:color w:val="646464"/>
          <w:sz w:val="21"/>
          <w:szCs w:val="21"/>
        </w:rPr>
        <w:t xml:space="preserve">  </w:t>
      </w:r>
    </w:p>
    <w:p>
      <w:pPr>
        <w:pStyle w:val="linotnth-last-child1"/>
        <w:numPr>
          <w:ilvl w:val="1"/>
          <w:numId w:val="29"/>
        </w:numPr>
        <w:shd w:val="clear" w:color="auto" w:fill="F5F5F5"/>
        <w:spacing w:before="240" w:after="240" w:line="300" w:lineRule="atLeast"/>
        <w:ind w:left="1260" w:right="495" w:hanging="360"/>
        <w:jc w:val="left"/>
        <w:rPr>
          <w:color w:val="646464"/>
          <w:sz w:val="21"/>
          <w:szCs w:val="21"/>
        </w:rPr>
      </w:pPr>
      <w:r>
        <w:rPr>
          <w:color w:val="646464"/>
          <w:sz w:val="21"/>
          <w:szCs w:val="21"/>
        </w:rPr>
        <w:t>si l'héritier accepte la succession : il reste bénéficiaire du contrat d’assurance-vie et peut accepter ou non de recevoir les capitaux du contrat d’assurance-vie ;</w:t>
      </w:r>
    </w:p>
    <w:p>
      <w:pPr>
        <w:numPr>
          <w:ilvl w:val="1"/>
          <w:numId w:val="29"/>
        </w:numPr>
        <w:shd w:val="clear" w:color="auto" w:fill="F5F5F5"/>
        <w:spacing w:after="240" w:line="300" w:lineRule="atLeast"/>
        <w:ind w:left="1260" w:right="495" w:hanging="360"/>
        <w:jc w:val="left"/>
        <w:rPr>
          <w:color w:val="646464"/>
          <w:sz w:val="21"/>
          <w:szCs w:val="21"/>
        </w:rPr>
      </w:pPr>
      <w:r>
        <w:rPr>
          <w:color w:val="646464"/>
          <w:sz w:val="21"/>
          <w:szCs w:val="21"/>
        </w:rPr>
        <w:t>si l'héritier </w:t>
      </w:r>
      <w:r>
        <w:rPr>
          <w:color w:val="646464"/>
          <w:sz w:val="21"/>
          <w:szCs w:val="21"/>
          <w:u w:val="single" w:color="646464"/>
        </w:rPr>
        <w:t>renonce à la succession</w:t>
      </w:r>
      <w:r>
        <w:rPr>
          <w:color w:val="646464"/>
          <w:sz w:val="21"/>
          <w:szCs w:val="21"/>
        </w:rPr>
        <w:t xml:space="preserve"> : il n’est plus considéré comme héritier (mais comme renonçant) mais il r</w:t>
      </w:r>
      <w:r>
        <w:rPr>
          <w:color w:val="646464"/>
          <w:sz w:val="21"/>
          <w:szCs w:val="21"/>
          <w:u w:val="single" w:color="646464"/>
        </w:rPr>
        <w:t>este bénéficiaire du contrat d'assurance-vie à proportion de la part héréditaire à laquelle il avait droit avant de renoncer</w:t>
      </w:r>
      <w:r>
        <w:rPr>
          <w:color w:val="646464"/>
          <w:sz w:val="21"/>
          <w:szCs w:val="21"/>
        </w:rPr>
        <w:t xml:space="preserve"> (C. Ass. art. 132-8) </w:t>
      </w:r>
    </w:p>
    <w:p>
      <w:pPr>
        <w:numPr>
          <w:ilvl w:val="0"/>
          <w:numId w:val="29"/>
        </w:numPr>
        <w:shd w:val="clear" w:color="auto" w:fill="F5F5F5"/>
        <w:spacing w:after="600" w:line="300" w:lineRule="atLeast"/>
        <w:ind w:left="540" w:right="495" w:hanging="360"/>
        <w:jc w:val="left"/>
        <w:rPr>
          <w:color w:val="646464"/>
          <w:sz w:val="21"/>
          <w:szCs w:val="21"/>
        </w:rPr>
      </w:pPr>
      <w:r>
        <w:rPr>
          <w:color w:val="646464"/>
          <w:sz w:val="21"/>
          <w:szCs w:val="21"/>
        </w:rPr>
        <w:t xml:space="preserve">Si la clause du contrat d’assurance-vie désigne comme bénéficiaire, </w:t>
      </w:r>
      <w:r>
        <w:rPr>
          <w:color w:val="646464"/>
          <w:sz w:val="21"/>
          <w:szCs w:val="21"/>
          <w:u w:val="single" w:color="646464"/>
        </w:rPr>
        <w:t>Monsieur X nommément,</w:t>
      </w:r>
      <w:r>
        <w:rPr>
          <w:color w:val="646464"/>
          <w:sz w:val="21"/>
          <w:szCs w:val="21"/>
        </w:rPr>
        <w:t> qui par ailleurs est également héritier : ce dernier conserve la possibilité de scinder ses options. S'il renonce à la succession et accepte l’assurance-vie,</w:t>
      </w:r>
      <w:r>
        <w:rPr>
          <w:color w:val="646464"/>
          <w:sz w:val="21"/>
          <w:szCs w:val="21"/>
          <w:u w:val="single" w:color="646464"/>
        </w:rPr>
        <w:t xml:space="preserve"> il bénéficiera des abattements applicables à l'assurance-vie </w:t>
      </w:r>
      <w:r>
        <w:rPr>
          <w:color w:val="646464"/>
          <w:sz w:val="21"/>
          <w:szCs w:val="21"/>
        </w:rPr>
        <w:t xml:space="preserve">(152 500 € pour les primes versées avant le 70ème anniversaire de l'assuré et, pour les primes versées après cette date, </w:t>
      </w:r>
      <w:r>
        <w:rPr>
          <w:color w:val="646464"/>
          <w:sz w:val="21"/>
          <w:szCs w:val="21"/>
          <w:u w:val="single" w:color="646464"/>
        </w:rPr>
        <w:t>de l’abattement de 30 500 € et du barème applicable aux transmissions à titre gratuit même s'il a renoncé à la succession).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hyperlink r:id="rId6" w:tgtFrame="_blank" w:history="1">
        <w:r>
          <w:rPr>
            <w:rStyle w:val="a"/>
            <w:color w:val="4623EB"/>
            <w:sz w:val="24"/>
            <w:szCs w:val="24"/>
          </w:rPr>
          <w:t>C. Ass. art. 132-8</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7"/>
      <w:footerReference w:type="default" r:id="rId8"/>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linotnth-last-child1">
    <w:name w:val="li_not(:nth-last-child(1))"/>
    <w:basedOn w:val="Normal"/>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legifrance.gouv.fr/affichCodeArticle.do?cidTexte=LEGITEXT000006073984&amp;idArticle=LEGIARTI000018154217"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2023-08-17T12:15:42Z</dcterms:created>
  <dcterms:modified xsi:type="dcterms:W3CDTF">2023-08-17T12:15:42Z</dcterms:modified>
</cp:coreProperties>
</file>