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103"/>
      </w:tblGrid>
      <w:tr w:rsidR="00AC61EF" w:rsidRPr="00AC61EF" w:rsidTr="001D050E">
        <w:trPr>
          <w:trHeight w:val="708"/>
        </w:trPr>
        <w:tc>
          <w:tcPr>
            <w:tcW w:w="5103" w:type="dxa"/>
            <w:shd w:val="clear" w:color="auto" w:fill="D9D9D9" w:themeFill="background1" w:themeFillShade="D9"/>
            <w:vAlign w:val="center"/>
          </w:tcPr>
          <w:p w:rsidR="00AC61EF" w:rsidRPr="00AC61EF" w:rsidRDefault="00AC61EF" w:rsidP="0046115C">
            <w:pPr>
              <w:spacing w:line="360" w:lineRule="auto"/>
              <w:jc w:val="center"/>
              <w:rPr>
                <w:sz w:val="32"/>
              </w:rPr>
            </w:pPr>
            <w:r w:rsidRPr="00AC61EF">
              <w:rPr>
                <w:sz w:val="32"/>
              </w:rPr>
              <w:t xml:space="preserve">Contrat </w:t>
            </w:r>
            <w:r w:rsidR="007801B2">
              <w:rPr>
                <w:sz w:val="32"/>
              </w:rPr>
              <w:t>de capitalisation</w:t>
            </w:r>
          </w:p>
        </w:tc>
      </w:tr>
    </w:tbl>
    <w:p w:rsidR="00AC61EF" w:rsidRDefault="009C3EC8" w:rsidP="0046115C">
      <w:pPr>
        <w:spacing w:after="0" w:line="360" w:lineRule="auto"/>
        <w:jc w:val="center"/>
      </w:pPr>
      <w:r>
        <w:rPr>
          <w:noProof/>
          <w:sz w:val="32"/>
          <w:szCs w:val="27"/>
          <w:lang w:eastAsia="fr-FR"/>
        </w:rPr>
        <w:drawing>
          <wp:anchor distT="0" distB="0" distL="114300" distR="114300" simplePos="0" relativeHeight="251669504" behindDoc="0" locked="0" layoutInCell="1" allowOverlap="1" wp14:anchorId="6E1D84D7" wp14:editId="7D7E2BB4">
            <wp:simplePos x="0" y="0"/>
            <wp:positionH relativeFrom="column">
              <wp:posOffset>-24130</wp:posOffset>
            </wp:positionH>
            <wp:positionV relativeFrom="paragraph">
              <wp:posOffset>132080</wp:posOffset>
            </wp:positionV>
            <wp:extent cx="359410" cy="359410"/>
            <wp:effectExtent l="0" t="0" r="2540" b="254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tireli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rsidR="00AC61EF" w:rsidRPr="00AC61EF" w:rsidRDefault="00AC61EF" w:rsidP="0046115C">
      <w:pPr>
        <w:pStyle w:val="Titre1"/>
        <w:spacing w:after="0" w:line="360" w:lineRule="auto"/>
      </w:pPr>
      <w:r w:rsidRPr="00AC61EF">
        <w:t>Enveloppe d’épargne</w:t>
      </w:r>
    </w:p>
    <w:p w:rsidR="004D01B4" w:rsidRDefault="009A4F05" w:rsidP="0046115C">
      <w:pPr>
        <w:spacing w:after="0" w:line="360" w:lineRule="auto"/>
        <w:jc w:val="both"/>
      </w:pPr>
      <w:r>
        <w:t xml:space="preserve">Le contrat de capitalisation est un </w:t>
      </w:r>
      <w:r w:rsidR="004D01B4">
        <w:t>produ</w:t>
      </w:r>
      <w:r w:rsidR="00F11B08">
        <w:t xml:space="preserve">it </w:t>
      </w:r>
      <w:r w:rsidR="008A5C0E">
        <w:t xml:space="preserve">financier </w:t>
      </w:r>
      <w:r w:rsidR="00F11B08">
        <w:t xml:space="preserve">qui vous permet </w:t>
      </w:r>
      <w:r w:rsidR="008A5C0E">
        <w:t xml:space="preserve">d’épargner </w:t>
      </w:r>
      <w:r w:rsidR="004D01B4">
        <w:t xml:space="preserve">une somme d’argent. Il n’y a pas de plafond de dépôt, ni de limite de détention dans le temps. Votre épargne versée reste totalement disponible en cas de besoin. </w:t>
      </w: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4D01B4" w:rsidTr="00625078">
        <w:tc>
          <w:tcPr>
            <w:tcW w:w="8080" w:type="dxa"/>
            <w:shd w:val="clear" w:color="auto" w:fill="4632EB"/>
            <w:vAlign w:val="center"/>
          </w:tcPr>
          <w:p w:rsidR="004D01B4" w:rsidRDefault="004D01B4" w:rsidP="00625078">
            <w:pPr>
              <w:spacing w:line="360" w:lineRule="auto"/>
              <w:jc w:val="both"/>
            </w:pPr>
            <w:r w:rsidRPr="002C7F2E">
              <w:rPr>
                <w:noProof/>
                <w:color w:val="FFFFFF" w:themeColor="background1"/>
                <w:lang w:eastAsia="fr-FR"/>
              </w:rPr>
              <w:drawing>
                <wp:anchor distT="0" distB="0" distL="114300" distR="114300" simplePos="0" relativeHeight="251683840" behindDoc="0" locked="0" layoutInCell="1" allowOverlap="1" wp14:anchorId="0A648003" wp14:editId="4C8FA3A5">
                  <wp:simplePos x="0" y="0"/>
                  <wp:positionH relativeFrom="column">
                    <wp:posOffset>-436245</wp:posOffset>
                  </wp:positionH>
                  <wp:positionV relativeFrom="paragraph">
                    <wp:posOffset>40640</wp:posOffset>
                  </wp:positionV>
                  <wp:extent cx="323850" cy="3238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Pr>
                <w:color w:val="FFFFFF" w:themeColor="background1"/>
              </w:rPr>
              <w:t xml:space="preserve">Un contrat de capitalisation ressemble à un contrat d’assurance-vie. La forme du contrat, les types de supports, les frais, la fiscalité en cas de rachat sont identiques. </w:t>
            </w:r>
            <w:r w:rsidR="008A5C0E">
              <w:rPr>
                <w:color w:val="FFFFFF" w:themeColor="background1"/>
              </w:rPr>
              <w:t>Seul</w:t>
            </w:r>
            <w:r w:rsidR="00EE796F">
              <w:rPr>
                <w:color w:val="FFFFFF" w:themeColor="background1"/>
              </w:rPr>
              <w:t>es</w:t>
            </w:r>
            <w:r w:rsidR="008A5C0E">
              <w:rPr>
                <w:color w:val="FFFFFF" w:themeColor="background1"/>
              </w:rPr>
              <w:t xml:space="preserve"> les conséquences en cas de décès sont différentes.</w:t>
            </w:r>
          </w:p>
        </w:tc>
      </w:tr>
    </w:tbl>
    <w:p w:rsidR="00F678BD" w:rsidRDefault="00F678BD" w:rsidP="004D01B4">
      <w:pPr>
        <w:spacing w:after="0" w:line="360" w:lineRule="auto"/>
        <w:jc w:val="both"/>
      </w:pPr>
    </w:p>
    <w:p w:rsidR="00AC61EF" w:rsidRDefault="009C3EC8" w:rsidP="004D01B4">
      <w:pPr>
        <w:spacing w:after="0" w:line="360" w:lineRule="auto"/>
        <w:jc w:val="both"/>
      </w:pPr>
      <w:r>
        <w:rPr>
          <w:noProof/>
          <w:szCs w:val="27"/>
          <w:lang w:eastAsia="fr-FR"/>
        </w:rPr>
        <w:drawing>
          <wp:anchor distT="0" distB="0" distL="114300" distR="114300" simplePos="0" relativeHeight="251671552" behindDoc="1" locked="0" layoutInCell="1" allowOverlap="1" wp14:anchorId="4AA861C2" wp14:editId="38BB1B9B">
            <wp:simplePos x="0" y="0"/>
            <wp:positionH relativeFrom="column">
              <wp:posOffset>10160</wp:posOffset>
            </wp:positionH>
            <wp:positionV relativeFrom="paragraph">
              <wp:posOffset>189230</wp:posOffset>
            </wp:positionV>
            <wp:extent cx="323850" cy="323850"/>
            <wp:effectExtent l="0" t="0" r="0" b="0"/>
            <wp:wrapTight wrapText="bothSides">
              <wp:wrapPolygon edited="0">
                <wp:start x="3812" y="0"/>
                <wp:lineTo x="0" y="0"/>
                <wp:lineTo x="0" y="13976"/>
                <wp:lineTo x="8894" y="20329"/>
                <wp:lineTo x="20329" y="20329"/>
                <wp:lineTo x="20329" y="1271"/>
                <wp:lineTo x="11435" y="0"/>
                <wp:lineTo x="3812"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arametr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AC61EF" w:rsidRDefault="00AC61EF" w:rsidP="0046115C">
      <w:pPr>
        <w:pStyle w:val="Titre1"/>
        <w:spacing w:after="0" w:line="360" w:lineRule="auto"/>
      </w:pPr>
      <w:r>
        <w:t>Comment ça fonctionne ?</w:t>
      </w:r>
    </w:p>
    <w:p w:rsidR="00AC61EF" w:rsidRDefault="00AC61EF" w:rsidP="0046115C">
      <w:pPr>
        <w:spacing w:after="0" w:line="360" w:lineRule="auto"/>
        <w:jc w:val="both"/>
      </w:pPr>
      <w:r>
        <w:t xml:space="preserve">En ouvrant un contrat </w:t>
      </w:r>
      <w:r w:rsidR="009A4F05">
        <w:t>de capitalisation</w:t>
      </w:r>
      <w:r>
        <w:t xml:space="preserve">, vous pouvez </w:t>
      </w:r>
      <w:r w:rsidRPr="00AC61EF">
        <w:rPr>
          <w:b/>
        </w:rPr>
        <w:t>verser de l’argent</w:t>
      </w:r>
      <w:r>
        <w:t xml:space="preserve"> en une seule fois (versement unique) ou quand vous le souhaitez (versement libre), ou encore de manière programmée, tous les mois par exemple, par prélèvement sur votre compte (versement programmé). Une fois votre argent versé au contrat, vous avez le choix d’investir sur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85" w:type="dxa"/>
          <w:bottom w:w="57" w:type="dxa"/>
        </w:tblCellMar>
        <w:tblLook w:val="04A0" w:firstRow="1" w:lastRow="0" w:firstColumn="1" w:lastColumn="0" w:noHBand="0" w:noVBand="1"/>
      </w:tblPr>
      <w:tblGrid>
        <w:gridCol w:w="4361"/>
        <w:gridCol w:w="425"/>
        <w:gridCol w:w="4426"/>
      </w:tblGrid>
      <w:tr w:rsidR="00302E48" w:rsidTr="009A4F05">
        <w:trPr>
          <w:jc w:val="center"/>
        </w:trPr>
        <w:tc>
          <w:tcPr>
            <w:tcW w:w="4361" w:type="dxa"/>
            <w:shd w:val="clear" w:color="auto" w:fill="D9D9D9" w:themeFill="background1" w:themeFillShade="D9"/>
          </w:tcPr>
          <w:p w:rsidR="00302E48" w:rsidRPr="00302E48" w:rsidRDefault="00AC61EF" w:rsidP="009D386A">
            <w:pPr>
              <w:spacing w:line="360" w:lineRule="auto"/>
              <w:jc w:val="center"/>
              <w:rPr>
                <w:color w:val="4632EB"/>
              </w:rPr>
            </w:pPr>
            <w:r>
              <w:t xml:space="preserve"> </w:t>
            </w:r>
            <w:r w:rsidR="00302E48" w:rsidRPr="00302E48">
              <w:rPr>
                <w:noProof/>
                <w:color w:val="4632EB"/>
                <w:lang w:eastAsia="fr-FR"/>
              </w:rPr>
              <w:drawing>
                <wp:inline distT="0" distB="0" distL="0" distR="0" wp14:anchorId="6945995B" wp14:editId="2E192335">
                  <wp:extent cx="294198" cy="294198"/>
                  <wp:effectExtent l="0" t="0" r="0" b="0"/>
                  <wp:docPr id="1" name="Image 1" descr="C:\Users\m.poncelet\AppData\Local\Microsoft\Windows\INetCache\Content.Word\Icon-e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oncelet\AppData\Local\Microsoft\Windows\INetCache\Content.Word\Icon-eur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225" cy="294225"/>
                          </a:xfrm>
                          <a:prstGeom prst="rect">
                            <a:avLst/>
                          </a:prstGeom>
                          <a:noFill/>
                          <a:ln>
                            <a:noFill/>
                          </a:ln>
                        </pic:spPr>
                      </pic:pic>
                    </a:graphicData>
                  </a:graphic>
                </wp:inline>
              </w:drawing>
            </w:r>
          </w:p>
          <w:p w:rsidR="00302E48" w:rsidRPr="00302E48" w:rsidRDefault="00302E48" w:rsidP="009D386A">
            <w:pPr>
              <w:spacing w:line="360" w:lineRule="auto"/>
              <w:jc w:val="center"/>
              <w:rPr>
                <w:color w:val="4632EB"/>
              </w:rPr>
            </w:pPr>
            <w:r w:rsidRPr="00302E48">
              <w:rPr>
                <w:color w:val="4632EB"/>
              </w:rPr>
              <w:t xml:space="preserve">FONDS EN </w:t>
            </w:r>
            <w:bookmarkStart w:id="0" w:name="_GoBack"/>
            <w:r w:rsidRPr="00302E48">
              <w:rPr>
                <w:color w:val="4632EB"/>
              </w:rPr>
              <w:t>EURO</w:t>
            </w:r>
            <w:bookmarkEnd w:id="0"/>
            <w:r w:rsidRPr="00302E48">
              <w:rPr>
                <w:color w:val="4632EB"/>
              </w:rPr>
              <w:t>S</w:t>
            </w:r>
          </w:p>
        </w:tc>
        <w:tc>
          <w:tcPr>
            <w:tcW w:w="425" w:type="dxa"/>
            <w:shd w:val="clear" w:color="auto" w:fill="auto"/>
          </w:tcPr>
          <w:p w:rsidR="00302E48" w:rsidRPr="00302E48" w:rsidRDefault="00302E48" w:rsidP="009D386A">
            <w:pPr>
              <w:spacing w:line="360" w:lineRule="auto"/>
              <w:jc w:val="center"/>
              <w:rPr>
                <w:color w:val="4632EB"/>
              </w:rPr>
            </w:pPr>
          </w:p>
        </w:tc>
        <w:tc>
          <w:tcPr>
            <w:tcW w:w="4426" w:type="dxa"/>
            <w:shd w:val="clear" w:color="auto" w:fill="D9D9D9" w:themeFill="background1" w:themeFillShade="D9"/>
          </w:tcPr>
          <w:p w:rsidR="00302E48" w:rsidRPr="00302E48" w:rsidRDefault="00302E48" w:rsidP="009D386A">
            <w:pPr>
              <w:spacing w:line="360" w:lineRule="auto"/>
              <w:jc w:val="center"/>
              <w:rPr>
                <w:color w:val="4632EB"/>
              </w:rPr>
            </w:pPr>
            <w:r w:rsidRPr="00302E48">
              <w:rPr>
                <w:noProof/>
                <w:color w:val="4632EB"/>
                <w:lang w:eastAsia="fr-FR"/>
              </w:rPr>
              <w:drawing>
                <wp:inline distT="0" distB="0" distL="0" distR="0" wp14:anchorId="578D8BD0" wp14:editId="6C398DFD">
                  <wp:extent cx="294198" cy="294198"/>
                  <wp:effectExtent l="0" t="0" r="0" b="0"/>
                  <wp:docPr id="2" name="Image 2" descr="C:\Users\m.poncelet\AppData\Local\Microsoft\Windows\INetCache\Content.Word\Icon-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poncelet\AppData\Local\Microsoft\Windows\INetCache\Content.Word\Icon-slide.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94157" cy="294157"/>
                          </a:xfrm>
                          <a:prstGeom prst="rect">
                            <a:avLst/>
                          </a:prstGeom>
                          <a:noFill/>
                          <a:ln>
                            <a:noFill/>
                          </a:ln>
                        </pic:spPr>
                      </pic:pic>
                    </a:graphicData>
                  </a:graphic>
                </wp:inline>
              </w:drawing>
            </w:r>
          </w:p>
          <w:p w:rsidR="00302E48" w:rsidRPr="00302E48" w:rsidRDefault="00302E48" w:rsidP="009D386A">
            <w:pPr>
              <w:spacing w:line="360" w:lineRule="auto"/>
              <w:jc w:val="center"/>
              <w:rPr>
                <w:color w:val="4632EB"/>
              </w:rPr>
            </w:pPr>
            <w:r w:rsidRPr="00302E48">
              <w:rPr>
                <w:color w:val="4632EB"/>
              </w:rPr>
              <w:t>UNITÉS DE COMPTE</w:t>
            </w:r>
          </w:p>
        </w:tc>
      </w:tr>
      <w:tr w:rsidR="00302E48" w:rsidTr="009A4F05">
        <w:trPr>
          <w:jc w:val="center"/>
        </w:trPr>
        <w:tc>
          <w:tcPr>
            <w:tcW w:w="4361" w:type="dxa"/>
            <w:shd w:val="clear" w:color="auto" w:fill="D9D9D9" w:themeFill="background1" w:themeFillShade="D9"/>
          </w:tcPr>
          <w:p w:rsidR="00302E48" w:rsidRPr="00302E48" w:rsidRDefault="00302E48" w:rsidP="009D386A">
            <w:pPr>
              <w:spacing w:line="360" w:lineRule="auto"/>
              <w:jc w:val="both"/>
              <w:rPr>
                <w:sz w:val="20"/>
              </w:rPr>
            </w:pPr>
            <w:r w:rsidRPr="00302E48">
              <w:rPr>
                <w:sz w:val="20"/>
              </w:rPr>
              <w:t>Votre épargne n’est pas soumise aux mouvements des marchés financiers.</w:t>
            </w:r>
          </w:p>
        </w:tc>
        <w:tc>
          <w:tcPr>
            <w:tcW w:w="425" w:type="dxa"/>
            <w:shd w:val="clear" w:color="auto" w:fill="auto"/>
          </w:tcPr>
          <w:p w:rsidR="00302E48" w:rsidRDefault="00302E48" w:rsidP="009D386A">
            <w:pPr>
              <w:spacing w:line="360" w:lineRule="auto"/>
              <w:jc w:val="both"/>
            </w:pPr>
          </w:p>
        </w:tc>
        <w:tc>
          <w:tcPr>
            <w:tcW w:w="4426" w:type="dxa"/>
            <w:shd w:val="clear" w:color="auto" w:fill="D9D9D9" w:themeFill="background1" w:themeFillShade="D9"/>
          </w:tcPr>
          <w:p w:rsidR="00302E48" w:rsidRPr="00302E48" w:rsidRDefault="00302E48" w:rsidP="009D386A">
            <w:pPr>
              <w:spacing w:line="360" w:lineRule="auto"/>
              <w:jc w:val="both"/>
              <w:rPr>
                <w:sz w:val="20"/>
              </w:rPr>
            </w:pPr>
            <w:r w:rsidRPr="00302E48">
              <w:rPr>
                <w:sz w:val="20"/>
              </w:rPr>
              <w:t>Vous avez un choix varié de supports (secteurs d’activité, géographie) offrant une espérance de gain supérieur au rendement du fonds en euros</w:t>
            </w:r>
          </w:p>
        </w:tc>
      </w:tr>
      <w:tr w:rsidR="00302E48" w:rsidTr="009A4F05">
        <w:trPr>
          <w:jc w:val="center"/>
        </w:trPr>
        <w:tc>
          <w:tcPr>
            <w:tcW w:w="4361" w:type="dxa"/>
            <w:shd w:val="clear" w:color="auto" w:fill="D9D9D9" w:themeFill="background1" w:themeFillShade="D9"/>
          </w:tcPr>
          <w:p w:rsidR="00302E48" w:rsidRPr="00302E48" w:rsidRDefault="00302E48" w:rsidP="00FD4343">
            <w:pPr>
              <w:spacing w:line="360" w:lineRule="auto"/>
              <w:jc w:val="both"/>
              <w:rPr>
                <w:sz w:val="20"/>
              </w:rPr>
            </w:pPr>
            <w:r w:rsidRPr="00302E48">
              <w:rPr>
                <w:color w:val="4632EB"/>
                <w:sz w:val="20"/>
              </w:rPr>
              <w:t>MAIS</w:t>
            </w:r>
            <w:r w:rsidRPr="00302E48">
              <w:rPr>
                <w:sz w:val="20"/>
              </w:rPr>
              <w:t xml:space="preserve"> le rendement moyen des fonds euros est limité</w:t>
            </w:r>
          </w:p>
        </w:tc>
        <w:tc>
          <w:tcPr>
            <w:tcW w:w="425" w:type="dxa"/>
            <w:shd w:val="clear" w:color="auto" w:fill="auto"/>
          </w:tcPr>
          <w:p w:rsidR="00302E48" w:rsidRDefault="00302E48" w:rsidP="009D386A">
            <w:pPr>
              <w:spacing w:line="360" w:lineRule="auto"/>
              <w:jc w:val="both"/>
            </w:pPr>
          </w:p>
        </w:tc>
        <w:tc>
          <w:tcPr>
            <w:tcW w:w="4426" w:type="dxa"/>
            <w:shd w:val="clear" w:color="auto" w:fill="D9D9D9" w:themeFill="background1" w:themeFillShade="D9"/>
          </w:tcPr>
          <w:p w:rsidR="00302E48" w:rsidRPr="00302E48" w:rsidRDefault="00302E48" w:rsidP="009D386A">
            <w:pPr>
              <w:spacing w:line="360" w:lineRule="auto"/>
              <w:jc w:val="both"/>
              <w:rPr>
                <w:sz w:val="20"/>
              </w:rPr>
            </w:pPr>
            <w:r w:rsidRPr="00302E48">
              <w:rPr>
                <w:color w:val="4632EB"/>
                <w:sz w:val="20"/>
              </w:rPr>
              <w:t xml:space="preserve">MAIS </w:t>
            </w:r>
            <w:r w:rsidRPr="00302E48">
              <w:rPr>
                <w:sz w:val="20"/>
              </w:rPr>
              <w:t>votre épargne n’est pas garantie, vous pouvez perdre votre argent</w:t>
            </w:r>
          </w:p>
        </w:tc>
      </w:tr>
    </w:tbl>
    <w:p w:rsidR="00AC61EF" w:rsidRDefault="00AC61EF" w:rsidP="0046115C">
      <w:pPr>
        <w:spacing w:after="0" w:line="360" w:lineRule="auto"/>
        <w:jc w:val="both"/>
      </w:pPr>
    </w:p>
    <w:p w:rsidR="00AC61EF" w:rsidRDefault="00AC61EF" w:rsidP="0046115C">
      <w:pPr>
        <w:spacing w:after="0" w:line="360" w:lineRule="auto"/>
        <w:jc w:val="both"/>
      </w:pPr>
      <w:r>
        <w:t xml:space="preserve">Vous pouvez répartir votre argent comme vous le souhaitez entre les supports mais aussi faire des </w:t>
      </w:r>
      <w:r w:rsidRPr="00CD4E8D">
        <w:rPr>
          <w:b/>
        </w:rPr>
        <w:t>arbitrages</w:t>
      </w:r>
      <w:r>
        <w:t xml:space="preserve"> (= transferts) d’un support à l’autre.</w:t>
      </w: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CD4E8D" w:rsidTr="002C7F2E">
        <w:tc>
          <w:tcPr>
            <w:tcW w:w="8080" w:type="dxa"/>
            <w:shd w:val="clear" w:color="auto" w:fill="4632EB"/>
            <w:vAlign w:val="center"/>
          </w:tcPr>
          <w:p w:rsidR="00CD4E8D" w:rsidRDefault="008F21BC" w:rsidP="0046115C">
            <w:pPr>
              <w:spacing w:line="360" w:lineRule="auto"/>
              <w:jc w:val="both"/>
            </w:pPr>
            <w:r w:rsidRPr="002C7F2E">
              <w:rPr>
                <w:noProof/>
                <w:color w:val="FFFFFF" w:themeColor="background1"/>
                <w:lang w:eastAsia="fr-FR"/>
              </w:rPr>
              <w:drawing>
                <wp:anchor distT="0" distB="0" distL="114300" distR="114300" simplePos="0" relativeHeight="251658240" behindDoc="0" locked="0" layoutInCell="1" allowOverlap="1" wp14:anchorId="5514A3EE" wp14:editId="13E1CBB6">
                  <wp:simplePos x="0" y="0"/>
                  <wp:positionH relativeFrom="column">
                    <wp:posOffset>-436245</wp:posOffset>
                  </wp:positionH>
                  <wp:positionV relativeFrom="paragraph">
                    <wp:posOffset>-46990</wp:posOffset>
                  </wp:positionV>
                  <wp:extent cx="323850" cy="323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2C7F2E">
              <w:rPr>
                <w:color w:val="FFFFFF" w:themeColor="background1"/>
              </w:rPr>
              <w:t>Sécurisez régulièrement vos gains sur les unités de compte en les arbitrant vers le fonds en euros</w:t>
            </w:r>
            <w:r w:rsidR="00F678BD">
              <w:rPr>
                <w:color w:val="FFFFFF" w:themeColor="background1"/>
              </w:rPr>
              <w:t>.</w:t>
            </w:r>
          </w:p>
        </w:tc>
      </w:tr>
    </w:tbl>
    <w:p w:rsidR="009C3EC8" w:rsidRDefault="009C3EC8" w:rsidP="0046115C">
      <w:pPr>
        <w:spacing w:after="0" w:line="360" w:lineRule="auto"/>
        <w:jc w:val="both"/>
      </w:pPr>
    </w:p>
    <w:p w:rsidR="008F21BC" w:rsidRDefault="008F21BC" w:rsidP="0046115C">
      <w:pPr>
        <w:spacing w:after="0" w:line="360" w:lineRule="auto"/>
        <w:jc w:val="both"/>
      </w:pPr>
      <w:r>
        <w:t>Votre argent reste disponible à tout moment. Pour le récupérer, vous devez faire un "</w:t>
      </w:r>
      <w:r w:rsidRPr="008F21BC">
        <w:rPr>
          <w:b/>
        </w:rPr>
        <w:t>rachat</w:t>
      </w:r>
      <w:r>
        <w:t xml:space="preserve">" de tout ou partie de votre épargne (rachat total ou partiel). Vous pouvez aussi mettre en place des rachats programmés, c’est-à-dire des virements permanents (mensuels, trimestriels ou semestriels) de votre contrat </w:t>
      </w:r>
      <w:r w:rsidR="008829B6">
        <w:t>de capitalisation</w:t>
      </w:r>
      <w:r>
        <w:t xml:space="preserve"> vers votre compte courant.</w:t>
      </w:r>
    </w:p>
    <w:p w:rsidR="008F21BC" w:rsidRDefault="009D386A" w:rsidP="0046115C">
      <w:pPr>
        <w:spacing w:after="0" w:line="360" w:lineRule="auto"/>
        <w:jc w:val="both"/>
      </w:pPr>
      <w:r>
        <w:rPr>
          <w:noProof/>
          <w:lang w:eastAsia="fr-FR"/>
        </w:rPr>
        <w:lastRenderedPageBreak/>
        <w:drawing>
          <wp:anchor distT="0" distB="0" distL="114300" distR="114300" simplePos="0" relativeHeight="251660288" behindDoc="1" locked="0" layoutInCell="1" allowOverlap="1" wp14:anchorId="7DD02361" wp14:editId="34EA3AAC">
            <wp:simplePos x="0" y="0"/>
            <wp:positionH relativeFrom="column">
              <wp:posOffset>3548380</wp:posOffset>
            </wp:positionH>
            <wp:positionV relativeFrom="paragraph">
              <wp:posOffset>34925</wp:posOffset>
            </wp:positionV>
            <wp:extent cx="2218055" cy="1464945"/>
            <wp:effectExtent l="0" t="0" r="0" b="1905"/>
            <wp:wrapTight wrapText="bothSides">
              <wp:wrapPolygon edited="0">
                <wp:start x="0" y="0"/>
                <wp:lineTo x="0" y="21347"/>
                <wp:lineTo x="21334" y="21347"/>
                <wp:lineTo x="21334"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1506" t="36614" r="73756" b="28747"/>
                    <a:stretch/>
                  </pic:blipFill>
                  <pic:spPr bwMode="auto">
                    <a:xfrm>
                      <a:off x="0" y="0"/>
                      <a:ext cx="2218055" cy="146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BC">
        <w:t xml:space="preserve">C’est </w:t>
      </w:r>
      <w:r w:rsidR="008F21BC" w:rsidRPr="00F2679A">
        <w:rPr>
          <w:b/>
        </w:rPr>
        <w:t>au moment du rachat</w:t>
      </w:r>
      <w:r w:rsidR="008F21BC">
        <w:t xml:space="preserve"> que vous êtes </w:t>
      </w:r>
      <w:r w:rsidR="008F21BC" w:rsidRPr="00F2679A">
        <w:rPr>
          <w:b/>
        </w:rPr>
        <w:t>fiscalisé</w:t>
      </w:r>
      <w:r w:rsidR="008F21BC">
        <w:t xml:space="preserve"> :</w:t>
      </w:r>
    </w:p>
    <w:p w:rsidR="008F21BC" w:rsidRDefault="008F21BC" w:rsidP="0046115C">
      <w:pPr>
        <w:pStyle w:val="Paragraphedeliste"/>
        <w:numPr>
          <w:ilvl w:val="0"/>
          <w:numId w:val="10"/>
        </w:numPr>
        <w:spacing w:after="0" w:line="360" w:lineRule="auto"/>
        <w:jc w:val="both"/>
      </w:pPr>
      <w:r>
        <w:t xml:space="preserve">l’imposition ne porte que sur la quote-part d’intérêts comprise dans le rachat (= capital exonéré) ; </w:t>
      </w:r>
    </w:p>
    <w:p w:rsidR="008F21BC" w:rsidRDefault="008F21BC" w:rsidP="0046115C">
      <w:pPr>
        <w:pStyle w:val="Paragraphedeliste"/>
        <w:numPr>
          <w:ilvl w:val="0"/>
          <w:numId w:val="10"/>
        </w:numPr>
        <w:spacing w:after="0" w:line="360" w:lineRule="auto"/>
        <w:jc w:val="both"/>
      </w:pPr>
      <w:r>
        <w:t>le taux d’imposition peut être relativement faible</w:t>
      </w:r>
      <w:r w:rsidR="008A5C0E">
        <w:t xml:space="preserve">. </w:t>
      </w:r>
      <w:r>
        <w:t xml:space="preserve">En ouvrant un contrat aujourd’hui, le taux de taxation sera de </w:t>
      </w:r>
      <w:r w:rsidRPr="00F2679A">
        <w:rPr>
          <w:b/>
        </w:rPr>
        <w:t>12,8 %</w:t>
      </w:r>
      <w:r>
        <w:t xml:space="preserve"> (éventuellement 7,5 % si le contrat a plus de 8 ans et que v</w:t>
      </w:r>
      <w:r w:rsidR="00FD4343">
        <w:t xml:space="preserve">ous avez moins de   150 000 </w:t>
      </w:r>
      <w:r w:rsidR="00DF1933">
        <w:t xml:space="preserve">€ sur </w:t>
      </w:r>
      <w:r>
        <w:t>tous vos contrats).</w:t>
      </w:r>
      <w:r w:rsidR="00F2679A" w:rsidRPr="00F2679A">
        <w:rPr>
          <w:noProof/>
          <w:lang w:eastAsia="fr-FR"/>
        </w:rPr>
        <w:t xml:space="preserve"> </w:t>
      </w:r>
    </w:p>
    <w:p w:rsidR="009707B1" w:rsidRDefault="009707B1" w:rsidP="0046115C">
      <w:pPr>
        <w:pStyle w:val="Paragraphedeliste"/>
        <w:numPr>
          <w:ilvl w:val="0"/>
          <w:numId w:val="10"/>
        </w:numPr>
        <w:spacing w:after="0" w:line="360" w:lineRule="auto"/>
        <w:jc w:val="both"/>
      </w:pPr>
      <w:r>
        <w:t>les prélèvements sociaux (taux de 17,2 %) sont retenus chaque année ou lors du rachat</w:t>
      </w:r>
      <w:r w:rsidR="00FD4343">
        <w:t>,</w:t>
      </w:r>
      <w:r>
        <w:t xml:space="preserve"> selon le support choisi.</w:t>
      </w:r>
    </w:p>
    <w:p w:rsidR="0046115C" w:rsidRDefault="0046115C" w:rsidP="0046115C">
      <w:pPr>
        <w:spacing w:after="0" w:line="360" w:lineRule="auto"/>
        <w:jc w:val="both"/>
      </w:pPr>
    </w:p>
    <w:p w:rsidR="00FD4343" w:rsidRDefault="00FD4343" w:rsidP="0046115C">
      <w:pPr>
        <w:spacing w:after="0" w:line="360" w:lineRule="auto"/>
        <w:jc w:val="both"/>
      </w:pPr>
    </w:p>
    <w:p w:rsidR="009707B1" w:rsidRDefault="009707B1" w:rsidP="0046115C">
      <w:pPr>
        <w:spacing w:after="0" w:line="360" w:lineRule="auto"/>
        <w:jc w:val="both"/>
      </w:pPr>
      <w:r>
        <w:t xml:space="preserve">Lors de votre </w:t>
      </w:r>
      <w:r w:rsidRPr="009707B1">
        <w:rPr>
          <w:b/>
        </w:rPr>
        <w:t>décès</w:t>
      </w:r>
      <w:r>
        <w:t xml:space="preserve">, les capitaux de votre </w:t>
      </w:r>
      <w:r w:rsidR="0046115C">
        <w:t>contrat de capitalisation</w:t>
      </w:r>
      <w:r>
        <w:t xml:space="preserve"> sont </w:t>
      </w:r>
      <w:r w:rsidR="0046115C">
        <w:t>intégrés à votre succession</w:t>
      </w:r>
      <w:r>
        <w:t xml:space="preserve">. La </w:t>
      </w:r>
      <w:r w:rsidRPr="009707B1">
        <w:rPr>
          <w:b/>
        </w:rPr>
        <w:t>fiscalité "décès"</w:t>
      </w:r>
      <w:r>
        <w:t xml:space="preserve"> dépend de votre </w:t>
      </w:r>
      <w:r w:rsidR="0046115C">
        <w:t>lien</w:t>
      </w:r>
      <w:r w:rsidR="004D01B4">
        <w:t xml:space="preserve"> de parenté avec vos héritiers. C’est la valeur de votre contrat au jour de votre disparition </w:t>
      </w:r>
      <w:r w:rsidR="00C27B11">
        <w:t xml:space="preserve">(capital + intérêts) </w:t>
      </w:r>
      <w:r w:rsidR="004D01B4">
        <w:t xml:space="preserve">qui servira de base pour calculer le montant des droits de succession. </w:t>
      </w:r>
    </w:p>
    <w:p w:rsidR="00FD4343" w:rsidRDefault="00FD4343" w:rsidP="0046115C">
      <w:pPr>
        <w:spacing w:after="0" w:line="360" w:lineRule="auto"/>
        <w:jc w:val="both"/>
      </w:pP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FD4343" w:rsidTr="00B1105B">
        <w:tc>
          <w:tcPr>
            <w:tcW w:w="8080" w:type="dxa"/>
            <w:shd w:val="clear" w:color="auto" w:fill="4632EB"/>
            <w:vAlign w:val="center"/>
          </w:tcPr>
          <w:p w:rsidR="00FD4343" w:rsidRDefault="00FD4343" w:rsidP="00B1105B">
            <w:pPr>
              <w:spacing w:line="360" w:lineRule="auto"/>
              <w:jc w:val="both"/>
            </w:pPr>
            <w:r w:rsidRPr="002C7F2E">
              <w:rPr>
                <w:noProof/>
                <w:color w:val="FFFFFF" w:themeColor="background1"/>
                <w:lang w:eastAsia="fr-FR"/>
              </w:rPr>
              <w:drawing>
                <wp:anchor distT="0" distB="0" distL="114300" distR="114300" simplePos="0" relativeHeight="251687936" behindDoc="0" locked="0" layoutInCell="1" allowOverlap="1" wp14:anchorId="70789B86" wp14:editId="5DF3678D">
                  <wp:simplePos x="0" y="0"/>
                  <wp:positionH relativeFrom="column">
                    <wp:posOffset>-436245</wp:posOffset>
                  </wp:positionH>
                  <wp:positionV relativeFrom="paragraph">
                    <wp:posOffset>40640</wp:posOffset>
                  </wp:positionV>
                  <wp:extent cx="323850" cy="32385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Pr>
                <w:noProof/>
                <w:color w:val="FFFFFF" w:themeColor="background1"/>
                <w:lang w:eastAsia="fr-FR"/>
              </w:rPr>
              <w:t xml:space="preserve">La fiscalité décès est très différente de celle du contrat d’assurance-vie qui est traité hors succession (clause bénéficiaire et taxation spécifique). </w:t>
            </w:r>
            <w:r>
              <w:rPr>
                <w:color w:val="FFFFFF" w:themeColor="background1"/>
              </w:rPr>
              <w:t xml:space="preserve"> </w:t>
            </w:r>
          </w:p>
        </w:tc>
      </w:tr>
    </w:tbl>
    <w:p w:rsidR="00FD4343" w:rsidRDefault="00FD4343" w:rsidP="0046115C">
      <w:pPr>
        <w:spacing w:after="0" w:line="360" w:lineRule="auto"/>
        <w:jc w:val="both"/>
      </w:pPr>
    </w:p>
    <w:p w:rsidR="009707B1" w:rsidRDefault="00A82777" w:rsidP="0046115C">
      <w:pPr>
        <w:spacing w:after="0" w:line="360" w:lineRule="auto"/>
        <w:jc w:val="both"/>
      </w:pPr>
      <w:r>
        <w:rPr>
          <w:noProof/>
          <w:color w:val="FFFFFF" w:themeColor="background1"/>
          <w:szCs w:val="27"/>
          <w:lang w:eastAsia="fr-FR"/>
        </w:rPr>
        <w:drawing>
          <wp:anchor distT="0" distB="0" distL="114300" distR="114300" simplePos="0" relativeHeight="251673600" behindDoc="1" locked="0" layoutInCell="1" allowOverlap="1" wp14:anchorId="12C4357F" wp14:editId="0C44FF2A">
            <wp:simplePos x="0" y="0"/>
            <wp:positionH relativeFrom="column">
              <wp:posOffset>8890</wp:posOffset>
            </wp:positionH>
            <wp:positionV relativeFrom="paragraph">
              <wp:posOffset>182245</wp:posOffset>
            </wp:positionV>
            <wp:extent cx="323850" cy="323850"/>
            <wp:effectExtent l="0" t="0" r="0" b="0"/>
            <wp:wrapThrough wrapText="bothSides">
              <wp:wrapPolygon edited="0">
                <wp:start x="1271" y="0"/>
                <wp:lineTo x="0" y="1271"/>
                <wp:lineTo x="0" y="15247"/>
                <wp:lineTo x="15247" y="20329"/>
                <wp:lineTo x="20329" y="20329"/>
                <wp:lineTo x="20329" y="11435"/>
                <wp:lineTo x="13976" y="0"/>
                <wp:lineTo x="1271"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oup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9707B1" w:rsidRDefault="00DF1933" w:rsidP="0046115C">
      <w:pPr>
        <w:pStyle w:val="Titre1"/>
        <w:spacing w:after="0" w:line="360" w:lineRule="auto"/>
      </w:pPr>
      <w:r>
        <w:t xml:space="preserve">Points de vigilance </w:t>
      </w:r>
    </w:p>
    <w:p w:rsidR="00134112" w:rsidRDefault="00134112" w:rsidP="0046115C">
      <w:pPr>
        <w:spacing w:after="0" w:line="360" w:lineRule="auto"/>
        <w:jc w:val="both"/>
        <w:rPr>
          <w:b/>
        </w:rPr>
      </w:pPr>
      <w:r>
        <w:t xml:space="preserve">Vous pouvez faire </w:t>
      </w:r>
      <w:r w:rsidR="00463BC2" w:rsidRPr="00C50DE2">
        <w:rPr>
          <w:b/>
        </w:rPr>
        <w:t>donation</w:t>
      </w:r>
      <w:r w:rsidR="009D386A">
        <w:t xml:space="preserve"> (par acte notarié)</w:t>
      </w:r>
      <w:r>
        <w:t xml:space="preserve"> de votre contrat de capitalisation</w:t>
      </w:r>
      <w:r w:rsidR="00463BC2" w:rsidRPr="00463BC2">
        <w:t xml:space="preserve">. Le plus souvent, cette donation </w:t>
      </w:r>
      <w:r w:rsidR="00C50DE2">
        <w:t xml:space="preserve">sera </w:t>
      </w:r>
      <w:r w:rsidR="00463BC2" w:rsidRPr="00463BC2">
        <w:t xml:space="preserve">effectuée en </w:t>
      </w:r>
      <w:r w:rsidR="00463BC2" w:rsidRPr="00C50DE2">
        <w:rPr>
          <w:b/>
        </w:rPr>
        <w:t>démembrement</w:t>
      </w:r>
      <w:r>
        <w:rPr>
          <w:b/>
        </w:rPr>
        <w:t xml:space="preserve"> ; </w:t>
      </w:r>
    </w:p>
    <w:p w:rsidR="00134112" w:rsidRDefault="00134112" w:rsidP="00134112">
      <w:pPr>
        <w:pStyle w:val="Paragraphedeliste"/>
        <w:numPr>
          <w:ilvl w:val="0"/>
          <w:numId w:val="11"/>
        </w:numPr>
        <w:spacing w:after="0" w:line="360" w:lineRule="auto"/>
        <w:jc w:val="both"/>
      </w:pPr>
      <w:r>
        <w:t xml:space="preserve">vous conservez </w:t>
      </w:r>
      <w:r w:rsidR="00463BC2" w:rsidRPr="00463BC2">
        <w:t>l’</w:t>
      </w:r>
      <w:r w:rsidR="00463BC2" w:rsidRPr="00134112">
        <w:rPr>
          <w:i/>
          <w:u w:val="single"/>
        </w:rPr>
        <w:t>usufruit</w:t>
      </w:r>
      <w:r w:rsidR="00A472B0">
        <w:t xml:space="preserve">, </w:t>
      </w:r>
      <w:r>
        <w:t xml:space="preserve">c’est-à-dire la possibilité de </w:t>
      </w:r>
      <w:r w:rsidR="00A472B0">
        <w:t>percevoir</w:t>
      </w:r>
      <w:r w:rsidR="00463BC2" w:rsidRPr="00463BC2">
        <w:t xml:space="preserve"> </w:t>
      </w:r>
      <w:r w:rsidR="00C50DE2">
        <w:t>les intérêts du contrat</w:t>
      </w:r>
    </w:p>
    <w:p w:rsidR="00134112" w:rsidRDefault="005E7FCA" w:rsidP="00134112">
      <w:pPr>
        <w:pStyle w:val="Paragraphedeliste"/>
        <w:numPr>
          <w:ilvl w:val="0"/>
          <w:numId w:val="11"/>
        </w:numPr>
        <w:spacing w:after="0" w:line="360" w:lineRule="auto"/>
        <w:jc w:val="both"/>
      </w:pPr>
      <w:r>
        <w:t>v</w:t>
      </w:r>
      <w:r w:rsidR="00134112">
        <w:t>ous donnez la</w:t>
      </w:r>
      <w:r w:rsidR="00463BC2" w:rsidRPr="00463BC2">
        <w:t xml:space="preserve"> </w:t>
      </w:r>
      <w:r w:rsidR="00463BC2" w:rsidRPr="00134112">
        <w:rPr>
          <w:i/>
          <w:u w:val="single"/>
        </w:rPr>
        <w:t>nue-propriété</w:t>
      </w:r>
      <w:r w:rsidR="00134112">
        <w:t xml:space="preserve"> à votre </w:t>
      </w:r>
      <w:r w:rsidR="006B5D0C">
        <w:t>enfant</w:t>
      </w:r>
      <w:r w:rsidR="00134112">
        <w:t xml:space="preserve"> (il ne peut pas disposer du contrat seul). </w:t>
      </w:r>
    </w:p>
    <w:p w:rsidR="00C50DE2" w:rsidRDefault="00134112" w:rsidP="00134112">
      <w:pPr>
        <w:spacing w:after="0" w:line="360" w:lineRule="auto"/>
        <w:jc w:val="both"/>
      </w:pPr>
      <w:r>
        <w:t>Cette donation démembrée</w:t>
      </w:r>
      <w:r w:rsidR="00463BC2" w:rsidRPr="00463BC2">
        <w:t xml:space="preserve"> permet </w:t>
      </w:r>
      <w:r>
        <w:t>d’éviter les droits de succession sur le contrat de capitalisation. L</w:t>
      </w:r>
      <w:r w:rsidR="00463BC2" w:rsidRPr="00463BC2">
        <w:t>ors d</w:t>
      </w:r>
      <w:r>
        <w:t>e votre</w:t>
      </w:r>
      <w:r w:rsidR="00463BC2" w:rsidRPr="00463BC2">
        <w:t xml:space="preserve"> décès</w:t>
      </w:r>
      <w:r w:rsidR="00A472B0">
        <w:t xml:space="preserve">, votre usufruit </w:t>
      </w:r>
      <w:r w:rsidR="009D386A">
        <w:t xml:space="preserve">s’éteint et </w:t>
      </w:r>
      <w:r w:rsidR="00A472B0">
        <w:t xml:space="preserve">votre enfant devient </w:t>
      </w:r>
      <w:r w:rsidR="006B5D0C">
        <w:t>plein propriétaire du contrat de capitalisation</w:t>
      </w:r>
      <w:r w:rsidR="00A472B0">
        <w:t xml:space="preserve"> (pas de fiscalité, ni de frais)</w:t>
      </w:r>
      <w:r w:rsidR="00463BC2" w:rsidRPr="00463BC2">
        <w:t xml:space="preserve">. </w:t>
      </w:r>
    </w:p>
    <w:tbl>
      <w:tblPr>
        <w:tblStyle w:val="Grilledutableau"/>
        <w:tblpPr w:leftFromText="141" w:rightFromText="141" w:vertAnchor="text" w:horzAnchor="margin" w:tblpXSpec="center" w:tblpY="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C50DE2" w:rsidRPr="00AF5DB7" w:rsidTr="00C50DE2">
        <w:tc>
          <w:tcPr>
            <w:tcW w:w="8080" w:type="dxa"/>
            <w:shd w:val="clear" w:color="auto" w:fill="4632EB"/>
            <w:vAlign w:val="center"/>
          </w:tcPr>
          <w:p w:rsidR="00C50DE2" w:rsidRPr="00AF5DB7" w:rsidRDefault="00C50DE2" w:rsidP="009D386A">
            <w:pPr>
              <w:spacing w:line="360" w:lineRule="auto"/>
              <w:ind w:left="567"/>
              <w:jc w:val="both"/>
              <w:rPr>
                <w:noProof/>
                <w:color w:val="FFFFFF" w:themeColor="background1"/>
                <w:lang w:eastAsia="fr-FR"/>
              </w:rPr>
            </w:pPr>
            <w:r w:rsidRPr="00AF5DB7">
              <w:rPr>
                <w:noProof/>
                <w:color w:val="FFFFFF" w:themeColor="background1"/>
                <w:lang w:eastAsia="fr-FR"/>
              </w:rPr>
              <w:drawing>
                <wp:anchor distT="0" distB="0" distL="114300" distR="114300" simplePos="0" relativeHeight="251685888" behindDoc="0" locked="0" layoutInCell="1" allowOverlap="1" wp14:anchorId="58299D6B" wp14:editId="4F88E916">
                  <wp:simplePos x="0" y="0"/>
                  <wp:positionH relativeFrom="column">
                    <wp:posOffset>-438150</wp:posOffset>
                  </wp:positionH>
                  <wp:positionV relativeFrom="paragraph">
                    <wp:posOffset>-27305</wp:posOffset>
                  </wp:positionV>
                  <wp:extent cx="323850" cy="323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A472B0">
              <w:rPr>
                <w:noProof/>
                <w:color w:val="FFFFFF" w:themeColor="background1"/>
                <w:lang w:eastAsia="fr-FR"/>
              </w:rPr>
              <w:t xml:space="preserve">La donation de la nue-propriété est soumise aux droits de donation pour la valeur de la nue-propriété (= une quote-part de la pleine propriété, par exemple 60 % si vous avez entre 61 et 70 ans). Vous bénéficiez de l’abattement prévu entre parent et enfant (100 000 € tous les 15 ans). </w:t>
            </w:r>
          </w:p>
        </w:tc>
      </w:tr>
    </w:tbl>
    <w:p w:rsidR="00C50DE2" w:rsidRDefault="00C50DE2" w:rsidP="0046115C">
      <w:pPr>
        <w:spacing w:after="0" w:line="360" w:lineRule="auto"/>
        <w:jc w:val="both"/>
      </w:pPr>
    </w:p>
    <w:p w:rsidR="00A472B0" w:rsidRDefault="00A472B0" w:rsidP="0046115C">
      <w:pPr>
        <w:spacing w:after="0" w:line="360" w:lineRule="auto"/>
        <w:jc w:val="both"/>
      </w:pPr>
      <w:r>
        <w:lastRenderedPageBreak/>
        <w:t xml:space="preserve">Si votre contrat est transmis, </w:t>
      </w:r>
      <w:r w:rsidR="004740A0">
        <w:t xml:space="preserve">par donation ou succession, </w:t>
      </w:r>
      <w:r>
        <w:t xml:space="preserve">la </w:t>
      </w:r>
      <w:r w:rsidRPr="00A472B0">
        <w:rPr>
          <w:b/>
        </w:rPr>
        <w:t>fiscalité</w:t>
      </w:r>
      <w:r>
        <w:t xml:space="preserve"> (impôt sur le revenu et prélèvements sociaux) due </w:t>
      </w:r>
      <w:r w:rsidRPr="00A472B0">
        <w:rPr>
          <w:b/>
        </w:rPr>
        <w:t>sur les intérêts est purgée</w:t>
      </w:r>
      <w:r w:rsidR="004740A0">
        <w:t xml:space="preserve">. Seuls les intérêts acquis depuis la donation ou la succession seront taxés dans les mains du nouveau souscripteur. </w:t>
      </w:r>
      <w:r>
        <w:t xml:space="preserve">Autre avantage, le nouveau souscripteur </w:t>
      </w:r>
      <w:r w:rsidR="004740A0">
        <w:t xml:space="preserve">conserve </w:t>
      </w:r>
      <w:r w:rsidR="004740A0" w:rsidRPr="004740A0">
        <w:rPr>
          <w:b/>
        </w:rPr>
        <w:t>l’antériorité fiscale</w:t>
      </w:r>
      <w:r w:rsidR="004740A0">
        <w:t xml:space="preserve"> du contrat donc le délai de détention est calculé depuis </w:t>
      </w:r>
      <w:r>
        <w:t xml:space="preserve">votre </w:t>
      </w:r>
      <w:r w:rsidR="004740A0">
        <w:t xml:space="preserve">souscription et non pas </w:t>
      </w:r>
      <w:r>
        <w:t>depuis qu’il a reçu le contrat.</w:t>
      </w:r>
    </w:p>
    <w:p w:rsidR="004D01B4" w:rsidRDefault="004D01B4" w:rsidP="0046115C">
      <w:pPr>
        <w:spacing w:after="0" w:line="360" w:lineRule="auto"/>
        <w:jc w:val="both"/>
      </w:pPr>
      <w:r>
        <w:rPr>
          <w:noProof/>
          <w:color w:val="FFFFFF" w:themeColor="background1"/>
          <w:szCs w:val="27"/>
          <w:lang w:eastAsia="fr-FR"/>
        </w:rPr>
        <w:drawing>
          <wp:anchor distT="0" distB="0" distL="114300" distR="114300" simplePos="0" relativeHeight="251675648" behindDoc="1" locked="0" layoutInCell="1" allowOverlap="1" wp14:anchorId="7A22C4F7" wp14:editId="22EB1F22">
            <wp:simplePos x="0" y="0"/>
            <wp:positionH relativeFrom="column">
              <wp:posOffset>9525</wp:posOffset>
            </wp:positionH>
            <wp:positionV relativeFrom="paragraph">
              <wp:posOffset>132080</wp:posOffset>
            </wp:positionV>
            <wp:extent cx="323850" cy="323850"/>
            <wp:effectExtent l="0" t="0" r="0" b="0"/>
            <wp:wrapTight wrapText="bothSides">
              <wp:wrapPolygon edited="0">
                <wp:start x="5082" y="0"/>
                <wp:lineTo x="0" y="7624"/>
                <wp:lineTo x="0" y="17788"/>
                <wp:lineTo x="8894" y="20329"/>
                <wp:lineTo x="20329" y="20329"/>
                <wp:lineTo x="20329" y="8894"/>
                <wp:lineTo x="16518" y="0"/>
                <wp:lineTo x="508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ur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F92C88" w:rsidRDefault="00F92C88" w:rsidP="0046115C">
      <w:pPr>
        <w:pStyle w:val="Titre1"/>
        <w:spacing w:after="0" w:line="360" w:lineRule="auto"/>
      </w:pPr>
      <w:r>
        <w:t>Combien ça coûte ?</w:t>
      </w:r>
    </w:p>
    <w:p w:rsidR="00F92C88" w:rsidRDefault="00F92C88" w:rsidP="0046115C">
      <w:pPr>
        <w:spacing w:after="0" w:line="360" w:lineRule="auto"/>
        <w:jc w:val="both"/>
      </w:pPr>
      <w:r>
        <w:t xml:space="preserve">Les principaux frais d’un contrat </w:t>
      </w:r>
      <w:r w:rsidR="0046115C">
        <w:t>de capitalisation</w:t>
      </w:r>
      <w:r>
        <w:t xml:space="preserve"> sont :</w:t>
      </w:r>
    </w:p>
    <w:p w:rsidR="00F92C88" w:rsidRDefault="00F92C88" w:rsidP="0046115C">
      <w:pPr>
        <w:pStyle w:val="Paragraphedeliste"/>
        <w:numPr>
          <w:ilvl w:val="0"/>
          <w:numId w:val="9"/>
        </w:numPr>
        <w:spacing w:after="0" w:line="360" w:lineRule="auto"/>
        <w:jc w:val="both"/>
      </w:pPr>
      <w:r>
        <w:t xml:space="preserve">Les </w:t>
      </w:r>
      <w:r w:rsidRPr="009359FA">
        <w:rPr>
          <w:b/>
        </w:rPr>
        <w:t>frais d’entrée</w:t>
      </w:r>
      <w:r>
        <w:t xml:space="preserve"> : prélevés à chaque fois que vous faites un versement sur votre contrat. Au maximum de 5 %, ils servent à rémunérer votre conseiller et la compagnie d’assurance. </w:t>
      </w:r>
    </w:p>
    <w:p w:rsidR="00DF1933" w:rsidRDefault="00F92C88" w:rsidP="0046115C">
      <w:pPr>
        <w:pStyle w:val="Paragraphedeliste"/>
        <w:numPr>
          <w:ilvl w:val="0"/>
          <w:numId w:val="9"/>
        </w:numPr>
        <w:spacing w:after="0" w:line="360" w:lineRule="auto"/>
        <w:jc w:val="both"/>
      </w:pPr>
      <w:r>
        <w:t xml:space="preserve">Les </w:t>
      </w:r>
      <w:r w:rsidRPr="009359FA">
        <w:rPr>
          <w:b/>
        </w:rPr>
        <w:t>frais d’arbitrage</w:t>
      </w:r>
      <w:r>
        <w:t xml:space="preserve"> : retenus dès que vous changez de support (du fonds en euros aux unités de compte, d’une unité de compte à une autre, etc.). Ils peuvent représenter ±1 % du montant arbitré.</w:t>
      </w:r>
    </w:p>
    <w:p w:rsidR="00F92C88" w:rsidRDefault="00F92C88" w:rsidP="0046115C">
      <w:pPr>
        <w:spacing w:after="0" w:line="360" w:lineRule="auto"/>
        <w:jc w:val="both"/>
      </w:pP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A82777" w:rsidRPr="00A82777" w:rsidTr="00A82777">
        <w:tc>
          <w:tcPr>
            <w:tcW w:w="8080" w:type="dxa"/>
            <w:shd w:val="clear" w:color="auto" w:fill="4632EB"/>
            <w:vAlign w:val="center"/>
          </w:tcPr>
          <w:p w:rsidR="00F92C88" w:rsidRPr="00A82777" w:rsidRDefault="0046115C" w:rsidP="0046115C">
            <w:pPr>
              <w:spacing w:line="360" w:lineRule="auto"/>
              <w:jc w:val="both"/>
              <w:rPr>
                <w:color w:val="FFFFFF" w:themeColor="background1"/>
              </w:rPr>
            </w:pPr>
            <w:r w:rsidRPr="00A82777">
              <w:rPr>
                <w:noProof/>
                <w:color w:val="FFFFFF" w:themeColor="background1"/>
                <w:lang w:eastAsia="fr-FR"/>
              </w:rPr>
              <w:drawing>
                <wp:anchor distT="0" distB="0" distL="114300" distR="114300" simplePos="0" relativeHeight="251666432" behindDoc="0" locked="0" layoutInCell="1" allowOverlap="1" wp14:anchorId="27A66930" wp14:editId="361E0EB6">
                  <wp:simplePos x="0" y="0"/>
                  <wp:positionH relativeFrom="column">
                    <wp:posOffset>-436245</wp:posOffset>
                  </wp:positionH>
                  <wp:positionV relativeFrom="paragraph">
                    <wp:posOffset>177800</wp:posOffset>
                  </wp:positionV>
                  <wp:extent cx="323850" cy="3238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F92C88" w:rsidRPr="00A82777">
              <w:rPr>
                <w:color w:val="FFFFFF" w:themeColor="background1"/>
              </w:rPr>
              <w:t>Aucun frais n’est appliqué pour sortir votre épargne de votre contrat. Seule la fiscalité (impôt et prélèvements sociaux) sur les gains est due lors d’un rachat.</w:t>
            </w:r>
          </w:p>
        </w:tc>
      </w:tr>
    </w:tbl>
    <w:p w:rsidR="00F92C88" w:rsidRDefault="00A82777" w:rsidP="0046115C">
      <w:pPr>
        <w:spacing w:after="0" w:line="360" w:lineRule="auto"/>
        <w:jc w:val="both"/>
      </w:pPr>
      <w:r>
        <w:rPr>
          <w:noProof/>
          <w:color w:val="FFFFFF" w:themeColor="background1"/>
          <w:szCs w:val="27"/>
          <w:lang w:eastAsia="fr-FR"/>
        </w:rPr>
        <w:drawing>
          <wp:anchor distT="0" distB="0" distL="114300" distR="114300" simplePos="0" relativeHeight="251677696" behindDoc="1" locked="0" layoutInCell="1" allowOverlap="1" wp14:anchorId="2A0E1CAE" wp14:editId="7A6F18E6">
            <wp:simplePos x="0" y="0"/>
            <wp:positionH relativeFrom="column">
              <wp:posOffset>-61595</wp:posOffset>
            </wp:positionH>
            <wp:positionV relativeFrom="paragraph">
              <wp:posOffset>173355</wp:posOffset>
            </wp:positionV>
            <wp:extent cx="323850" cy="323850"/>
            <wp:effectExtent l="0" t="0" r="0" b="0"/>
            <wp:wrapThrough wrapText="bothSides">
              <wp:wrapPolygon edited="0">
                <wp:start x="13976" y="0"/>
                <wp:lineTo x="0" y="1271"/>
                <wp:lineTo x="0" y="15247"/>
                <wp:lineTo x="3812" y="20329"/>
                <wp:lineTo x="16518" y="20329"/>
                <wp:lineTo x="20329" y="11435"/>
                <wp:lineTo x="20329" y="0"/>
                <wp:lineTo x="13976"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balance_justi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F92C88" w:rsidRDefault="00F92C88" w:rsidP="0046115C">
      <w:pPr>
        <w:pStyle w:val="Titre1"/>
        <w:spacing w:after="0" w:line="360" w:lineRule="auto"/>
      </w:pPr>
      <w:r>
        <w:t>Avantages et inconvénients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4606"/>
        <w:gridCol w:w="4606"/>
      </w:tblGrid>
      <w:tr w:rsidR="00F92C88" w:rsidRPr="00656F92" w:rsidTr="002C7F2E">
        <w:tc>
          <w:tcPr>
            <w:tcW w:w="4606" w:type="dxa"/>
            <w:shd w:val="clear" w:color="auto" w:fill="4632EB"/>
            <w:vAlign w:val="center"/>
          </w:tcPr>
          <w:p w:rsidR="00F92C88" w:rsidRPr="00656F92" w:rsidRDefault="00F92C88" w:rsidP="0046115C">
            <w:pPr>
              <w:spacing w:line="360" w:lineRule="auto"/>
              <w:jc w:val="center"/>
              <w:rPr>
                <w:b/>
                <w:color w:val="FFFFFF" w:themeColor="background1"/>
              </w:rPr>
            </w:pPr>
            <w:r w:rsidRPr="00656F92">
              <w:rPr>
                <w:b/>
                <w:color w:val="FFFFFF" w:themeColor="background1"/>
              </w:rPr>
              <w:t>AVANTAGES</w:t>
            </w:r>
          </w:p>
        </w:tc>
        <w:tc>
          <w:tcPr>
            <w:tcW w:w="4606" w:type="dxa"/>
            <w:shd w:val="clear" w:color="auto" w:fill="4632EB"/>
            <w:vAlign w:val="center"/>
          </w:tcPr>
          <w:p w:rsidR="00F92C88" w:rsidRPr="00656F92" w:rsidRDefault="00F92C88" w:rsidP="0046115C">
            <w:pPr>
              <w:spacing w:line="360" w:lineRule="auto"/>
              <w:jc w:val="center"/>
              <w:rPr>
                <w:b/>
                <w:color w:val="FFFFFF" w:themeColor="background1"/>
              </w:rPr>
            </w:pPr>
            <w:r w:rsidRPr="00656F92">
              <w:rPr>
                <w:b/>
                <w:color w:val="FFFFFF" w:themeColor="background1"/>
              </w:rPr>
              <w:t>INCONVÉNIENTS</w:t>
            </w:r>
          </w:p>
        </w:tc>
      </w:tr>
      <w:tr w:rsidR="00F92C88" w:rsidRPr="00656F92" w:rsidTr="005825A6">
        <w:tc>
          <w:tcPr>
            <w:tcW w:w="4606" w:type="dxa"/>
            <w:shd w:val="clear" w:color="auto" w:fill="D9D9D9" w:themeFill="background1" w:themeFillShade="D9"/>
          </w:tcPr>
          <w:p w:rsidR="00F92C88" w:rsidRPr="00656F92" w:rsidRDefault="00F92C88" w:rsidP="00C27B11">
            <w:pPr>
              <w:spacing w:line="360" w:lineRule="auto"/>
            </w:pPr>
            <w:r w:rsidRPr="00656F92">
              <w:t xml:space="preserve">Liberté </w:t>
            </w:r>
            <w:r w:rsidR="00C27B11" w:rsidRPr="00656F92">
              <w:t xml:space="preserve">de </w:t>
            </w:r>
            <w:r w:rsidRPr="00656F92">
              <w:t>disposer de votre épargne</w:t>
            </w:r>
            <w:r w:rsidR="00374206" w:rsidRPr="00656F92">
              <w:t>.</w:t>
            </w:r>
          </w:p>
        </w:tc>
        <w:tc>
          <w:tcPr>
            <w:tcW w:w="4606" w:type="dxa"/>
            <w:shd w:val="clear" w:color="auto" w:fill="D9D9D9" w:themeFill="background1" w:themeFillShade="D9"/>
          </w:tcPr>
          <w:p w:rsidR="00F92C88" w:rsidRPr="00656F92" w:rsidRDefault="00F92C88" w:rsidP="0046115C">
            <w:pPr>
              <w:spacing w:line="360" w:lineRule="auto"/>
            </w:pPr>
            <w:r w:rsidRPr="00656F92">
              <w:t>Placement à moyen / long terme</w:t>
            </w:r>
            <w:r w:rsidR="00374206" w:rsidRPr="00656F92">
              <w:t>.</w:t>
            </w:r>
          </w:p>
        </w:tc>
      </w:tr>
      <w:tr w:rsidR="00374206" w:rsidRPr="00656F92" w:rsidTr="005825A6">
        <w:tc>
          <w:tcPr>
            <w:tcW w:w="4606" w:type="dxa"/>
            <w:shd w:val="clear" w:color="auto" w:fill="D9D9D9" w:themeFill="background1" w:themeFillShade="D9"/>
          </w:tcPr>
          <w:p w:rsidR="00374206" w:rsidRPr="00656F92" w:rsidRDefault="00374206" w:rsidP="00C27B11">
            <w:pPr>
              <w:spacing w:line="360" w:lineRule="auto"/>
            </w:pPr>
            <w:r w:rsidRPr="00656F92">
              <w:t>Fiscalité des rachats attractive.</w:t>
            </w:r>
          </w:p>
        </w:tc>
        <w:tc>
          <w:tcPr>
            <w:tcW w:w="4606" w:type="dxa"/>
            <w:vMerge w:val="restart"/>
            <w:shd w:val="clear" w:color="auto" w:fill="D9D9D9" w:themeFill="background1" w:themeFillShade="D9"/>
          </w:tcPr>
          <w:p w:rsidR="00374206" w:rsidRPr="00656F92" w:rsidRDefault="00374206" w:rsidP="0046115C">
            <w:pPr>
              <w:spacing w:line="360" w:lineRule="auto"/>
            </w:pPr>
            <w:r w:rsidRPr="00656F92">
              <w:t>En cas de décès, c’est la fiscalité de la succession qui s’applique (pas de fiscalité spécifique comme pour l’assurance-vie).</w:t>
            </w:r>
          </w:p>
        </w:tc>
      </w:tr>
      <w:tr w:rsidR="00374206" w:rsidRPr="00656F92" w:rsidTr="005825A6">
        <w:tc>
          <w:tcPr>
            <w:tcW w:w="4606" w:type="dxa"/>
            <w:shd w:val="clear" w:color="auto" w:fill="D9D9D9" w:themeFill="background1" w:themeFillShade="D9"/>
          </w:tcPr>
          <w:p w:rsidR="00374206" w:rsidRPr="00656F92" w:rsidRDefault="00374206" w:rsidP="0046115C">
            <w:pPr>
              <w:spacing w:line="360" w:lineRule="auto"/>
            </w:pPr>
            <w:r w:rsidRPr="00656F92">
              <w:t>Contrat admis en garantie pour un prêt bancaire (=nantissement).</w:t>
            </w:r>
          </w:p>
        </w:tc>
        <w:tc>
          <w:tcPr>
            <w:tcW w:w="4606" w:type="dxa"/>
            <w:vMerge/>
            <w:shd w:val="clear" w:color="auto" w:fill="D9D9D9" w:themeFill="background1" w:themeFillShade="D9"/>
          </w:tcPr>
          <w:p w:rsidR="00374206" w:rsidRPr="00656F92" w:rsidRDefault="00374206" w:rsidP="0046115C">
            <w:pPr>
              <w:spacing w:line="360" w:lineRule="auto"/>
            </w:pPr>
          </w:p>
        </w:tc>
      </w:tr>
    </w:tbl>
    <w:p w:rsidR="0046115C" w:rsidRDefault="0046115C" w:rsidP="0046115C">
      <w:pPr>
        <w:spacing w:after="0" w:line="360" w:lineRule="auto"/>
        <w:jc w:val="both"/>
      </w:pPr>
    </w:p>
    <w:p w:rsidR="00F92C88" w:rsidRDefault="00A82777" w:rsidP="0046115C">
      <w:pPr>
        <w:spacing w:after="0" w:line="360" w:lineRule="auto"/>
        <w:jc w:val="both"/>
      </w:pPr>
      <w:r>
        <w:rPr>
          <w:noProof/>
          <w:color w:val="FFFFFF" w:themeColor="background1"/>
          <w:szCs w:val="27"/>
          <w:lang w:eastAsia="fr-FR"/>
        </w:rPr>
        <w:drawing>
          <wp:anchor distT="0" distB="0" distL="114300" distR="114300" simplePos="0" relativeHeight="251679744" behindDoc="1" locked="0" layoutInCell="1" allowOverlap="1" wp14:anchorId="62AE6D2A" wp14:editId="589EBEB2">
            <wp:simplePos x="0" y="0"/>
            <wp:positionH relativeFrom="column">
              <wp:posOffset>-61595</wp:posOffset>
            </wp:positionH>
            <wp:positionV relativeFrom="paragraph">
              <wp:posOffset>161290</wp:posOffset>
            </wp:positionV>
            <wp:extent cx="323850" cy="323850"/>
            <wp:effectExtent l="0" t="0" r="0" b="0"/>
            <wp:wrapThrough wrapText="bothSides">
              <wp:wrapPolygon edited="0">
                <wp:start x="7624" y="0"/>
                <wp:lineTo x="0" y="7624"/>
                <wp:lineTo x="0" y="16518"/>
                <wp:lineTo x="6353" y="20329"/>
                <wp:lineTo x="19059" y="20329"/>
                <wp:lineTo x="20329" y="17788"/>
                <wp:lineTo x="20329" y="7624"/>
                <wp:lineTo x="17788" y="0"/>
                <wp:lineTo x="7624"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tem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DF1933" w:rsidRDefault="00F92C88" w:rsidP="0046115C">
      <w:pPr>
        <w:pStyle w:val="Titre1"/>
        <w:spacing w:after="0" w:line="360" w:lineRule="auto"/>
      </w:pPr>
      <w:r>
        <w:t>Mise en place</w:t>
      </w:r>
    </w:p>
    <w:tbl>
      <w:tblPr>
        <w:tblStyle w:val="Grilledutableau"/>
        <w:tblW w:w="924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1984"/>
        <w:gridCol w:w="454"/>
        <w:gridCol w:w="624"/>
        <w:gridCol w:w="2268"/>
        <w:gridCol w:w="454"/>
        <w:gridCol w:w="624"/>
        <w:gridCol w:w="2211"/>
      </w:tblGrid>
      <w:tr w:rsidR="00374206" w:rsidRPr="00656F92" w:rsidTr="00374206">
        <w:trPr>
          <w:cantSplit/>
          <w:trHeight w:val="567"/>
        </w:trPr>
        <w:tc>
          <w:tcPr>
            <w:tcW w:w="624" w:type="dxa"/>
            <w:vMerge w:val="restart"/>
            <w:shd w:val="clear" w:color="auto" w:fill="FFFFFF" w:themeFill="background1"/>
            <w:textDirection w:val="btLr"/>
          </w:tcPr>
          <w:p w:rsidR="00374206" w:rsidRPr="00656F92" w:rsidRDefault="00374206" w:rsidP="00656F92">
            <w:pPr>
              <w:pStyle w:val="u-has-note"/>
              <w:spacing w:before="0" w:beforeAutospacing="0" w:after="0" w:afterAutospacing="0"/>
              <w:ind w:left="113" w:right="113"/>
              <w:jc w:val="center"/>
              <w:textAlignment w:val="baseline"/>
              <w:rPr>
                <w:rFonts w:ascii="Georgia" w:hAnsi="Georgia"/>
                <w:b/>
                <w:sz w:val="20"/>
                <w:szCs w:val="20"/>
              </w:rPr>
            </w:pPr>
            <w:r w:rsidRPr="00656F92">
              <w:rPr>
                <w:rFonts w:ascii="Georgia" w:hAnsi="Georgia"/>
                <w:b/>
                <w:smallCaps/>
                <w:sz w:val="20"/>
                <w:szCs w:val="20"/>
              </w:rPr>
              <w:t>souscription du contrat</w:t>
            </w:r>
          </w:p>
        </w:tc>
        <w:tc>
          <w:tcPr>
            <w:tcW w:w="1984" w:type="dxa"/>
            <w:shd w:val="clear" w:color="auto" w:fill="DBE5F1" w:themeFill="accent1" w:themeFillTint="33"/>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p>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r w:rsidRPr="00656F92">
              <w:rPr>
                <w:rFonts w:ascii="Georgia" w:hAnsi="Georgia"/>
                <w:sz w:val="20"/>
                <w:szCs w:val="20"/>
              </w:rPr>
              <w:t>Versement initial</w:t>
            </w: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p>
        </w:tc>
        <w:tc>
          <w:tcPr>
            <w:tcW w:w="624" w:type="dxa"/>
            <w:vMerge w:val="restart"/>
            <w:shd w:val="clear" w:color="auto" w:fill="auto"/>
            <w:textDirection w:val="btLr"/>
            <w:vAlign w:val="center"/>
          </w:tcPr>
          <w:p w:rsidR="00374206" w:rsidRPr="00656F92" w:rsidRDefault="00374206" w:rsidP="00656F92">
            <w:pPr>
              <w:pStyle w:val="u-has-note"/>
              <w:spacing w:before="0" w:beforeAutospacing="0" w:after="0" w:afterAutospacing="0"/>
              <w:ind w:left="113" w:right="113"/>
              <w:jc w:val="center"/>
              <w:textAlignment w:val="baseline"/>
              <w:rPr>
                <w:rFonts w:ascii="Georgia" w:hAnsi="Georgia"/>
                <w:b/>
                <w:sz w:val="20"/>
                <w:szCs w:val="20"/>
              </w:rPr>
            </w:pPr>
            <w:r w:rsidRPr="00656F92">
              <w:rPr>
                <w:rFonts w:ascii="Georgia" w:hAnsi="Georgia"/>
                <w:b/>
                <w:smallCaps/>
                <w:sz w:val="20"/>
                <w:szCs w:val="20"/>
              </w:rPr>
              <w:t>vie du contrat</w:t>
            </w:r>
          </w:p>
        </w:tc>
        <w:tc>
          <w:tcPr>
            <w:tcW w:w="2268" w:type="dxa"/>
            <w:shd w:val="clear" w:color="auto" w:fill="95B3D7" w:themeFill="accent1" w:themeFillTint="99"/>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r w:rsidRPr="00656F92">
              <w:rPr>
                <w:rFonts w:ascii="Georgia" w:hAnsi="Georgia"/>
                <w:sz w:val="20"/>
                <w:szCs w:val="20"/>
              </w:rPr>
              <w:t>Versements complémentaires</w:t>
            </w: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p>
        </w:tc>
        <w:tc>
          <w:tcPr>
            <w:tcW w:w="624" w:type="dxa"/>
            <w:vMerge w:val="restart"/>
            <w:shd w:val="clear" w:color="auto" w:fill="auto"/>
            <w:textDirection w:val="btLr"/>
            <w:vAlign w:val="center"/>
          </w:tcPr>
          <w:p w:rsidR="00374206" w:rsidRPr="00656F92" w:rsidRDefault="00374206" w:rsidP="00656F92">
            <w:pPr>
              <w:pStyle w:val="u-has-note"/>
              <w:spacing w:before="0" w:beforeAutospacing="0" w:after="0" w:afterAutospacing="0"/>
              <w:ind w:left="113" w:right="113"/>
              <w:jc w:val="center"/>
              <w:textAlignment w:val="baseline"/>
              <w:rPr>
                <w:rFonts w:ascii="Georgia" w:hAnsi="Georgia"/>
                <w:b/>
                <w:sz w:val="20"/>
                <w:szCs w:val="20"/>
              </w:rPr>
            </w:pPr>
            <w:r w:rsidRPr="00656F92">
              <w:rPr>
                <w:rFonts w:ascii="Georgia" w:hAnsi="Georgia"/>
                <w:b/>
                <w:smallCaps/>
                <w:sz w:val="20"/>
                <w:szCs w:val="20"/>
              </w:rPr>
              <w:t>décès du souscripteur</w:t>
            </w:r>
          </w:p>
        </w:tc>
        <w:tc>
          <w:tcPr>
            <w:tcW w:w="2211" w:type="dxa"/>
            <w:vMerge w:val="restart"/>
            <w:shd w:val="clear" w:color="auto" w:fill="4632EB"/>
            <w:vAlign w:val="center"/>
          </w:tcPr>
          <w:p w:rsidR="00374206" w:rsidRPr="00656F92" w:rsidRDefault="00374206" w:rsidP="00656F92">
            <w:pPr>
              <w:pStyle w:val="u-has-note"/>
              <w:spacing w:before="0" w:beforeAutospacing="0" w:after="0" w:afterAutospacing="0" w:line="360" w:lineRule="auto"/>
              <w:jc w:val="both"/>
              <w:textAlignment w:val="baseline"/>
              <w:rPr>
                <w:rFonts w:ascii="Georgia" w:hAnsi="Georgia"/>
                <w:color w:val="FFFFFF" w:themeColor="background1"/>
                <w:sz w:val="20"/>
                <w:szCs w:val="20"/>
              </w:rPr>
            </w:pPr>
            <w:r w:rsidRPr="00656F92">
              <w:rPr>
                <w:rFonts w:ascii="Georgia" w:hAnsi="Georgia"/>
                <w:color w:val="FFFFFF" w:themeColor="background1"/>
                <w:sz w:val="20"/>
                <w:szCs w:val="20"/>
              </w:rPr>
              <w:t>Contrat intégré à la succession du souscripteur et taxé selon le lien de parenté avec les héritiers</w:t>
            </w:r>
          </w:p>
        </w:tc>
      </w:tr>
      <w:tr w:rsidR="00374206" w:rsidRPr="00656F92" w:rsidTr="00374206">
        <w:trPr>
          <w:cantSplit/>
          <w:trHeight w:val="567"/>
        </w:trPr>
        <w:tc>
          <w:tcPr>
            <w:tcW w:w="624" w:type="dxa"/>
            <w:vMerge/>
            <w:shd w:val="clear" w:color="auto" w:fill="FFFFFF" w:themeFill="background1"/>
          </w:tcPr>
          <w:p w:rsidR="00374206" w:rsidRPr="00656F92" w:rsidRDefault="00374206" w:rsidP="00656F92">
            <w:pPr>
              <w:pStyle w:val="u-has-note"/>
              <w:spacing w:before="0" w:beforeAutospacing="0" w:after="0" w:afterAutospacing="0"/>
              <w:textAlignment w:val="baseline"/>
              <w:rPr>
                <w:rFonts w:ascii="Georgia" w:hAnsi="Georgia"/>
                <w:sz w:val="20"/>
                <w:szCs w:val="20"/>
              </w:rPr>
            </w:pPr>
          </w:p>
        </w:tc>
        <w:tc>
          <w:tcPr>
            <w:tcW w:w="1984" w:type="dxa"/>
            <w:shd w:val="clear" w:color="auto" w:fill="DBE5F1" w:themeFill="accent1" w:themeFillTint="33"/>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r w:rsidRPr="00656F92">
              <w:rPr>
                <w:rFonts w:ascii="Georgia" w:hAnsi="Georgia"/>
                <w:sz w:val="20"/>
                <w:szCs w:val="20"/>
              </w:rPr>
              <w:t>Choix des supports</w:t>
            </w: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r w:rsidRPr="00656F92">
              <w:rPr>
                <w:sz w:val="20"/>
                <w:szCs w:val="20"/>
              </w:rPr>
              <w:t>→</w:t>
            </w:r>
          </w:p>
        </w:tc>
        <w:tc>
          <w:tcPr>
            <w:tcW w:w="624" w:type="dxa"/>
            <w:vMerge/>
            <w:shd w:val="clear" w:color="auto" w:fill="auto"/>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p>
        </w:tc>
        <w:tc>
          <w:tcPr>
            <w:tcW w:w="2268" w:type="dxa"/>
            <w:shd w:val="clear" w:color="auto" w:fill="95B3D7" w:themeFill="accent1" w:themeFillTint="99"/>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r w:rsidRPr="00656F92">
              <w:rPr>
                <w:rFonts w:ascii="Georgia" w:hAnsi="Georgia"/>
                <w:sz w:val="20"/>
                <w:szCs w:val="20"/>
              </w:rPr>
              <w:t>Arbitrages</w:t>
            </w: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r w:rsidRPr="00656F92">
              <w:rPr>
                <w:sz w:val="20"/>
                <w:szCs w:val="20"/>
              </w:rPr>
              <w:t>→</w:t>
            </w:r>
          </w:p>
        </w:tc>
        <w:tc>
          <w:tcPr>
            <w:tcW w:w="624" w:type="dxa"/>
            <w:vMerge/>
            <w:shd w:val="clear" w:color="auto" w:fill="auto"/>
          </w:tcPr>
          <w:p w:rsidR="00374206" w:rsidRPr="00656F92" w:rsidRDefault="00374206" w:rsidP="00656F92">
            <w:pPr>
              <w:pStyle w:val="u-has-note"/>
              <w:spacing w:before="0" w:beforeAutospacing="0" w:after="0" w:afterAutospacing="0"/>
              <w:jc w:val="center"/>
              <w:textAlignment w:val="baseline"/>
              <w:rPr>
                <w:rFonts w:ascii="Georgia" w:hAnsi="Georgia"/>
                <w:sz w:val="20"/>
                <w:szCs w:val="20"/>
              </w:rPr>
            </w:pPr>
          </w:p>
        </w:tc>
        <w:tc>
          <w:tcPr>
            <w:tcW w:w="2211" w:type="dxa"/>
            <w:vMerge/>
            <w:shd w:val="clear" w:color="auto" w:fill="4632EB"/>
            <w:vAlign w:val="center"/>
          </w:tcPr>
          <w:p w:rsidR="00374206" w:rsidRPr="00656F92" w:rsidRDefault="00374206" w:rsidP="00656F92">
            <w:pPr>
              <w:pStyle w:val="u-has-note"/>
              <w:spacing w:before="0" w:beforeAutospacing="0" w:after="0" w:afterAutospacing="0" w:line="360" w:lineRule="auto"/>
              <w:jc w:val="both"/>
              <w:textAlignment w:val="baseline"/>
              <w:rPr>
                <w:rFonts w:ascii="Georgia" w:hAnsi="Georgia"/>
                <w:color w:val="FFFFFF" w:themeColor="background1"/>
                <w:sz w:val="20"/>
                <w:szCs w:val="20"/>
              </w:rPr>
            </w:pPr>
          </w:p>
        </w:tc>
      </w:tr>
      <w:tr w:rsidR="00374206" w:rsidRPr="00656F92" w:rsidTr="00374206">
        <w:trPr>
          <w:cantSplit/>
          <w:trHeight w:val="567"/>
        </w:trPr>
        <w:tc>
          <w:tcPr>
            <w:tcW w:w="624" w:type="dxa"/>
            <w:vMerge/>
            <w:shd w:val="clear" w:color="auto" w:fill="FFFFFF" w:themeFill="background1"/>
          </w:tcPr>
          <w:p w:rsidR="00374206" w:rsidRPr="00656F92" w:rsidRDefault="00374206" w:rsidP="00656F92">
            <w:pPr>
              <w:pStyle w:val="u-has-note"/>
              <w:spacing w:before="0" w:beforeAutospacing="0" w:after="0" w:afterAutospacing="0"/>
              <w:textAlignment w:val="baseline"/>
              <w:rPr>
                <w:rFonts w:ascii="Georgia" w:hAnsi="Georgia"/>
                <w:sz w:val="20"/>
                <w:szCs w:val="20"/>
              </w:rPr>
            </w:pPr>
          </w:p>
        </w:tc>
        <w:tc>
          <w:tcPr>
            <w:tcW w:w="1984" w:type="dxa"/>
            <w:shd w:val="clear" w:color="auto" w:fill="DBE5F1" w:themeFill="accent1" w:themeFillTint="33"/>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p>
        </w:tc>
        <w:tc>
          <w:tcPr>
            <w:tcW w:w="624" w:type="dxa"/>
            <w:vMerge/>
            <w:shd w:val="clear" w:color="auto" w:fill="auto"/>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p>
        </w:tc>
        <w:tc>
          <w:tcPr>
            <w:tcW w:w="2268" w:type="dxa"/>
            <w:shd w:val="clear" w:color="auto" w:fill="95B3D7" w:themeFill="accent1" w:themeFillTint="99"/>
            <w:vAlign w:val="center"/>
          </w:tcPr>
          <w:p w:rsidR="00374206" w:rsidRPr="00656F92" w:rsidRDefault="00374206" w:rsidP="00656F92">
            <w:pPr>
              <w:pStyle w:val="u-has-note"/>
              <w:spacing w:before="0" w:beforeAutospacing="0" w:after="0" w:afterAutospacing="0" w:line="360" w:lineRule="auto"/>
              <w:textAlignment w:val="baseline"/>
              <w:rPr>
                <w:rFonts w:ascii="Georgia" w:hAnsi="Georgia"/>
                <w:sz w:val="20"/>
                <w:szCs w:val="20"/>
              </w:rPr>
            </w:pPr>
            <w:r w:rsidRPr="00656F92">
              <w:rPr>
                <w:rFonts w:ascii="Georgia" w:hAnsi="Georgia"/>
                <w:sz w:val="20"/>
                <w:szCs w:val="20"/>
              </w:rPr>
              <w:t>Rachats (programmés, partiels ou total)</w:t>
            </w:r>
          </w:p>
        </w:tc>
        <w:tc>
          <w:tcPr>
            <w:tcW w:w="454" w:type="dxa"/>
            <w:vAlign w:val="center"/>
          </w:tcPr>
          <w:p w:rsidR="00374206" w:rsidRPr="00656F92" w:rsidRDefault="00374206" w:rsidP="00656F92">
            <w:pPr>
              <w:pStyle w:val="u-has-note"/>
              <w:spacing w:before="0" w:beforeAutospacing="0" w:after="0" w:afterAutospacing="0" w:line="360" w:lineRule="auto"/>
              <w:jc w:val="center"/>
              <w:textAlignment w:val="baseline"/>
              <w:rPr>
                <w:rFonts w:ascii="Georgia" w:hAnsi="Georgia"/>
                <w:sz w:val="20"/>
                <w:szCs w:val="20"/>
              </w:rPr>
            </w:pPr>
          </w:p>
        </w:tc>
        <w:tc>
          <w:tcPr>
            <w:tcW w:w="624" w:type="dxa"/>
            <w:vMerge/>
            <w:shd w:val="clear" w:color="auto" w:fill="auto"/>
          </w:tcPr>
          <w:p w:rsidR="00374206" w:rsidRPr="00656F92" w:rsidRDefault="00374206" w:rsidP="00656F92">
            <w:pPr>
              <w:pStyle w:val="u-has-note"/>
              <w:spacing w:before="0" w:beforeAutospacing="0" w:after="0" w:afterAutospacing="0"/>
              <w:jc w:val="center"/>
              <w:textAlignment w:val="baseline"/>
              <w:rPr>
                <w:rFonts w:ascii="Georgia" w:hAnsi="Georgia"/>
                <w:sz w:val="20"/>
                <w:szCs w:val="20"/>
              </w:rPr>
            </w:pPr>
          </w:p>
        </w:tc>
        <w:tc>
          <w:tcPr>
            <w:tcW w:w="2211" w:type="dxa"/>
            <w:vMerge/>
            <w:shd w:val="clear" w:color="auto" w:fill="4632EB"/>
            <w:vAlign w:val="center"/>
          </w:tcPr>
          <w:p w:rsidR="00374206" w:rsidRPr="00656F92" w:rsidRDefault="00374206" w:rsidP="00656F92">
            <w:pPr>
              <w:pStyle w:val="u-has-note"/>
              <w:spacing w:before="0" w:beforeAutospacing="0" w:after="0" w:afterAutospacing="0" w:line="360" w:lineRule="auto"/>
              <w:jc w:val="both"/>
              <w:textAlignment w:val="baseline"/>
              <w:rPr>
                <w:rFonts w:ascii="Georgia" w:hAnsi="Georgia"/>
                <w:color w:val="FFFFFF" w:themeColor="background1"/>
                <w:sz w:val="20"/>
                <w:szCs w:val="20"/>
              </w:rPr>
            </w:pPr>
          </w:p>
        </w:tc>
      </w:tr>
    </w:tbl>
    <w:p w:rsidR="00F92C88" w:rsidRDefault="00E03085" w:rsidP="0046115C">
      <w:pPr>
        <w:spacing w:after="0" w:line="360" w:lineRule="auto"/>
        <w:jc w:val="both"/>
      </w:pPr>
      <w:r>
        <w:rPr>
          <w:noProof/>
          <w:color w:val="FFFFFF" w:themeColor="background1"/>
          <w:lang w:eastAsia="fr-FR"/>
        </w:rPr>
        <w:lastRenderedPageBreak/>
        <w:drawing>
          <wp:anchor distT="0" distB="0" distL="114300" distR="114300" simplePos="0" relativeHeight="251681792" behindDoc="1" locked="0" layoutInCell="1" allowOverlap="1" wp14:anchorId="2E30CE28" wp14:editId="2161A681">
            <wp:simplePos x="0" y="0"/>
            <wp:positionH relativeFrom="column">
              <wp:posOffset>-8255</wp:posOffset>
            </wp:positionH>
            <wp:positionV relativeFrom="paragraph">
              <wp:posOffset>163195</wp:posOffset>
            </wp:positionV>
            <wp:extent cx="323850" cy="323850"/>
            <wp:effectExtent l="0" t="0" r="0" b="0"/>
            <wp:wrapTight wrapText="bothSides">
              <wp:wrapPolygon edited="0">
                <wp:start x="13976" y="0"/>
                <wp:lineTo x="0" y="2541"/>
                <wp:lineTo x="0" y="17788"/>
                <wp:lineTo x="1271" y="20329"/>
                <wp:lineTo x="16518" y="20329"/>
                <wp:lineTo x="20329" y="12706"/>
                <wp:lineTo x="20329" y="0"/>
                <wp:lineTo x="13976"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cib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9707B1" w:rsidRPr="00613616" w:rsidRDefault="00CD1BDB" w:rsidP="0046115C">
      <w:pPr>
        <w:pStyle w:val="Titre1"/>
        <w:spacing w:after="0" w:line="360" w:lineRule="auto"/>
      </w:pPr>
      <w:r w:rsidRPr="00613616">
        <w:t>Exemple</w:t>
      </w:r>
    </w:p>
    <w:p w:rsidR="00CD1BDB" w:rsidRPr="00613616" w:rsidRDefault="00E03085" w:rsidP="0046115C">
      <w:pPr>
        <w:spacing w:after="0" w:line="360" w:lineRule="auto"/>
        <w:jc w:val="both"/>
      </w:pPr>
      <w:r w:rsidRPr="00613616">
        <w:rPr>
          <w:noProof/>
          <w:lang w:eastAsia="fr-FR"/>
        </w:rPr>
        <w:drawing>
          <wp:anchor distT="0" distB="0" distL="114300" distR="114300" simplePos="0" relativeHeight="251667456" behindDoc="1" locked="0" layoutInCell="1" allowOverlap="1" wp14:anchorId="20F38544" wp14:editId="394C4956">
            <wp:simplePos x="0" y="0"/>
            <wp:positionH relativeFrom="column">
              <wp:posOffset>-9525</wp:posOffset>
            </wp:positionH>
            <wp:positionV relativeFrom="paragraph">
              <wp:posOffset>30480</wp:posOffset>
            </wp:positionV>
            <wp:extent cx="429260" cy="429260"/>
            <wp:effectExtent l="0" t="0" r="8890" b="8890"/>
            <wp:wrapTight wrapText="bothSides">
              <wp:wrapPolygon edited="0">
                <wp:start x="4793" y="0"/>
                <wp:lineTo x="0" y="2876"/>
                <wp:lineTo x="0" y="15337"/>
                <wp:lineTo x="2876" y="21089"/>
                <wp:lineTo x="4793" y="21089"/>
                <wp:lineTo x="16296" y="21089"/>
                <wp:lineTo x="18213" y="21089"/>
                <wp:lineTo x="21089" y="15337"/>
                <wp:lineTo x="21089" y="2876"/>
                <wp:lineTo x="16296" y="0"/>
                <wp:lineTo x="4793" y="0"/>
              </wp:wrapPolygon>
            </wp:wrapTight>
            <wp:docPr id="13" name="Image 13" descr="C:\Users\m.poncelet\AppData\Local\Microsoft\Windows\INetCache\Content.Word\Personnage - m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oncelet\AppData\Local\Microsoft\Windows\INetCache\Content.Word\Personnage - men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BDB" w:rsidRPr="00613616">
        <w:t xml:space="preserve">James est divorcé, il vient de vendre sa maison de vacances et dispose de 225 000 €. Il a </w:t>
      </w:r>
      <w:r w:rsidR="00613616" w:rsidRPr="00613616">
        <w:t>73</w:t>
      </w:r>
      <w:r w:rsidR="00CD1BDB" w:rsidRPr="00613616">
        <w:t xml:space="preserve"> ans, est retraité et à 2 enfants. Il souhaite investir cette somme sans la bloquer car il pourrait avoir besoin d’une partie pour boucler son budget en complément de sa pension de retraite. </w:t>
      </w:r>
    </w:p>
    <w:p w:rsidR="00CD1BDB" w:rsidRDefault="00CD1BDB" w:rsidP="0046115C">
      <w:pPr>
        <w:spacing w:after="0" w:line="360" w:lineRule="auto"/>
        <w:jc w:val="both"/>
      </w:pPr>
      <w:r w:rsidRPr="00613616">
        <w:t xml:space="preserve">Il ouvre un contrat </w:t>
      </w:r>
      <w:r w:rsidR="00613616" w:rsidRPr="00613616">
        <w:t>de capitalisation</w:t>
      </w:r>
      <w:r w:rsidRPr="00613616">
        <w:t xml:space="preserve"> et verse la totalité de la somme, soit 225 000 €. Son conseiller a déterminé son profil investisseur et son épargne est investie à 60 % sur le fonds en euros (capital garanti) et pour 40 % sur des unités de compte. Le rendement </w:t>
      </w:r>
      <w:r w:rsidR="00EE796F">
        <w:t xml:space="preserve">moyen </w:t>
      </w:r>
      <w:r w:rsidRPr="00613616">
        <w:t xml:space="preserve">annuel est de 3 %. James a mis en place des rachats programmés de </w:t>
      </w:r>
      <w:r w:rsidR="00613616">
        <w:t>550</w:t>
      </w:r>
      <w:r w:rsidRPr="00613616">
        <w:t xml:space="preserve"> € par mois</w:t>
      </w:r>
      <w:r w:rsidR="00613616" w:rsidRPr="00613616">
        <w:t xml:space="preserve"> (</w:t>
      </w:r>
      <w:r w:rsidR="009359FA">
        <w:t xml:space="preserve">correspondant </w:t>
      </w:r>
      <w:r w:rsidR="00613616" w:rsidRPr="00613616">
        <w:t>au rendement du contrat)</w:t>
      </w:r>
      <w:r w:rsidRPr="00613616">
        <w:t xml:space="preserve">. </w:t>
      </w:r>
    </w:p>
    <w:p w:rsidR="00613616" w:rsidRDefault="00613616" w:rsidP="0046115C">
      <w:pPr>
        <w:spacing w:after="0" w:line="360" w:lineRule="auto"/>
        <w:jc w:val="both"/>
      </w:pPr>
      <w:r>
        <w:t>James décède à 90 ans</w:t>
      </w:r>
      <w:r w:rsidR="009359FA">
        <w:t xml:space="preserve"> (+17 ans)</w:t>
      </w:r>
      <w:r>
        <w:t xml:space="preserve">, sans avoir consommé l’épargne de son contrat de capitalisation. </w:t>
      </w:r>
    </w:p>
    <w:p w:rsidR="00613616" w:rsidRPr="00613616" w:rsidRDefault="00613616" w:rsidP="0046115C">
      <w:pPr>
        <w:spacing w:after="0" w:line="360" w:lineRule="auto"/>
        <w:jc w:val="both"/>
      </w:pPr>
    </w:p>
    <w:p w:rsidR="00613616" w:rsidRPr="00613616" w:rsidRDefault="00613616" w:rsidP="0046115C">
      <w:pPr>
        <w:spacing w:after="0" w:line="360" w:lineRule="auto"/>
        <w:jc w:val="both"/>
      </w:pPr>
      <w:r w:rsidRPr="00613616">
        <w:rPr>
          <w:b/>
        </w:rPr>
        <w:t>Si rien n’est fait</w:t>
      </w:r>
      <w:r w:rsidRPr="00613616">
        <w:t>, lors de son décès, le co</w:t>
      </w:r>
      <w:r>
        <w:t xml:space="preserve">ntrat de capitalisation </w:t>
      </w:r>
      <w:r w:rsidRPr="00613616">
        <w:t xml:space="preserve">sera intégré dans sa succession et taxé selon le barème des droits de succession. Si l’on considère que l’abattement de 100 000 € entre parent et enfants est déjà utilisé pour </w:t>
      </w:r>
      <w:r w:rsidR="009359FA">
        <w:t xml:space="preserve">la transmission de sa </w:t>
      </w:r>
      <w:r w:rsidRPr="00613616">
        <w:t>résidence principale</w:t>
      </w:r>
      <w:r>
        <w:t xml:space="preserve"> par exemple</w:t>
      </w:r>
      <w:r w:rsidRPr="00613616">
        <w:t xml:space="preserve">, le contrat de capitalisation </w:t>
      </w:r>
      <w:r>
        <w:t xml:space="preserve">(estimé à 225 000 €) entrainera des droits de succession </w:t>
      </w:r>
      <w:r w:rsidRPr="00613616">
        <w:t xml:space="preserve">de ±41 500 €. </w:t>
      </w:r>
    </w:p>
    <w:p w:rsidR="00613616" w:rsidRPr="00613616" w:rsidRDefault="00613616" w:rsidP="0046115C">
      <w:pPr>
        <w:spacing w:after="0" w:line="360" w:lineRule="auto"/>
        <w:jc w:val="both"/>
      </w:pPr>
    </w:p>
    <w:p w:rsidR="00613616" w:rsidRDefault="00613616" w:rsidP="0046115C">
      <w:pPr>
        <w:spacing w:after="0" w:line="360" w:lineRule="auto"/>
        <w:jc w:val="both"/>
      </w:pPr>
      <w:r w:rsidRPr="00613616">
        <w:rPr>
          <w:b/>
        </w:rPr>
        <w:t>Si James donne la nue-propriété de son contrat de capitalisation à ses 2 enfants</w:t>
      </w:r>
      <w:r>
        <w:t xml:space="preserve"> (en réalité il devra </w:t>
      </w:r>
      <w:r w:rsidR="009359FA">
        <w:t xml:space="preserve">souscrire 2 contrats identiques </w:t>
      </w:r>
      <w:r>
        <w:t>et donner la nue-propriété d</w:t>
      </w:r>
      <w:r w:rsidR="00EE796F">
        <w:t>’un contrat à chacun d</w:t>
      </w:r>
      <w:r>
        <w:t xml:space="preserve">e ses enfants), lors de son décès, aucune fiscalité ne sera due car le contrat </w:t>
      </w:r>
      <w:r w:rsidR="00EE796F">
        <w:t xml:space="preserve">ayant déjà été transmis, il </w:t>
      </w:r>
      <w:r>
        <w:t xml:space="preserve">ne sera pas intégré dans la succession. </w:t>
      </w:r>
    </w:p>
    <w:p w:rsidR="009707B1" w:rsidRPr="00AC61EF" w:rsidRDefault="00613616" w:rsidP="0046115C">
      <w:pPr>
        <w:spacing w:after="0" w:line="360" w:lineRule="auto"/>
        <w:jc w:val="both"/>
      </w:pPr>
      <w:r>
        <w:t>La donation portera sur la nue-propriété représentant 70 % de la valeur d</w:t>
      </w:r>
      <w:r w:rsidR="005755FC">
        <w:t>e chaque</w:t>
      </w:r>
      <w:r>
        <w:t xml:space="preserve"> contrat, soit </w:t>
      </w:r>
      <w:r w:rsidR="005755FC">
        <w:t>78 750</w:t>
      </w:r>
      <w:r>
        <w:t xml:space="preserve"> €</w:t>
      </w:r>
      <w:r w:rsidR="00656F92">
        <w:t xml:space="preserve"> (= 70 % de </w:t>
      </w:r>
      <w:r w:rsidR="005755FC">
        <w:t>112 500</w:t>
      </w:r>
      <w:r w:rsidR="00656F92">
        <w:t xml:space="preserve"> €)</w:t>
      </w:r>
      <w:r>
        <w:t>. L’abattement pour les donations est de 100 000 € par parent et par enfant, ainsi la donation ne génèrera pas de fiscalité</w:t>
      </w:r>
      <w:r w:rsidR="00656F92">
        <w:t xml:space="preserve"> (et l’abattement sera régénéré pour la succession, +15 ans</w:t>
      </w:r>
      <w:r w:rsidR="009359FA">
        <w:t>, et pourra servir pour la transmission de la résidence principale</w:t>
      </w:r>
      <w:r w:rsidR="00656F92">
        <w:t xml:space="preserve">). </w:t>
      </w:r>
    </w:p>
    <w:sectPr w:rsidR="009707B1" w:rsidRPr="00AC61EF">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389" w:rsidRDefault="00626389" w:rsidP="00AC61EF">
      <w:pPr>
        <w:spacing w:after="0" w:line="240" w:lineRule="auto"/>
      </w:pPr>
      <w:r>
        <w:separator/>
      </w:r>
    </w:p>
  </w:endnote>
  <w:endnote w:type="continuationSeparator" w:id="0">
    <w:p w:rsidR="00626389" w:rsidRDefault="00626389" w:rsidP="00AC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AF8" w:rsidRPr="005825A6" w:rsidRDefault="00A967F7" w:rsidP="005825A6">
    <w:pPr>
      <w:pStyle w:val="En-tte"/>
      <w:jc w:val="right"/>
      <w:rPr>
        <w:rFonts w:ascii="Times New Roman" w:hAnsi="Times New Roman" w:cs="Times New Roman"/>
        <w:sz w:val="20"/>
      </w:rPr>
    </w:pPr>
    <w:sdt>
      <w:sdtPr>
        <w:rPr>
          <w:rFonts w:ascii="Times New Roman" w:hAnsi="Times New Roman" w:cs="Times New Roman"/>
          <w:sz w:val="20"/>
        </w:rPr>
        <w:id w:val="1143239096"/>
        <w:docPartObj>
          <w:docPartGallery w:val="Page Numbers (Bottom of Page)"/>
          <w:docPartUnique/>
        </w:docPartObj>
      </w:sdtPr>
      <w:sdtEndPr/>
      <w:sdtContent>
        <w:r w:rsidR="005825A6" w:rsidRPr="005825A6">
          <w:rPr>
            <w:rFonts w:ascii="Times New Roman" w:hAnsi="Times New Roman" w:cs="Times New Roman"/>
            <w:noProof/>
            <w:sz w:val="20"/>
            <w:lang w:eastAsia="fr-FR"/>
          </w:rPr>
          <mc:AlternateContent>
            <mc:Choice Requires="wps">
              <w:drawing>
                <wp:anchor distT="0" distB="0" distL="114300" distR="114300" simplePos="0" relativeHeight="251659264" behindDoc="0" locked="0" layoutInCell="1" allowOverlap="1" wp14:anchorId="3F8D1C61" wp14:editId="238697A0">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825A6" w:rsidRPr="005825A6" w:rsidRDefault="005825A6">
                              <w:pPr>
                                <w:pBdr>
                                  <w:top w:val="single" w:sz="4" w:space="1" w:color="7F7F7F" w:themeColor="background1" w:themeShade="7F"/>
                                </w:pBdr>
                                <w:jc w:val="center"/>
                                <w:rPr>
                                  <w:color w:val="4632EB"/>
                                </w:rPr>
                              </w:pPr>
                              <w:r w:rsidRPr="005825A6">
                                <w:rPr>
                                  <w:color w:val="4632EB"/>
                                </w:rPr>
                                <w:fldChar w:fldCharType="begin"/>
                              </w:r>
                              <w:r w:rsidRPr="005825A6">
                                <w:rPr>
                                  <w:color w:val="4632EB"/>
                                </w:rPr>
                                <w:instrText>PAGE   \* MERGEFORMAT</w:instrText>
                              </w:r>
                              <w:r w:rsidRPr="005825A6">
                                <w:rPr>
                                  <w:color w:val="4632EB"/>
                                </w:rPr>
                                <w:fldChar w:fldCharType="separate"/>
                              </w:r>
                              <w:r w:rsidR="00B91AB9">
                                <w:rPr>
                                  <w:noProof/>
                                  <w:color w:val="4632EB"/>
                                </w:rPr>
                                <w:t>1</w:t>
                              </w:r>
                              <w:r w:rsidRPr="005825A6">
                                <w:rPr>
                                  <w:color w:val="4632EB"/>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8D1C61"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5825A6" w:rsidRPr="005825A6" w:rsidRDefault="005825A6">
                        <w:pPr>
                          <w:pBdr>
                            <w:top w:val="single" w:sz="4" w:space="1" w:color="7F7F7F" w:themeColor="background1" w:themeShade="7F"/>
                          </w:pBdr>
                          <w:jc w:val="center"/>
                          <w:rPr>
                            <w:color w:val="4632EB"/>
                          </w:rPr>
                        </w:pPr>
                        <w:r w:rsidRPr="005825A6">
                          <w:rPr>
                            <w:color w:val="4632EB"/>
                          </w:rPr>
                          <w:fldChar w:fldCharType="begin"/>
                        </w:r>
                        <w:r w:rsidRPr="005825A6">
                          <w:rPr>
                            <w:color w:val="4632EB"/>
                          </w:rPr>
                          <w:instrText>PAGE   \* MERGEFORMAT</w:instrText>
                        </w:r>
                        <w:r w:rsidRPr="005825A6">
                          <w:rPr>
                            <w:color w:val="4632EB"/>
                          </w:rPr>
                          <w:fldChar w:fldCharType="separate"/>
                        </w:r>
                        <w:r w:rsidR="00B91AB9">
                          <w:rPr>
                            <w:noProof/>
                            <w:color w:val="4632EB"/>
                          </w:rPr>
                          <w:t>1</w:t>
                        </w:r>
                        <w:r w:rsidRPr="005825A6">
                          <w:rPr>
                            <w:color w:val="4632EB"/>
                          </w:rPr>
                          <w:fldChar w:fldCharType="end"/>
                        </w:r>
                      </w:p>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389" w:rsidRDefault="00626389" w:rsidP="00AC61EF">
      <w:pPr>
        <w:spacing w:after="0" w:line="240" w:lineRule="auto"/>
      </w:pPr>
      <w:r>
        <w:separator/>
      </w:r>
    </w:p>
  </w:footnote>
  <w:footnote w:type="continuationSeparator" w:id="0">
    <w:p w:rsidR="00626389" w:rsidRDefault="00626389" w:rsidP="00AC6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1EF" w:rsidRPr="00A41AF8" w:rsidRDefault="00AC61EF" w:rsidP="00AC61EF">
    <w:pPr>
      <w:pStyle w:val="En-tte"/>
      <w:jc w:val="center"/>
      <w:rPr>
        <w:rFonts w:ascii="Times New Roman" w:hAnsi="Times New Roman" w:cs="Times New Roman"/>
        <w:i/>
      </w:rPr>
    </w:pPr>
    <w:r w:rsidRPr="00A41AF8">
      <w:rPr>
        <w:rFonts w:ascii="Times New Roman" w:hAnsi="Times New Roman" w:cs="Times New Roman"/>
        <w:i/>
      </w:rPr>
      <w:t xml:space="preserve">Papier en-tête du </w:t>
    </w:r>
    <w:r w:rsidR="002C7F2E">
      <w:rPr>
        <w:rFonts w:ascii="Times New Roman" w:hAnsi="Times New Roman" w:cs="Times New Roman"/>
        <w:i/>
      </w:rPr>
      <w:t>professionnel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975"/>
    <w:multiLevelType w:val="hybridMultilevel"/>
    <w:tmpl w:val="B9A685E0"/>
    <w:lvl w:ilvl="0" w:tplc="040C0005">
      <w:start w:val="1"/>
      <w:numFmt w:val="bullet"/>
      <w:lvlText w:val=""/>
      <w:lvlJc w:val="left"/>
      <w:pPr>
        <w:ind w:left="720" w:hanging="360"/>
      </w:pPr>
      <w:rPr>
        <w:rFonts w:ascii="Wingdings" w:hAnsi="Wingdings" w:hint="default"/>
      </w:rPr>
    </w:lvl>
    <w:lvl w:ilvl="1" w:tplc="69265F4E">
      <w:numFmt w:val="bullet"/>
      <w:lvlText w:val="•"/>
      <w:lvlJc w:val="left"/>
      <w:pPr>
        <w:ind w:left="1785" w:hanging="705"/>
      </w:pPr>
      <w:rPr>
        <w:rFonts w:ascii="Georgia" w:eastAsiaTheme="minorHAnsi" w:hAnsi="Georgia"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95A5F"/>
    <w:multiLevelType w:val="hybridMultilevel"/>
    <w:tmpl w:val="62C807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E57FC"/>
    <w:multiLevelType w:val="hybridMultilevel"/>
    <w:tmpl w:val="B8589838"/>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3D641C"/>
    <w:multiLevelType w:val="hybridMultilevel"/>
    <w:tmpl w:val="153C11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2E1ECB"/>
    <w:multiLevelType w:val="hybridMultilevel"/>
    <w:tmpl w:val="1EE0B9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E5125A"/>
    <w:multiLevelType w:val="hybridMultilevel"/>
    <w:tmpl w:val="5CD49F26"/>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C13801"/>
    <w:multiLevelType w:val="hybridMultilevel"/>
    <w:tmpl w:val="9094FD8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8B32A3"/>
    <w:multiLevelType w:val="hybridMultilevel"/>
    <w:tmpl w:val="93C8D5F2"/>
    <w:lvl w:ilvl="0" w:tplc="5F06BE9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A3417B"/>
    <w:multiLevelType w:val="hybridMultilevel"/>
    <w:tmpl w:val="B218D34C"/>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3502F0"/>
    <w:multiLevelType w:val="hybridMultilevel"/>
    <w:tmpl w:val="9C90C674"/>
    <w:lvl w:ilvl="0" w:tplc="204083DE">
      <w:numFmt w:val="bullet"/>
      <w:lvlText w:val="•"/>
      <w:lvlJc w:val="left"/>
      <w:pPr>
        <w:ind w:left="705" w:hanging="705"/>
      </w:pPr>
      <w:rPr>
        <w:rFonts w:ascii="Georgia" w:eastAsiaTheme="minorHAnsi" w:hAnsi="Georgia"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C8D0224"/>
    <w:multiLevelType w:val="hybridMultilevel"/>
    <w:tmpl w:val="7AD0E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9"/>
  </w:num>
  <w:num w:numId="6">
    <w:abstractNumId w:val="0"/>
  </w:num>
  <w:num w:numId="7">
    <w:abstractNumId w:val="6"/>
  </w:num>
  <w:num w:numId="8">
    <w:abstractNumId w:val="1"/>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1EF"/>
    <w:rsid w:val="0007482E"/>
    <w:rsid w:val="00134112"/>
    <w:rsid w:val="001D050E"/>
    <w:rsid w:val="00202DF4"/>
    <w:rsid w:val="0026601D"/>
    <w:rsid w:val="002B287F"/>
    <w:rsid w:val="002C7F2E"/>
    <w:rsid w:val="00302E48"/>
    <w:rsid w:val="00374206"/>
    <w:rsid w:val="003C6241"/>
    <w:rsid w:val="0046115C"/>
    <w:rsid w:val="00463BC2"/>
    <w:rsid w:val="004740A0"/>
    <w:rsid w:val="004D01B4"/>
    <w:rsid w:val="005755FC"/>
    <w:rsid w:val="005825A6"/>
    <w:rsid w:val="005D3AC2"/>
    <w:rsid w:val="005E7FCA"/>
    <w:rsid w:val="00613616"/>
    <w:rsid w:val="006172BD"/>
    <w:rsid w:val="00626389"/>
    <w:rsid w:val="00656F92"/>
    <w:rsid w:val="006B5D0C"/>
    <w:rsid w:val="007801B2"/>
    <w:rsid w:val="007B1B42"/>
    <w:rsid w:val="008829B6"/>
    <w:rsid w:val="008A5C0E"/>
    <w:rsid w:val="008F21BC"/>
    <w:rsid w:val="009359FA"/>
    <w:rsid w:val="009707B1"/>
    <w:rsid w:val="009A4F05"/>
    <w:rsid w:val="009C3EC8"/>
    <w:rsid w:val="009D386A"/>
    <w:rsid w:val="009F2B9C"/>
    <w:rsid w:val="00A41AF8"/>
    <w:rsid w:val="00A472B0"/>
    <w:rsid w:val="00A82777"/>
    <w:rsid w:val="00A967F7"/>
    <w:rsid w:val="00AC61EF"/>
    <w:rsid w:val="00AE4D53"/>
    <w:rsid w:val="00B91AB9"/>
    <w:rsid w:val="00BE44F8"/>
    <w:rsid w:val="00C27B11"/>
    <w:rsid w:val="00C50DE2"/>
    <w:rsid w:val="00C515E3"/>
    <w:rsid w:val="00CD1BDB"/>
    <w:rsid w:val="00CD4E8D"/>
    <w:rsid w:val="00DD77A9"/>
    <w:rsid w:val="00DF1933"/>
    <w:rsid w:val="00E02EFE"/>
    <w:rsid w:val="00E03085"/>
    <w:rsid w:val="00EE796F"/>
    <w:rsid w:val="00F11B08"/>
    <w:rsid w:val="00F2679A"/>
    <w:rsid w:val="00F678BD"/>
    <w:rsid w:val="00F92C88"/>
    <w:rsid w:val="00FD4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458474"/>
  <w15:docId w15:val="{5524BF03-5898-4E9E-A785-7BA202E7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1EF"/>
    <w:rPr>
      <w:rFonts w:ascii="Georgia" w:hAnsi="Georgia"/>
    </w:rPr>
  </w:style>
  <w:style w:type="paragraph" w:styleId="Titre1">
    <w:name w:val="heading 1"/>
    <w:basedOn w:val="Normal"/>
    <w:next w:val="Normal"/>
    <w:link w:val="Titre1Car"/>
    <w:uiPriority w:val="9"/>
    <w:qFormat/>
    <w:rsid w:val="00AC61EF"/>
    <w:pPr>
      <w:outlineLvl w:val="0"/>
    </w:pPr>
    <w:rPr>
      <w:color w:val="4632E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61EF"/>
    <w:pPr>
      <w:tabs>
        <w:tab w:val="center" w:pos="4536"/>
        <w:tab w:val="right" w:pos="9072"/>
      </w:tabs>
      <w:spacing w:after="0" w:line="240" w:lineRule="auto"/>
    </w:pPr>
  </w:style>
  <w:style w:type="character" w:customStyle="1" w:styleId="En-tteCar">
    <w:name w:val="En-tête Car"/>
    <w:basedOn w:val="Policepardfaut"/>
    <w:link w:val="En-tte"/>
    <w:uiPriority w:val="99"/>
    <w:rsid w:val="00AC61EF"/>
  </w:style>
  <w:style w:type="paragraph" w:styleId="Pieddepage">
    <w:name w:val="footer"/>
    <w:basedOn w:val="Normal"/>
    <w:link w:val="PieddepageCar"/>
    <w:uiPriority w:val="99"/>
    <w:unhideWhenUsed/>
    <w:rsid w:val="00AC6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1EF"/>
  </w:style>
  <w:style w:type="table" w:styleId="Grilledutableau">
    <w:name w:val="Table Grid"/>
    <w:basedOn w:val="TableauNormal"/>
    <w:uiPriority w:val="59"/>
    <w:rsid w:val="00AC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C61EF"/>
    <w:rPr>
      <w:rFonts w:ascii="Georgia" w:hAnsi="Georgia"/>
      <w:color w:val="4632EB"/>
      <w:sz w:val="28"/>
    </w:rPr>
  </w:style>
  <w:style w:type="paragraph" w:styleId="Textedebulles">
    <w:name w:val="Balloon Text"/>
    <w:basedOn w:val="Normal"/>
    <w:link w:val="TextedebullesCar"/>
    <w:uiPriority w:val="99"/>
    <w:semiHidden/>
    <w:unhideWhenUsed/>
    <w:rsid w:val="00302E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E48"/>
    <w:rPr>
      <w:rFonts w:ascii="Tahoma" w:hAnsi="Tahoma" w:cs="Tahoma"/>
      <w:sz w:val="16"/>
      <w:szCs w:val="16"/>
    </w:rPr>
  </w:style>
  <w:style w:type="paragraph" w:customStyle="1" w:styleId="u-has-note">
    <w:name w:val="u-has-note"/>
    <w:basedOn w:val="Normal"/>
    <w:rsid w:val="00302E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2679A"/>
    <w:pPr>
      <w:ind w:left="720"/>
      <w:contextualSpacing/>
    </w:pPr>
  </w:style>
  <w:style w:type="paragraph" w:styleId="Lgende">
    <w:name w:val="caption"/>
    <w:basedOn w:val="Normal"/>
    <w:next w:val="Normal"/>
    <w:uiPriority w:val="35"/>
    <w:unhideWhenUsed/>
    <w:qFormat/>
    <w:rsid w:val="009707B1"/>
    <w:pPr>
      <w:spacing w:line="240" w:lineRule="auto"/>
    </w:pPr>
    <w:rPr>
      <w:b/>
      <w:bCs/>
      <w:color w:val="4F81BD" w:themeColor="accent1"/>
      <w:sz w:val="18"/>
      <w:szCs w:val="18"/>
    </w:rPr>
  </w:style>
  <w:style w:type="character" w:styleId="Marquedecommentaire">
    <w:name w:val="annotation reference"/>
    <w:basedOn w:val="Policepardfaut"/>
    <w:uiPriority w:val="99"/>
    <w:semiHidden/>
    <w:unhideWhenUsed/>
    <w:rsid w:val="00EE796F"/>
    <w:rPr>
      <w:sz w:val="16"/>
      <w:szCs w:val="16"/>
    </w:rPr>
  </w:style>
  <w:style w:type="paragraph" w:styleId="Commentaire">
    <w:name w:val="annotation text"/>
    <w:basedOn w:val="Normal"/>
    <w:link w:val="CommentaireCar"/>
    <w:uiPriority w:val="99"/>
    <w:semiHidden/>
    <w:unhideWhenUsed/>
    <w:rsid w:val="00EE796F"/>
    <w:pPr>
      <w:spacing w:line="240" w:lineRule="auto"/>
    </w:pPr>
    <w:rPr>
      <w:sz w:val="20"/>
      <w:szCs w:val="20"/>
    </w:rPr>
  </w:style>
  <w:style w:type="character" w:customStyle="1" w:styleId="CommentaireCar">
    <w:name w:val="Commentaire Car"/>
    <w:basedOn w:val="Policepardfaut"/>
    <w:link w:val="Commentaire"/>
    <w:uiPriority w:val="99"/>
    <w:semiHidden/>
    <w:rsid w:val="00EE796F"/>
    <w:rPr>
      <w:rFonts w:ascii="Georgia" w:hAnsi="Georgia"/>
      <w:sz w:val="20"/>
      <w:szCs w:val="20"/>
    </w:rPr>
  </w:style>
  <w:style w:type="paragraph" w:styleId="Objetducommentaire">
    <w:name w:val="annotation subject"/>
    <w:basedOn w:val="Commentaire"/>
    <w:next w:val="Commentaire"/>
    <w:link w:val="ObjetducommentaireCar"/>
    <w:uiPriority w:val="99"/>
    <w:semiHidden/>
    <w:unhideWhenUsed/>
    <w:rsid w:val="00EE796F"/>
    <w:rPr>
      <w:b/>
      <w:bCs/>
    </w:rPr>
  </w:style>
  <w:style w:type="character" w:customStyle="1" w:styleId="ObjetducommentaireCar">
    <w:name w:val="Objet du commentaire Car"/>
    <w:basedOn w:val="CommentaireCar"/>
    <w:link w:val="Objetducommentaire"/>
    <w:uiPriority w:val="99"/>
    <w:semiHidden/>
    <w:rsid w:val="00EE796F"/>
    <w:rPr>
      <w:rFonts w:ascii="Georgia" w:hAnsi="Georgia"/>
      <w:b/>
      <w:bCs/>
      <w:sz w:val="20"/>
      <w:szCs w:val="20"/>
    </w:rPr>
  </w:style>
  <w:style w:type="paragraph" w:styleId="Rvision">
    <w:name w:val="Revision"/>
    <w:hidden/>
    <w:uiPriority w:val="99"/>
    <w:semiHidden/>
    <w:rsid w:val="00EE796F"/>
    <w:pPr>
      <w:spacing w:after="0" w:line="240"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1140</Words>
  <Characters>6275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Poncelet</dc:creator>
  <cp:lastModifiedBy>Marion THIBAULT</cp:lastModifiedBy>
  <cp:revision>5</cp:revision>
  <cp:lastPrinted>2020-02-13T08:42:00Z</cp:lastPrinted>
  <dcterms:created xsi:type="dcterms:W3CDTF">2020-05-18T14:47:00Z</dcterms:created>
  <dcterms:modified xsi:type="dcterms:W3CDTF">2023-04-04T13:34:00Z</dcterms:modified>
</cp:coreProperties>
</file>