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Comment modifier la clause bénéficiaire d’un contrat d’assurance-vie intégrée dans un testament ?</w:t>
      </w:r>
    </w:p>
    <w:p>
      <w:pPr>
        <w:pStyle w:val="updated-at"/>
        <w:spacing w:before="0" w:after="300" w:line="360" w:lineRule="atLeast"/>
        <w:ind w:left="0" w:right="0"/>
        <w:rPr>
          <w:color w:val="646464"/>
          <w:sz w:val="27"/>
          <w:szCs w:val="27"/>
        </w:rPr>
      </w:pPr>
      <w:r>
        <w:rPr>
          <w:color w:val="646464"/>
          <w:sz w:val="27"/>
          <w:szCs w:val="27"/>
        </w:rPr>
        <w:t>Mis à jour le 23 janv. 2020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Comment modifier la clause bénéficiaire d’un contrat d’assurance-vie intégrée dans un testament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Le mode de désignation initial du bénéficiaire n’a aucune incidence sur les modalités de modification.</w:t>
      </w:r>
      <w:r>
        <w:rPr>
          <w:color w:val="646464"/>
          <w:sz w:val="24"/>
          <w:szCs w:val="24"/>
        </w:rPr>
        <w:br/>
      </w:r>
      <w:hyperlink r:id="rId6" w:tgtFrame="_blank" w:history="1">
        <w:r>
          <w:rPr>
            <w:rStyle w:val="a"/>
            <w:color w:val="4623EB"/>
            <w:sz w:val="24"/>
            <w:szCs w:val="24"/>
          </w:rPr>
          <w:t>Cass. civ. 1, 3 avr. 2019, n°18-14640</w:t>
        </w:r>
      </w:hyperlink>
      <w:r>
        <w:rPr>
          <w:rStyle w:val="a"/>
          <w:color w:val="4623EB"/>
          <w:sz w:val="24"/>
          <w:szCs w:val="24"/>
        </w:rPr>
        <w:br/>
      </w:r>
      <w:r>
        <w:rPr>
          <w:color w:val="646464"/>
          <w:sz w:val="24"/>
          <w:szCs w:val="24"/>
        </w:rPr>
        <w:t> </w:t>
      </w:r>
      <w:r>
        <w:rPr>
          <w:color w:val="646464"/>
          <w:sz w:val="24"/>
          <w:szCs w:val="24"/>
        </w:rPr>
        <w:br/>
      </w:r>
      <w:r>
        <w:rPr>
          <w:color w:val="646464"/>
          <w:sz w:val="24"/>
          <w:szCs w:val="24"/>
        </w:rPr>
        <w:t xml:space="preserve">Il est possible toujours possible de modifier la clause bénéficiaire d’un contrat d’assurance vie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soit par un avenant au contrat,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soit par une désignation écrite sur papier libre (sans les contraintes d’un testament) ;</w:t>
      </w:r>
    </w:p>
    <w:p>
      <w:pPr>
        <w:numPr>
          <w:ilvl w:val="0"/>
          <w:numId w:val="29"/>
        </w:numPr>
        <w:spacing w:after="240" w:line="330" w:lineRule="atLeast"/>
        <w:ind w:left="720" w:right="0" w:hanging="360"/>
        <w:jc w:val="left"/>
        <w:rPr>
          <w:color w:val="646464"/>
          <w:sz w:val="24"/>
          <w:szCs w:val="24"/>
        </w:rPr>
      </w:pPr>
      <w:r>
        <w:rPr>
          <w:color w:val="646464"/>
          <w:sz w:val="24"/>
          <w:szCs w:val="24"/>
        </w:rPr>
        <w:t>soit par un testament, authentique ou non.</w:t>
      </w:r>
    </w:p>
    <w:p>
      <w:pPr>
        <w:pStyle w:val="content"/>
        <w:spacing w:line="330" w:lineRule="atLeast"/>
        <w:rPr>
          <w:color w:val="646464"/>
          <w:sz w:val="24"/>
          <w:szCs w:val="24"/>
        </w:rPr>
      </w:pPr>
      <w:r>
        <w:rPr>
          <w:color w:val="646464"/>
          <w:sz w:val="24"/>
          <w:szCs w:val="24"/>
        </w:rPr>
        <w:t>C. ass. art. L. 132-8, al. 6</w:t>
      </w:r>
      <w:r>
        <w:rPr>
          <w:color w:val="646464"/>
          <w:sz w:val="24"/>
          <w:szCs w:val="24"/>
        </w:rPr>
        <w:br/>
      </w:r>
      <w:r>
        <w:rPr>
          <w:color w:val="646464"/>
          <w:sz w:val="24"/>
          <w:szCs w:val="24"/>
        </w:rPr>
        <w:t xml:space="preserve">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modification du bénéficiaire peut intervenir par voie d’avenant au contrat alors même que la désignation initiale a été effectuée par testament authentique.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L'information de la compagnie d'assurance, n'est pas nécessaire à la validité de la désignation. Mais elle est fortement </w:t>
      </w:r>
      <w:r>
        <w:rPr>
          <w:color w:val="646464"/>
          <w:sz w:val="21"/>
          <w:szCs w:val="21"/>
          <w:u w:val="single" w:color="646464"/>
        </w:rPr>
        <w:t xml:space="preserve">conseillée afin de faciliter le versement des prestations au « bon » bénéficiaire.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effet, l’assureur de bonne foi peut verser les capitaux entre les mains du seul bénéficiaire apparent qu’il connait… Il appartiendra ensuite au vrai bénéficiaire, connu plus tard, de récupérer son dû auprès du premier bénéficiaire.</w:t>
      </w:r>
      <w:r>
        <w:rPr>
          <w:color w:val="646464"/>
          <w:sz w:val="21"/>
          <w:szCs w:val="21"/>
        </w:rPr>
        <w:br/>
      </w:r>
      <w:hyperlink r:id="rId7" w:tgtFrame="_blank" w:history="1">
        <w:r>
          <w:rPr>
            <w:rStyle w:val="a"/>
            <w:color w:val="4623EB"/>
            <w:sz w:val="21"/>
            <w:szCs w:val="21"/>
          </w:rPr>
          <w:t>Cass. civ. 2, 13 sept. 2007, n° 06-18199</w:t>
        </w:r>
      </w:hyperlink>
      <w:r>
        <w:rPr>
          <w:rStyle w:val="a"/>
          <w:color w:val="4623EB"/>
          <w:sz w:val="21"/>
          <w:szCs w:val="21"/>
        </w:rPr>
        <w:br/>
      </w:r>
      <w:hyperlink r:id="rId8" w:tgtFrame="_blank" w:history="1">
        <w:r>
          <w:rPr>
            <w:rStyle w:val="a"/>
            <w:color w:val="4623EB"/>
            <w:sz w:val="21"/>
            <w:szCs w:val="21"/>
          </w:rPr>
          <w:t>RM Bourg-Broc, JOAN 12 avril 2005, n° 1514</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content"/>
        <w:spacing w:after="240" w:line="330" w:lineRule="atLeast"/>
        <w:rPr>
          <w:color w:val="646464"/>
          <w:sz w:val="24"/>
          <w:szCs w:val="24"/>
        </w:rPr>
      </w:pPr>
      <w:r>
        <w:rPr>
          <w:color w:val="646464"/>
          <w:sz w:val="24"/>
          <w:szCs w:val="24"/>
        </w:rPr>
        <w:t>C. ass. art. L. 132-8, al. 6</w:t>
      </w:r>
      <w:r>
        <w:rPr>
          <w:color w:val="646464"/>
          <w:sz w:val="24"/>
          <w:szCs w:val="24"/>
        </w:rPr>
        <w:br/>
      </w:r>
      <w:hyperlink r:id="rId6" w:tgtFrame="_blank" w:history="1">
        <w:r>
          <w:rPr>
            <w:rStyle w:val="a"/>
            <w:color w:val="4623EB"/>
            <w:sz w:val="24"/>
            <w:szCs w:val="24"/>
          </w:rPr>
          <w:t>Cass. civ. 1, 3 avr. 2019, n°18-14640</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9"/>
      <w:footerReference w:type="default" r:id="rId10"/>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character" w:customStyle="1" w:styleId="a">
    <w:name w:val="a"/>
    <w:basedOn w:val="DefaultParagraphFont"/>
    <w:rPr>
      <w:color w:val="4623EB"/>
    </w:rPr>
  </w:style>
  <w:style w:type="paragraph" w:customStyle="1" w:styleId="linotnth-last-child1">
    <w:name w:val="li_not(:nth-last-child(1))"/>
    <w:basedOn w:val="Normal"/>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3540/download" TargetMode="External" /><Relationship Id="rId7" Type="http://schemas.openxmlformats.org/officeDocument/2006/relationships/hyperlink" Target="https://api.fidroit.fr/api/technical-resource/attachment/2764/download" TargetMode="External" /><Relationship Id="rId8" Type="http://schemas.openxmlformats.org/officeDocument/2006/relationships/hyperlink" Target="https://api.fidroit.fr/api/technical-resource/attachment/3747/download" TargetMode="External" /><Relationship Id="rId9" Type="http://schemas.openxmlformats.org/officeDocument/2006/relationships/header" Target="head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2023-08-17T12:14:37Z</dcterms:created>
  <dcterms:modified xsi:type="dcterms:W3CDTF">2023-08-17T12:14:37Z</dcterms:modified>
</cp:coreProperties>
</file>