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Faut-il faire une souscription simple ou une co-souscription ?</w:t>
      </w:r>
    </w:p>
    <w:p>
      <w:pPr>
        <w:pStyle w:val="updated-at"/>
        <w:spacing w:before="0" w:after="300" w:line="360" w:lineRule="atLeast"/>
        <w:ind w:left="0" w:right="0"/>
        <w:rPr>
          <w:color w:val="646464"/>
          <w:sz w:val="27"/>
          <w:szCs w:val="27"/>
        </w:rPr>
      </w:pPr>
      <w:r>
        <w:rPr>
          <w:color w:val="646464"/>
          <w:sz w:val="27"/>
          <w:szCs w:val="27"/>
        </w:rPr>
        <w:t>Mis à jour le 1 juil.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180" w:line="330" w:lineRule="atLeast"/>
        <w:ind w:left="0" w:right="0"/>
        <w:rPr>
          <w:color w:val="646464"/>
          <w:sz w:val="24"/>
          <w:szCs w:val="24"/>
        </w:rPr>
      </w:pPr>
      <w:r>
        <w:rPr>
          <w:color w:val="646464"/>
          <w:sz w:val="24"/>
          <w:szCs w:val="24"/>
        </w:rPr>
        <w:t>Les époux mariés en communauté peuvent faire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une co-souscription avec dénouement au premier décès (1 seul contrat sera ouvert, il sera dénoué au décès de l'un des 2 époux et les capitaux versés aux bénéficiaires désignés)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une co-souscription avec dénouement au second décès (1 seul contrat sera ouvert, au décès du 1er époux le contrat reste ouvert avec comme seul souscripteur le conjoint survivant, au second décès le contrat sera dénoué et les capitaux versés aux bénéficiaires désignés) ;</w:t>
      </w:r>
    </w:p>
    <w:p>
      <w:pPr>
        <w:numPr>
          <w:ilvl w:val="0"/>
          <w:numId w:val="29"/>
        </w:numPr>
        <w:spacing w:after="240" w:line="330" w:lineRule="atLeast"/>
        <w:ind w:left="720" w:right="0" w:hanging="360"/>
        <w:jc w:val="left"/>
        <w:rPr>
          <w:color w:val="646464"/>
          <w:sz w:val="24"/>
          <w:szCs w:val="24"/>
        </w:rPr>
      </w:pPr>
      <w:r>
        <w:rPr>
          <w:color w:val="646464"/>
          <w:sz w:val="24"/>
          <w:szCs w:val="24"/>
        </w:rPr>
        <w:t>des souscriptions simples de contrats d'assurance-vie (2 contrats seront donc ouverts).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240" w:line="330" w:lineRule="atLeast"/>
        <w:ind w:left="0" w:right="0"/>
        <w:rPr>
          <w:color w:val="646464"/>
          <w:sz w:val="24"/>
          <w:szCs w:val="24"/>
        </w:rPr>
      </w:pPr>
      <w:r>
        <w:rPr>
          <w:color w:val="646464"/>
          <w:sz w:val="24"/>
          <w:szCs w:val="24"/>
        </w:rPr>
        <w:t>La souscription simple est plus pertinente que la co-souscription car elle permet à chaque époux de gérer seul son contrat (notamment en cas de divorce), et fiscalement, de doubler les abattements.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Co-souscription avec dénouement au premier décès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Juridiquement</w:t>
      </w:r>
    </w:p>
    <w:p>
      <w:pPr>
        <w:pStyle w:val="p"/>
        <w:spacing w:before="0" w:after="180" w:line="330" w:lineRule="atLeast"/>
        <w:ind w:left="0" w:right="0"/>
        <w:rPr>
          <w:color w:val="646464"/>
          <w:sz w:val="24"/>
          <w:szCs w:val="24"/>
        </w:rPr>
      </w:pPr>
      <w:r>
        <w:rPr>
          <w:color w:val="646464"/>
          <w:sz w:val="24"/>
          <w:szCs w:val="24"/>
        </w:rPr>
        <w:t xml:space="preserve">La co-souscription oblige à co-gérer le contrat : </w:t>
      </w:r>
      <w:r>
        <w:rPr>
          <w:color w:val="646464"/>
          <w:sz w:val="24"/>
          <w:szCs w:val="24"/>
          <w:u w:val="single" w:color="646464"/>
        </w:rPr>
        <w:t>l’accord des deux époux</w:t>
      </w:r>
      <w:r>
        <w:rPr>
          <w:color w:val="646464"/>
          <w:sz w:val="24"/>
          <w:szCs w:val="24"/>
        </w:rPr>
        <w:t> est nécessaire pour les arbitrages, rachats, demandes d’avance, désignation des bénéficiaires, etc. (à l'exception de la faculté de renonciation à la souscription qui peut être exercée seule par l'un des époux s'agissant d'un acte d'administration).</w:t>
      </w:r>
    </w:p>
    <w:p>
      <w:pPr>
        <w:pStyle w:val="p"/>
        <w:spacing w:before="0" w:after="180" w:line="330" w:lineRule="atLeast"/>
        <w:ind w:left="0" w:right="0"/>
        <w:rPr>
          <w:color w:val="646464"/>
          <w:sz w:val="24"/>
          <w:szCs w:val="24"/>
        </w:rPr>
      </w:pPr>
      <w:r>
        <w:rPr>
          <w:color w:val="646464"/>
          <w:sz w:val="24"/>
          <w:szCs w:val="24"/>
        </w:rPr>
        <w:t>Par ailleurs, la souscription avec dénouement au premier décès peut engendrer certaines problématiques :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u w:val="single" w:color="646464"/>
        </w:rPr>
        <w:t>lorsque la clause bénéficiaire désigne le conjoint survivant :</w:t>
      </w:r>
      <w:r>
        <w:rPr>
          <w:color w:val="646464"/>
          <w:sz w:val="24"/>
          <w:szCs w:val="24"/>
        </w:rPr>
        <w:t xml:space="preserve"> les enfants non communs peuvent intenter une action en cas de primes manifestement exagérées (Voir § </w:t>
      </w:r>
      <w:hyperlink r:id="rId6" w:anchor="9.3." w:history="1">
        <w:r>
          <w:rPr>
            <w:rStyle w:val="a"/>
            <w:color w:val="4623EB"/>
            <w:sz w:val="24"/>
            <w:szCs w:val="24"/>
          </w:rPr>
          <w:t>9.3</w:t>
        </w:r>
      </w:hyperlink>
      <w:r>
        <w:rPr>
          <w:color w:val="646464"/>
          <w:sz w:val="24"/>
          <w:szCs w:val="24"/>
        </w:rPr>
        <w:t xml:space="preserve">) ou donation indirecte (Voir § </w:t>
      </w:r>
      <w:hyperlink r:id="rId6" w:anchor="9.4." w:history="1">
        <w:r>
          <w:rPr>
            <w:rStyle w:val="a"/>
            <w:color w:val="4623EB"/>
            <w:sz w:val="24"/>
            <w:szCs w:val="24"/>
          </w:rPr>
          <w:t>9.4</w:t>
        </w:r>
      </w:hyperlink>
      <w:r>
        <w:rPr>
          <w:color w:val="646464"/>
          <w:sz w:val="24"/>
          <w:szCs w:val="24"/>
        </w:rPr>
        <w:t>)</w:t>
      </w:r>
    </w:p>
    <w:p>
      <w:pPr>
        <w:numPr>
          <w:ilvl w:val="0"/>
          <w:numId w:val="30"/>
        </w:numPr>
        <w:spacing w:after="240" w:line="330" w:lineRule="atLeast"/>
        <w:ind w:left="720" w:right="0" w:hanging="360"/>
        <w:jc w:val="left"/>
        <w:rPr>
          <w:color w:val="646464"/>
          <w:sz w:val="24"/>
          <w:szCs w:val="24"/>
        </w:rPr>
      </w:pPr>
      <w:r>
        <w:rPr>
          <w:color w:val="646464"/>
          <w:sz w:val="24"/>
          <w:szCs w:val="24"/>
          <w:u w:val="single" w:color="646464"/>
        </w:rPr>
        <w:t>lorsque la clause bénéficiaire ne désigne pas le conjoint survivant, mais un tiers ou un enfant :</w:t>
      </w:r>
      <w:r>
        <w:rPr>
          <w:color w:val="646464"/>
          <w:sz w:val="24"/>
          <w:szCs w:val="24"/>
        </w:rPr>
        <w:t xml:space="preserve"> aucune récompense n'est dû puisque le bénéficiaire a été désigné d'un commun accord par les deux époux.</w:t>
      </w:r>
      <w:r>
        <w:rPr>
          <w:color w:val="646464"/>
          <w:sz w:val="24"/>
          <w:szCs w:val="24"/>
        </w:rPr>
        <w:br/>
      </w:r>
      <w:hyperlink r:id="rId7" w:anchor="LEGIARTI000006793374" w:tgtFrame="_blank" w:history="1">
        <w:r>
          <w:rPr>
            <w:rStyle w:val="a"/>
            <w:color w:val="4623EB"/>
            <w:sz w:val="24"/>
            <w:szCs w:val="24"/>
          </w:rPr>
          <w:t>C. ass. L. 132-16</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Fiscalement </w:t>
      </w:r>
    </w:p>
    <w:p>
      <w:pPr>
        <w:pStyle w:val="p"/>
        <w:spacing w:before="0" w:after="240" w:line="330" w:lineRule="atLeast"/>
        <w:ind w:left="0" w:right="0"/>
        <w:rPr>
          <w:color w:val="646464"/>
          <w:sz w:val="24"/>
          <w:szCs w:val="24"/>
        </w:rPr>
      </w:pPr>
      <w:r>
        <w:rPr>
          <w:color w:val="646464"/>
          <w:sz w:val="24"/>
          <w:szCs w:val="24"/>
        </w:rPr>
        <w:t>La co-souscription permet de bénéficier d'</w:t>
      </w:r>
      <w:r>
        <w:rPr>
          <w:color w:val="646464"/>
          <w:sz w:val="24"/>
          <w:szCs w:val="24"/>
          <w:u w:val="single" w:color="646464"/>
        </w:rPr>
        <w:t xml:space="preserve">un seul abattement seulement </w:t>
      </w:r>
      <w:r>
        <w:rPr>
          <w:color w:val="646464"/>
          <w:sz w:val="24"/>
          <w:szCs w:val="24"/>
        </w:rPr>
        <w:t>: 152 500 € par bénéficiaire (en cas de versements avant les 70 ans du premier époux décédé) ou 30 500 € (en cas de versements après les 70 ans du premier époux décédé).</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Co-souscription avec dénouement au second décès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Juridiquement</w:t>
      </w:r>
    </w:p>
    <w:p>
      <w:pPr>
        <w:pStyle w:val="p"/>
        <w:spacing w:before="0" w:after="180" w:line="330" w:lineRule="atLeast"/>
        <w:ind w:left="0" w:right="0"/>
        <w:rPr>
          <w:color w:val="646464"/>
          <w:sz w:val="24"/>
          <w:szCs w:val="24"/>
        </w:rPr>
      </w:pPr>
      <w:r>
        <w:rPr>
          <w:color w:val="646464"/>
          <w:sz w:val="24"/>
          <w:szCs w:val="24"/>
        </w:rPr>
        <w:t xml:space="preserve">La co-souscription oblige à co-gérer le contrat : </w:t>
      </w:r>
      <w:r>
        <w:rPr>
          <w:color w:val="646464"/>
          <w:sz w:val="24"/>
          <w:szCs w:val="24"/>
          <w:u w:val="single" w:color="646464"/>
        </w:rPr>
        <w:t>l’accord des deux époux</w:t>
      </w:r>
      <w:r>
        <w:rPr>
          <w:color w:val="646464"/>
          <w:sz w:val="24"/>
          <w:szCs w:val="24"/>
        </w:rPr>
        <w:t> est nécessaire pour les arbitrages, rachats, demandes d’avance, désignation des bénéficiaires, etc. (à l'exception de la faculté de renonciation à la souscription qui peut être exercée seule par l'un des époux s'agissant d'un acte d'administration).</w:t>
      </w:r>
    </w:p>
    <w:p>
      <w:pPr>
        <w:pStyle w:val="p"/>
        <w:spacing w:before="0" w:after="180" w:line="330" w:lineRule="atLeast"/>
        <w:ind w:left="0" w:right="0"/>
        <w:rPr>
          <w:color w:val="646464"/>
          <w:sz w:val="24"/>
          <w:szCs w:val="24"/>
        </w:rPr>
      </w:pPr>
      <w:r>
        <w:rPr>
          <w:color w:val="646464"/>
          <w:sz w:val="24"/>
          <w:szCs w:val="24"/>
        </w:rPr>
        <w:t>La souscription avec dénouement au second décès ne pose pas de difficulté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 xml:space="preserve">au premier décès, </w:t>
      </w:r>
      <w:r>
        <w:rPr>
          <w:color w:val="646464"/>
          <w:sz w:val="24"/>
          <w:szCs w:val="24"/>
          <w:u w:val="single" w:color="646464"/>
        </w:rPr>
        <w:t>le contrat est maintenu et profite au survivant</w:t>
      </w:r>
      <w:r>
        <w:rPr>
          <w:color w:val="646464"/>
          <w:sz w:val="24"/>
          <w:szCs w:val="24"/>
        </w:rPr>
        <w:t xml:space="preserve"> (ce qui évite les blocages lorsque le souscripteur et l’assuré sont des personnes différentes, mais que le souscripteur décède avant l'assuré) ; Voir </w:t>
      </w:r>
      <w:hyperlink r:id="rId8" w:history="1">
        <w:r>
          <w:rPr>
            <w:rStyle w:val="a"/>
            <w:color w:val="4623EB"/>
            <w:sz w:val="24"/>
            <w:szCs w:val="24"/>
          </w:rPr>
          <w:t>notre question / réponse : Que se passe-t-il en cas de décès du souscripteur si l’assuré survit ?</w:t>
        </w:r>
      </w:hyperlink>
    </w:p>
    <w:p>
      <w:pPr>
        <w:pStyle w:val="linotnth-last-child1"/>
        <w:numPr>
          <w:ilvl w:val="0"/>
          <w:numId w:val="31"/>
        </w:numPr>
        <w:spacing w:after="240" w:line="330" w:lineRule="atLeast"/>
        <w:ind w:left="720" w:right="0" w:hanging="360"/>
        <w:jc w:val="left"/>
        <w:rPr>
          <w:color w:val="646464"/>
          <w:sz w:val="24"/>
          <w:szCs w:val="24"/>
        </w:rPr>
      </w:pPr>
      <w:r>
        <w:rPr>
          <w:color w:val="646464"/>
          <w:sz w:val="24"/>
          <w:szCs w:val="24"/>
          <w:u w:val="single" w:color="646464"/>
        </w:rPr>
        <w:t>aucune récompense</w:t>
      </w:r>
      <w:r>
        <w:rPr>
          <w:color w:val="646464"/>
          <w:sz w:val="24"/>
          <w:szCs w:val="24"/>
        </w:rPr>
        <w:t xml:space="preserve"> n'est due à la communauté (sauf si des deniers propres ont servi à alimenter le contrat, hypothèse rare en communauté puisque les biens sont principalement communs) ;</w:t>
      </w:r>
    </w:p>
    <w:p>
      <w:pPr>
        <w:numPr>
          <w:ilvl w:val="0"/>
          <w:numId w:val="31"/>
        </w:numPr>
        <w:spacing w:after="240" w:line="330" w:lineRule="atLeast"/>
        <w:ind w:left="720" w:right="0" w:hanging="360"/>
        <w:jc w:val="left"/>
        <w:rPr>
          <w:color w:val="646464"/>
          <w:sz w:val="24"/>
          <w:szCs w:val="24"/>
        </w:rPr>
      </w:pPr>
      <w:r>
        <w:rPr>
          <w:color w:val="646464"/>
          <w:sz w:val="24"/>
          <w:szCs w:val="24"/>
        </w:rPr>
        <w:t xml:space="preserve">cependant, les enfants non communs peuvent contester les versement via une </w:t>
      </w:r>
      <w:r>
        <w:rPr>
          <w:color w:val="646464"/>
          <w:sz w:val="24"/>
          <w:szCs w:val="24"/>
          <w:u w:val="single" w:color="646464"/>
        </w:rPr>
        <w:t>action en retranchement</w:t>
      </w:r>
      <w:r>
        <w:rPr>
          <w:color w:val="646464"/>
          <w:sz w:val="24"/>
          <w:szCs w:val="24"/>
        </w:rPr>
        <w:t xml:space="preserve"> lorsque le contrat est attribué au conjoint en vertu d'un avantage matrimonial tel qu'une clause d'attribution intégrale de la communauté ou un préciput et que cela empiète sur leur réserve (contestation possible dès le premier décès : </w:t>
      </w:r>
      <w:hyperlink r:id="rId9" w:tgtFrame="_blank" w:history="1">
        <w:r>
          <w:rPr>
            <w:rStyle w:val="a"/>
            <w:color w:val="4623EB"/>
            <w:sz w:val="24"/>
            <w:szCs w:val="24"/>
          </w:rPr>
          <w:t>voir notre question réponse Les enfants non communs peuvent-ils remettre en cause les assurances-vie avec dénouement au second décès ?</w:t>
        </w:r>
      </w:hyperlink>
      <w:r>
        <w:rPr>
          <w:rStyle w:val="a"/>
          <w:color w:val="4623EB"/>
          <w:sz w:val="24"/>
          <w:szCs w:val="24"/>
        </w:rPr>
        <w:t xml:space="preserve"> ; </w:t>
      </w:r>
      <w:r>
        <w:rPr>
          <w:color w:val="646464"/>
          <w:sz w:val="24"/>
          <w:szCs w:val="24"/>
        </w:rPr>
        <w:t>le conjoint pourra alors racheter une partie du contrat afin de dédommager les enfants non communs de leur réserve) </w:t>
      </w:r>
      <w:r>
        <w:rPr>
          <w:color w:val="646464"/>
          <w:sz w:val="24"/>
          <w:szCs w:val="24"/>
        </w:rPr>
        <w:br/>
      </w:r>
      <w:r>
        <w:rPr>
          <w:color w:val="646464"/>
          <w:sz w:val="24"/>
          <w:szCs w:val="24"/>
        </w:rPr>
        <w:t xml:space="preserve">Par ailleurs, les enfants (communs ou non) peuvent intenter une action en cas de </w:t>
      </w:r>
      <w:r>
        <w:rPr>
          <w:color w:val="646464"/>
          <w:sz w:val="24"/>
          <w:szCs w:val="24"/>
          <w:u w:val="single" w:color="646464"/>
        </w:rPr>
        <w:t>primes manifestement exagérées</w:t>
      </w:r>
      <w:r>
        <w:rPr>
          <w:color w:val="646464"/>
          <w:sz w:val="24"/>
          <w:szCs w:val="24"/>
        </w:rPr>
        <w:t xml:space="preserve"> (contestation au moment du second décès, voir §</w:t>
      </w:r>
      <w:hyperlink r:id="rId6" w:anchor="9.3." w:history="1">
        <w:r>
          <w:rPr>
            <w:rStyle w:val="a"/>
            <w:color w:val="4623EB"/>
            <w:sz w:val="24"/>
            <w:szCs w:val="24"/>
          </w:rPr>
          <w:t>9.3</w:t>
        </w:r>
      </w:hyperlink>
      <w:r>
        <w:rPr>
          <w:color w:val="646464"/>
          <w:sz w:val="24"/>
          <w:szCs w:val="24"/>
        </w:rPr>
        <w: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Fiscalement </w:t>
      </w:r>
    </w:p>
    <w:p>
      <w:pPr>
        <w:pStyle w:val="p"/>
        <w:spacing w:before="0" w:after="180" w:line="330" w:lineRule="atLeast"/>
        <w:ind w:left="0" w:right="0"/>
        <w:rPr>
          <w:color w:val="646464"/>
          <w:sz w:val="24"/>
          <w:szCs w:val="24"/>
        </w:rPr>
      </w:pPr>
      <w:r>
        <w:rPr>
          <w:color w:val="646464"/>
          <w:sz w:val="24"/>
          <w:szCs w:val="24"/>
        </w:rPr>
        <w:t>La co-souscription permet de bénéficier d'</w:t>
      </w:r>
      <w:r>
        <w:rPr>
          <w:color w:val="646464"/>
          <w:sz w:val="24"/>
          <w:szCs w:val="24"/>
          <w:u w:val="single" w:color="646464"/>
        </w:rPr>
        <w:t>un abattement seulement</w:t>
      </w:r>
      <w:r>
        <w:rPr>
          <w:color w:val="646464"/>
          <w:sz w:val="24"/>
          <w:szCs w:val="24"/>
        </w:rPr>
        <w:t xml:space="preserve"> : 152 500 € par bénéficiaire (en cas de versements avant les 70 ans du second époux décédé) ou 30 500 € (en cas de versements après les 70 ans du second époux décédé).</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Depuis 2016 (</w:t>
      </w:r>
      <w:hyperlink r:id="rId10" w:tgtFrame="_blank" w:history="1">
        <w:r>
          <w:rPr>
            <w:rStyle w:val="a"/>
            <w:color w:val="4623EB"/>
            <w:sz w:val="21"/>
            <w:szCs w:val="21"/>
          </w:rPr>
          <w:t>RM Ciot</w:t>
        </w:r>
      </w:hyperlink>
      <w:r>
        <w:rPr>
          <w:color w:val="646464"/>
          <w:sz w:val="21"/>
          <w:szCs w:val="21"/>
        </w:rPr>
        <w:t>), il y a certes intérêt fiscalement à privilégier les dénouements au second décès plutôt qu'au premier décès : au premier décès, les contrats non dénoués ne sont pas réintégrés à l'actif de communauté et ne sont donc pas taxés au titre de la succession.</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revanche, civilement et fiscalement, la souscription simple est à recommander par rapport à la co-souscription.</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Souscription simple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Juridiquement</w:t>
      </w:r>
    </w:p>
    <w:p>
      <w:pPr>
        <w:pStyle w:val="p"/>
        <w:spacing w:before="0" w:after="180" w:line="330" w:lineRule="atLeast"/>
        <w:ind w:left="0" w:right="0"/>
        <w:rPr>
          <w:color w:val="646464"/>
          <w:sz w:val="24"/>
          <w:szCs w:val="24"/>
        </w:rPr>
      </w:pPr>
      <w:r>
        <w:rPr>
          <w:color w:val="646464"/>
          <w:sz w:val="24"/>
          <w:szCs w:val="24"/>
        </w:rPr>
        <w:t xml:space="preserve">La souscription de 2 contrats permet à chacun des époux de </w:t>
      </w:r>
      <w:r>
        <w:rPr>
          <w:color w:val="646464"/>
          <w:sz w:val="24"/>
          <w:szCs w:val="24"/>
          <w:u w:val="single" w:color="646464"/>
        </w:rPr>
        <w:t xml:space="preserve">gérer seul </w:t>
      </w:r>
      <w:r>
        <w:rPr>
          <w:color w:val="646464"/>
          <w:sz w:val="24"/>
          <w:szCs w:val="24"/>
        </w:rPr>
        <w:t>son contrat (versement, rachat, arbitrage, demande d'avance, désignation des bénéficiaires, etc.) sans l'intervention de l'autre époux. </w:t>
      </w:r>
    </w:p>
    <w:p>
      <w:pPr>
        <w:pStyle w:val="p"/>
        <w:spacing w:before="0" w:after="180" w:line="330" w:lineRule="atLeast"/>
        <w:ind w:left="0" w:right="0"/>
        <w:rPr>
          <w:color w:val="646464"/>
          <w:sz w:val="24"/>
          <w:szCs w:val="24"/>
        </w:rPr>
      </w:pPr>
      <w:r>
        <w:rPr>
          <w:color w:val="646464"/>
          <w:sz w:val="24"/>
          <w:szCs w:val="24"/>
        </w:rPr>
        <w:t xml:space="preserve">Cette indépendance est appréciable notamment lorsque </w:t>
      </w:r>
      <w:r>
        <w:rPr>
          <w:color w:val="646464"/>
          <w:sz w:val="24"/>
          <w:szCs w:val="24"/>
          <w:u w:val="single" w:color="646464"/>
        </w:rPr>
        <w:t>l'un des 2 époux devient incapable</w:t>
      </w:r>
      <w:r>
        <w:rPr>
          <w:color w:val="646464"/>
          <w:sz w:val="24"/>
          <w:szCs w:val="24"/>
        </w:rPr>
        <w:t xml:space="preserve"> (avec un contrat co-souscrit, plus aucun rachat ne peut être réalisé faute d'accord des 2 époux) ou encore de </w:t>
      </w:r>
      <w:r>
        <w:rPr>
          <w:color w:val="646464"/>
          <w:sz w:val="24"/>
          <w:szCs w:val="24"/>
          <w:u w:val="single" w:color="646464"/>
        </w:rPr>
        <w:t xml:space="preserve">divorce </w:t>
      </w:r>
      <w:r>
        <w:rPr>
          <w:color w:val="646464"/>
          <w:sz w:val="24"/>
          <w:szCs w:val="24"/>
        </w:rPr>
        <w:t>(chacun des époux reprend son contrat et conserve l'antériorité fiscale accumulée, quand bien même en valeur les 2 contrats est intégrée dans l'actif de communauté).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Fiscalement</w:t>
      </w:r>
    </w:p>
    <w:p>
      <w:pPr>
        <w:pStyle w:val="p"/>
        <w:spacing w:before="0" w:after="180" w:line="330" w:lineRule="atLeast"/>
        <w:ind w:left="0" w:right="0"/>
        <w:rPr>
          <w:color w:val="646464"/>
          <w:sz w:val="24"/>
          <w:szCs w:val="24"/>
        </w:rPr>
      </w:pPr>
      <w:r>
        <w:rPr>
          <w:color w:val="646464"/>
          <w:sz w:val="24"/>
          <w:szCs w:val="24"/>
        </w:rPr>
        <w:t xml:space="preserve">La souscription de 2 contrats permet de bénéficier </w:t>
      </w:r>
      <w:r>
        <w:rPr>
          <w:color w:val="646464"/>
          <w:sz w:val="24"/>
          <w:szCs w:val="24"/>
          <w:u w:val="single" w:color="646464"/>
        </w:rPr>
        <w:t>2 fois des abattements</w:t>
      </w:r>
      <w:r>
        <w:rPr>
          <w:color w:val="646464"/>
          <w:sz w:val="24"/>
          <w:szCs w:val="24"/>
        </w:rPr>
        <w:t xml:space="preserve"> : 2 x 152 500 € par bénéficiaire (en cas de versements avant les 70 ans des époux) ou 2 x 30 500 € (en cas de versements après les 70 ans des époux).</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Civilement et fiscalement, la souscription simple est à recommander par rapport à la co-souscription.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hyperlink r:id="rId11" w:tgtFrame="_blank" w:history="1">
        <w:r>
          <w:rPr>
            <w:rStyle w:val="a"/>
            <w:color w:val="4623EB"/>
            <w:sz w:val="24"/>
            <w:szCs w:val="24"/>
          </w:rPr>
          <w:t>RM Ciot, JOAN 23 févr. 2016, n° 78192</w:t>
        </w:r>
      </w:hyperlink>
      <w:r>
        <w:rPr>
          <w:rStyle w:val="a"/>
          <w:color w:val="4623EB"/>
          <w:sz w:val="24"/>
          <w:szCs w:val="24"/>
        </w:rPr>
        <w:br/>
      </w:r>
      <w:hyperlink r:id="rId12" w:tgtFrame="_blank" w:history="1">
        <w:r>
          <w:rPr>
            <w:rStyle w:val="a"/>
            <w:color w:val="4623EB"/>
            <w:sz w:val="24"/>
            <w:szCs w:val="24"/>
          </w:rPr>
          <w:t>RM Malhuret 10 janv. 2019, JO Sénat, n° 00256</w:t>
        </w:r>
      </w:hyperlink>
      <w:r>
        <w:rPr>
          <w:rStyle w:val="a"/>
          <w:color w:val="4623EB"/>
          <w:sz w:val="24"/>
          <w:szCs w:val="24"/>
        </w:rPr>
        <w:br/>
      </w:r>
      <w:hyperlink r:id="rId13" w:tgtFrame="_blank" w:history="1">
        <w:r>
          <w:rPr>
            <w:rStyle w:val="a"/>
            <w:color w:val="4623EB"/>
            <w:sz w:val="24"/>
            <w:szCs w:val="24"/>
          </w:rPr>
          <w:t>Cass. civ. 1,19 mars 2015, n° 13-28776</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4"/>
      <w:footerReference w:type="default" r:id="rId15"/>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fd-chevron-lvl1">
    <w:name w:val="fd-chevron-lvl1"/>
    <w:basedOn w:val="Normal"/>
    <w:pPr>
      <w:pBdr>
        <w:left w:val="none" w:sz="0" w:space="15" w:color="auto"/>
      </w:pBdr>
    </w:pPr>
    <w:rPr>
      <w:b w:val="0"/>
      <w:bCs w:val="0"/>
      <w:color w:val="202020"/>
    </w:rPr>
  </w:style>
  <w:style w:type="character" w:customStyle="1" w:styleId="a">
    <w:name w:val="a"/>
    <w:basedOn w:val="DefaultParagraphFont"/>
    <w:rPr>
      <w:color w:val="4623EB"/>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old/reponse/Rep.-Min.-ciot-JOAN,-23-Fev-2016,-n-78192.pdf" TargetMode="External" /><Relationship Id="rId11" Type="http://schemas.openxmlformats.org/officeDocument/2006/relationships/hyperlink" Target="https://api.fidroit.fr/document/46057" TargetMode="External" /><Relationship Id="rId12" Type="http://schemas.openxmlformats.org/officeDocument/2006/relationships/hyperlink" Target="https://api.fidroit.fr/api/technical-resource/attachment/3132/download" TargetMode="External" /><Relationship Id="rId13" Type="http://schemas.openxmlformats.org/officeDocument/2006/relationships/hyperlink" Target="https://api.fidroit.fr/document/45865" TargetMode="External"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fidnet.fidroit.fr/document/38016" TargetMode="External" /><Relationship Id="rId7" Type="http://schemas.openxmlformats.org/officeDocument/2006/relationships/hyperlink" Target="https://www.legifrance.gouv.fr/codes/section_lc/LEGITEXT000006073984/LEGISCTA000006174038/" TargetMode="External" /><Relationship Id="rId8" Type="http://schemas.openxmlformats.org/officeDocument/2006/relationships/hyperlink" Target="https://fidnet.fidroit.fr/document/51095" TargetMode="External" /><Relationship Id="rId9" Type="http://schemas.openxmlformats.org/officeDocument/2006/relationships/hyperlink" Target="https://api.fidroit.fr/document/51198"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2023-08-17T12:18:29Z</dcterms:created>
  <dcterms:modified xsi:type="dcterms:W3CDTF">2023-08-17T12:18:29Z</dcterms:modified>
</cp:coreProperties>
</file>