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Les aides sociales sont-elles récupérables sur les contrats d’assurance-vie ?</w:t>
      </w:r>
    </w:p>
    <w:p>
      <w:pPr>
        <w:pStyle w:val="updated-at"/>
        <w:spacing w:before="0" w:after="300" w:line="360" w:lineRule="atLeast"/>
        <w:ind w:left="0" w:right="0"/>
        <w:rPr>
          <w:color w:val="646464"/>
          <w:sz w:val="27"/>
          <w:szCs w:val="27"/>
        </w:rPr>
      </w:pPr>
      <w:r>
        <w:rPr>
          <w:color w:val="646464"/>
          <w:sz w:val="27"/>
          <w:szCs w:val="27"/>
        </w:rPr>
        <w:t>Mis à jour le 6 avr. 2023</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p"/>
        <w:spacing w:before="0" w:after="240" w:line="330" w:lineRule="atLeast"/>
        <w:ind w:left="0" w:right="0"/>
        <w:rPr>
          <w:color w:val="646464"/>
          <w:sz w:val="24"/>
          <w:szCs w:val="24"/>
        </w:rPr>
      </w:pPr>
      <w:r>
        <w:rPr>
          <w:i/>
          <w:iCs/>
          <w:color w:val="646464"/>
          <w:sz w:val="24"/>
          <w:szCs w:val="24"/>
        </w:rPr>
        <w:t>Les aides sociales sont-elles récupérable sur les contrats d’assurance-vie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180" w:line="330" w:lineRule="atLeast"/>
        <w:ind w:left="0" w:right="0"/>
        <w:rPr>
          <w:color w:val="646464"/>
          <w:sz w:val="24"/>
          <w:szCs w:val="24"/>
        </w:rPr>
      </w:pPr>
      <w:r>
        <w:rPr>
          <w:color w:val="646464"/>
          <w:sz w:val="24"/>
          <w:szCs w:val="24"/>
        </w:rPr>
        <w:t>Les capitaux décès provenant d’un contrat d’assurance-vie souscrit par une personne ayant bénéficié d’aides sociales ne sont, en principe, pas récupérables puisque les sommes ne font pas partie de la succession.</w:t>
      </w:r>
      <w:r>
        <w:rPr>
          <w:color w:val="646464"/>
          <w:sz w:val="24"/>
          <w:szCs w:val="24"/>
        </w:rPr>
        <w:br/>
      </w:r>
      <w:r>
        <w:rPr>
          <w:color w:val="646464"/>
          <w:sz w:val="24"/>
          <w:szCs w:val="24"/>
        </w:rPr>
        <w:t>C. ass. L132-12</w:t>
      </w:r>
    </w:p>
    <w:p>
      <w:pPr>
        <w:pStyle w:val="p"/>
        <w:spacing w:before="0" w:after="180" w:line="330" w:lineRule="atLeast"/>
        <w:ind w:left="0" w:right="0"/>
        <w:rPr>
          <w:color w:val="646464"/>
          <w:sz w:val="24"/>
          <w:szCs w:val="24"/>
        </w:rPr>
      </w:pPr>
      <w:r>
        <w:rPr>
          <w:color w:val="646464"/>
          <w:sz w:val="24"/>
          <w:szCs w:val="24"/>
        </w:rPr>
        <w:t>Toutefois, il est possible pour les organismes de récupérer les aides sociales auprès des bénéficiaires du contrat d’assurance-vie</w:t>
      </w:r>
      <w:r>
        <w:rPr>
          <w:color w:val="646464"/>
          <w:sz w:val="24"/>
          <w:szCs w:val="24"/>
          <w:u w:val="single" w:color="646464"/>
        </w:rPr>
        <w:t>, à concurrence de la fraction des primes versées après 70 ans.</w:t>
      </w:r>
      <w:r>
        <w:rPr>
          <w:color w:val="646464"/>
          <w:sz w:val="24"/>
          <w:szCs w:val="24"/>
        </w:rPr>
        <w:t xml:space="preserve"> En présence de plusieurs bénéficiaires, celle-ci s'effectue au prorata des sommes versées à chacun.</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rFonts w:ascii="Arial" w:eastAsia="Arial" w:hAnsi="Arial" w:cs="Arial"/>
          <w:b/>
          <w:bCs/>
          <w:color w:val="FF6E6E"/>
          <w:sz w:val="18"/>
          <w:szCs w:val="18"/>
        </w:rPr>
        <w:t>​</w:t>
      </w: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Cette action intervient à titre subsidiaire, c'est-à-dire que l’Etat ou les collectivités locales doivent d'abord essayer de récupérer les aides sur la succession, puis demander au bénéficiaire des capitaux décès.</w:t>
      </w:r>
    </w:p>
    <w:p>
      <w:pPr>
        <w:pStyle w:val="p"/>
        <w:spacing w:before="0" w:after="180" w:line="330" w:lineRule="atLeast"/>
        <w:ind w:left="0" w:right="0"/>
        <w:rPr>
          <w:color w:val="646464"/>
          <w:sz w:val="24"/>
          <w:szCs w:val="24"/>
        </w:rPr>
      </w:pPr>
      <w:r>
        <w:rPr>
          <w:color w:val="646464"/>
          <w:sz w:val="24"/>
          <w:szCs w:val="24"/>
        </w:rPr>
        <w:t>CASF art. L132-8</w:t>
      </w:r>
    </w:p>
    <w:p>
      <w:pPr>
        <w:pStyle w:val="p"/>
        <w:spacing w:before="0" w:after="180" w:line="330" w:lineRule="atLeast"/>
        <w:ind w:left="0" w:right="0"/>
        <w:rPr>
          <w:color w:val="646464"/>
          <w:sz w:val="24"/>
          <w:szCs w:val="24"/>
        </w:rPr>
      </w:pPr>
      <w:r>
        <w:rPr>
          <w:color w:val="646464"/>
          <w:sz w:val="24"/>
          <w:szCs w:val="24"/>
        </w:rPr>
        <w:t xml:space="preserve">Les organismes pourront également chercher à </w:t>
      </w:r>
      <w:r>
        <w:rPr>
          <w:color w:val="646464"/>
          <w:sz w:val="24"/>
          <w:szCs w:val="24"/>
          <w:u w:val="single" w:color="646464"/>
        </w:rPr>
        <w:t>requalifier le contrat d’assurance-vie en libéralité</w:t>
      </w:r>
      <w:r>
        <w:rPr>
          <w:color w:val="646464"/>
          <w:sz w:val="24"/>
          <w:szCs w:val="24"/>
        </w:rPr>
        <w:t xml:space="preserve"> et ainsi demander la réintégration des capitaux dans la succession si les conditions suivantes sont réunies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le contrat d’assurance-vie doit avoir été souscrit postérieurement à la demande d’allocation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les primes doivent être manifestement incompatibles avec les ressources ou les biens déclarés par l’allocataire</w:t>
      </w:r>
      <w:r>
        <w:rPr>
          <w:rFonts w:ascii="Arial" w:eastAsia="Arial" w:hAnsi="Arial" w:cs="Arial"/>
          <w:color w:val="646464"/>
          <w:sz w:val="24"/>
          <w:szCs w:val="24"/>
        </w:rPr>
        <w:t> </w:t>
      </w:r>
      <w:r>
        <w:rPr>
          <w:color w:val="646464"/>
          <w:sz w:val="24"/>
          <w:szCs w:val="24"/>
        </w:rPr>
        <w:t>;</w:t>
      </w:r>
    </w:p>
    <w:p>
      <w:pPr>
        <w:numPr>
          <w:ilvl w:val="0"/>
          <w:numId w:val="29"/>
        </w:numPr>
        <w:spacing w:after="240" w:line="330" w:lineRule="atLeast"/>
        <w:ind w:left="720" w:right="0" w:hanging="360"/>
        <w:jc w:val="left"/>
        <w:rPr>
          <w:color w:val="646464"/>
          <w:sz w:val="24"/>
          <w:szCs w:val="24"/>
        </w:rPr>
      </w:pPr>
      <w:r>
        <w:rPr>
          <w:color w:val="646464"/>
          <w:sz w:val="24"/>
          <w:szCs w:val="24"/>
        </w:rPr>
        <w:t>les primes, en minorant l’actif net successoral, doivent avoir eu pour effet d’empêcher le recouvrement de l’allocation sur la succession.</w:t>
      </w:r>
    </w:p>
    <w:p>
      <w:pPr>
        <w:pStyle w:val="p"/>
        <w:spacing w:before="0" w:after="180" w:line="330" w:lineRule="atLeast"/>
        <w:ind w:left="0" w:right="0"/>
        <w:rPr>
          <w:color w:val="646464"/>
          <w:sz w:val="24"/>
          <w:szCs w:val="24"/>
        </w:rPr>
      </w:pPr>
      <w:hyperlink r:id="rId6" w:history="1">
        <w:r>
          <w:rPr>
            <w:rStyle w:val="a"/>
            <w:color w:val="4623EB"/>
            <w:sz w:val="24"/>
            <w:szCs w:val="24"/>
          </w:rPr>
          <w:t>CE. 6 fév. 2006, n°259385</w:t>
        </w:r>
      </w:hyperlink>
      <w:r>
        <w:rPr>
          <w:rStyle w:val="a"/>
          <w:color w:val="4623EB"/>
          <w:sz w:val="24"/>
          <w:szCs w:val="24"/>
        </w:rPr>
        <w:br/>
      </w:r>
      <w:hyperlink r:id="rId7" w:history="1">
        <w:r>
          <w:rPr>
            <w:rStyle w:val="a"/>
            <w:color w:val="4623EB"/>
            <w:sz w:val="24"/>
            <w:szCs w:val="24"/>
          </w:rPr>
          <w:t>CE. 19 nov. 2004, n°254797</w:t>
        </w:r>
      </w:hyperlink>
    </w:p>
    <w:p>
      <w:pPr>
        <w:pStyle w:val="p"/>
        <w:spacing w:before="0" w:after="180" w:line="330" w:lineRule="atLeast"/>
        <w:ind w:left="0" w:right="0"/>
        <w:rPr>
          <w:color w:val="646464"/>
          <w:sz w:val="24"/>
          <w:szCs w:val="24"/>
        </w:rPr>
      </w:pPr>
      <w:r>
        <w:rPr>
          <w:color w:val="646464"/>
          <w:sz w:val="24"/>
          <w:szCs w:val="24"/>
        </w:rPr>
        <w:t>Plusieurs jurisprudences ont également affirmé qu’en cas de souscription antérieure à la demande d’aide, les capitaux pouvaient également faire l’objet d’une récupération.</w:t>
      </w:r>
      <w:r>
        <w:rPr>
          <w:color w:val="646464"/>
          <w:sz w:val="24"/>
          <w:szCs w:val="24"/>
        </w:rPr>
        <w:br/>
      </w:r>
      <w:hyperlink r:id="rId8" w:history="1">
        <w:r>
          <w:rPr>
            <w:rStyle w:val="a"/>
            <w:color w:val="4623EB"/>
            <w:sz w:val="24"/>
            <w:szCs w:val="24"/>
          </w:rPr>
          <w:t>CE. 21 oct. 2009, n°316881</w:t>
        </w:r>
      </w:hyperlink>
      <w:r>
        <w:rPr>
          <w:rStyle w:val="a"/>
          <w:color w:val="4623EB"/>
          <w:sz w:val="24"/>
          <w:szCs w:val="24"/>
        </w:rPr>
        <w:br/>
      </w:r>
      <w:hyperlink r:id="rId9" w:history="1">
        <w:r>
          <w:rPr>
            <w:rStyle w:val="a"/>
            <w:color w:val="4623EB"/>
            <w:sz w:val="24"/>
            <w:szCs w:val="24"/>
          </w:rPr>
          <w:t>CE 29 juil. 2020, n°425329</w:t>
        </w:r>
      </w:hyperlink>
    </w:p>
    <w:p>
      <w:pPr>
        <w:pStyle w:val="p"/>
        <w:spacing w:before="0" w:after="240" w:line="330" w:lineRule="atLeast"/>
        <w:ind w:left="0" w:right="0"/>
        <w:rPr>
          <w:color w:val="646464"/>
          <w:sz w:val="24"/>
          <w:szCs w:val="24"/>
        </w:rPr>
      </w:pPr>
      <w:r>
        <w:rPr>
          <w:color w:val="646464"/>
          <w:sz w:val="24"/>
          <w:szCs w:val="24"/>
        </w:rPr>
        <w:t>L'incompatibilité avec les ressources de l'allocataire a été retenue pour justifier de la réintégration des primes à la succession quand le montant versé mensuellement sur assurance-vie (260 €) excédait le montant des revenus mensuels perçus par l'allocataire (216 €). L'allocataire résidait dans les faits chez l'un de ses enfants, désigné seul bénéficiaire du contrat. Le contrat d'assurance-vie ayant été alimenté dans l'unique ambition de constituer un capital afin de gratifier l'enfant aidant, les capitaux ont été réintégrés à l'actif de la succession.</w:t>
      </w:r>
      <w:r>
        <w:rPr>
          <w:color w:val="646464"/>
          <w:sz w:val="24"/>
          <w:szCs w:val="24"/>
        </w:rPr>
        <w:br/>
      </w:r>
      <w:hyperlink r:id="rId10" w:history="1">
        <w:r>
          <w:rPr>
            <w:rStyle w:val="a"/>
            <w:color w:val="4623EB"/>
            <w:sz w:val="24"/>
            <w:szCs w:val="24"/>
          </w:rPr>
          <w:t>CA Paris, 10 mars 2023, n°19/07114</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p"/>
        <w:spacing w:before="0" w:after="240" w:line="330" w:lineRule="atLeast"/>
        <w:ind w:left="0" w:right="0"/>
        <w:rPr>
          <w:color w:val="646464"/>
          <w:sz w:val="24"/>
          <w:szCs w:val="24"/>
        </w:rPr>
      </w:pPr>
      <w:r>
        <w:rPr>
          <w:color w:val="646464"/>
          <w:sz w:val="24"/>
          <w:szCs w:val="24"/>
        </w:rPr>
        <w:t>C. ass. L132-12</w:t>
      </w:r>
      <w:r>
        <w:rPr>
          <w:color w:val="646464"/>
          <w:sz w:val="24"/>
          <w:szCs w:val="24"/>
        </w:rPr>
        <w:br/>
      </w:r>
      <w:r>
        <w:rPr>
          <w:color w:val="646464"/>
          <w:sz w:val="24"/>
          <w:szCs w:val="24"/>
        </w:rPr>
        <w:t>CASF L.132-8</w:t>
      </w:r>
      <w:r>
        <w:rPr>
          <w:color w:val="646464"/>
          <w:sz w:val="24"/>
          <w:szCs w:val="24"/>
        </w:rPr>
        <w:br/>
      </w:r>
      <w:hyperlink r:id="rId6" w:tgtFrame="_blank" w:history="1">
        <w:r>
          <w:rPr>
            <w:rStyle w:val="a"/>
            <w:color w:val="4623EB"/>
            <w:sz w:val="24"/>
            <w:szCs w:val="24"/>
          </w:rPr>
          <w:t>CE. 6 fév. 2006, n°259385</w:t>
        </w:r>
      </w:hyperlink>
      <w:r>
        <w:rPr>
          <w:rStyle w:val="a"/>
          <w:color w:val="4623EB"/>
          <w:sz w:val="24"/>
          <w:szCs w:val="24"/>
        </w:rPr>
        <w:br/>
      </w:r>
      <w:hyperlink r:id="rId7" w:tgtFrame="_blank" w:history="1">
        <w:r>
          <w:rPr>
            <w:rStyle w:val="a"/>
            <w:color w:val="4623EB"/>
            <w:sz w:val="24"/>
            <w:szCs w:val="24"/>
          </w:rPr>
          <w:t>CE. 19 nov. 2004, n°254797</w:t>
        </w:r>
      </w:hyperlink>
      <w:r>
        <w:rPr>
          <w:rStyle w:val="a"/>
          <w:color w:val="4623EB"/>
          <w:sz w:val="24"/>
          <w:szCs w:val="24"/>
        </w:rPr>
        <w:br/>
      </w:r>
      <w:hyperlink r:id="rId8" w:tgtFrame="_blank" w:history="1">
        <w:r>
          <w:rPr>
            <w:rStyle w:val="a"/>
            <w:color w:val="4623EB"/>
            <w:sz w:val="24"/>
            <w:szCs w:val="24"/>
          </w:rPr>
          <w:t>CE. 21 oct. 2009, n°316881</w:t>
        </w:r>
      </w:hyperlink>
      <w:r>
        <w:rPr>
          <w:rStyle w:val="a"/>
          <w:color w:val="4623EB"/>
          <w:sz w:val="24"/>
          <w:szCs w:val="24"/>
        </w:rPr>
        <w:br/>
      </w:r>
      <w:hyperlink r:id="rId9" w:tgtFrame="_blank" w:history="1">
        <w:r>
          <w:rPr>
            <w:rStyle w:val="a"/>
            <w:color w:val="4623EB"/>
            <w:sz w:val="24"/>
            <w:szCs w:val="24"/>
          </w:rPr>
          <w:t>CE 29 juil. 2020, n°425329</w:t>
        </w:r>
      </w:hyperlink>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1"/>
      <w:footerReference w:type="default" r:id="rId12"/>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2</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paragraph" w:customStyle="1" w:styleId="linotnth-last-child1">
    <w:name w:val="li_not(:nth-last-child(1))"/>
    <w:basedOn w:val="Normal"/>
  </w:style>
  <w:style w:type="character" w:customStyle="1" w:styleId="a">
    <w:name w:val="a"/>
    <w:basedOn w:val="DefaultParagraphFont"/>
    <w:rPr>
      <w:color w:val="4623EB"/>
    </w:r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api/technical-resource/attachment/7403/download" TargetMode="External"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api/technical-resource/attachment/old/jurisprudence/CE.-6-fev.-2006,-n25938.pdf" TargetMode="External" /><Relationship Id="rId7" Type="http://schemas.openxmlformats.org/officeDocument/2006/relationships/hyperlink" Target="https://api.fidroit.fr/api/technical-resource/attachment/old/jurisprudence/CE.-19-nov.-2004,-n254797.pdf" TargetMode="External" /><Relationship Id="rId8" Type="http://schemas.openxmlformats.org/officeDocument/2006/relationships/hyperlink" Target="https://api.fidroit.fr/api/technical-resource/attachment/old/jurisprudence/CE.-21-oct.-2009,-n316881.pdf" TargetMode="External" /><Relationship Id="rId9" Type="http://schemas.openxmlformats.org/officeDocument/2006/relationships/hyperlink" Target="https://api.fidroit.fr/api/technical-resource/attachment/5548/download"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2</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2023-08-17T12:14:17Z</dcterms:created>
  <dcterms:modified xsi:type="dcterms:W3CDTF">2023-08-17T12:14:17Z</dcterms:modified>
</cp:coreProperties>
</file>