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Les enfants mineurs peuvent-ils souscrire un contrat d’assurance-vie ?</w:t>
      </w:r>
    </w:p>
    <w:p>
      <w:pPr>
        <w:pStyle w:val="updated-at"/>
        <w:spacing w:before="0" w:after="300" w:line="360" w:lineRule="atLeast"/>
        <w:ind w:left="0" w:right="0"/>
        <w:rPr>
          <w:color w:val="646464"/>
          <w:sz w:val="27"/>
          <w:szCs w:val="27"/>
        </w:rPr>
      </w:pPr>
      <w:r>
        <w:rPr>
          <w:color w:val="646464"/>
          <w:sz w:val="27"/>
          <w:szCs w:val="27"/>
        </w:rPr>
        <w:t>Mis à jour le 1 juil. 2022</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color w:val="646464"/>
          <w:sz w:val="24"/>
          <w:szCs w:val="24"/>
        </w:rPr>
        <w:t>Les enfants mineurs peuvent-ils souscrire un contrat d’assurance-vie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Le mineur ne peut disposer de ses biens avant l'âge de 16 ans. Donc, il ne peut souscrire seul un contrat d'assurance vie.</w:t>
      </w:r>
      <w:r>
        <w:rPr>
          <w:color w:val="646464"/>
          <w:sz w:val="24"/>
          <w:szCs w:val="24"/>
        </w:rPr>
        <w:br/>
      </w:r>
      <w:hyperlink r:id="rId6" w:tgtFrame="_blank" w:history="1">
        <w:r>
          <w:rPr>
            <w:rStyle w:val="a"/>
            <w:color w:val="4623EB"/>
            <w:sz w:val="24"/>
            <w:szCs w:val="24"/>
          </w:rPr>
          <w:t>C. civ. art. 903</w:t>
        </w:r>
      </w:hyperlink>
    </w:p>
    <w:p>
      <w:pPr>
        <w:pStyle w:val="p"/>
        <w:spacing w:before="0" w:after="180" w:line="330" w:lineRule="atLeast"/>
        <w:ind w:left="0" w:right="0"/>
        <w:rPr>
          <w:color w:val="646464"/>
          <w:sz w:val="24"/>
          <w:szCs w:val="24"/>
        </w:rPr>
      </w:pPr>
      <w:r>
        <w:rPr>
          <w:color w:val="646464"/>
          <w:sz w:val="24"/>
          <w:szCs w:val="24"/>
        </w:rPr>
        <w:t>Cependant, avec l'aide de ses représentants légaux (administrateur légal ou tuteur), il peut décider de souscrire un contrat d'assurance vie en son nom (mais aussi pour ce qui concerne les rachats, les avances, les versements complémentaires) . La signature des 2 parents est requise s'ils ont tous 2 l'autorité parentale.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Contrat libellé en euros</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Contrat multi-supports</w:t>
            </w:r>
            <w:r>
              <w:rPr>
                <w:b/>
                <w:bCs/>
                <w:color w:val="FFFFFF"/>
                <w:sz w:val="24"/>
                <w:szCs w:val="24"/>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 présence des deux parents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29"/>
              </w:numPr>
              <w:spacing w:before="240" w:after="240" w:line="300" w:lineRule="atLeast"/>
              <w:ind w:left="720" w:right="0" w:hanging="360"/>
              <w:jc w:val="left"/>
              <w:rPr>
                <w:color w:val="646464"/>
                <w:sz w:val="21"/>
                <w:szCs w:val="21"/>
              </w:rPr>
            </w:pPr>
            <w:r>
              <w:rPr>
                <w:color w:val="646464"/>
                <w:sz w:val="21"/>
                <w:szCs w:val="21"/>
              </w:rPr>
              <w:t>Accord des 2 parents (C.civ. art. 382-1 et 387)</w:t>
            </w:r>
          </w:p>
          <w:p>
            <w:pPr>
              <w:pStyle w:val="p"/>
              <w:spacing w:before="0" w:after="180" w:line="300" w:lineRule="atLeast"/>
              <w:ind w:left="0" w:right="0"/>
              <w:rPr>
                <w:color w:val="646464"/>
                <w:sz w:val="21"/>
                <w:szCs w:val="21"/>
              </w:rPr>
            </w:pPr>
            <w:r>
              <w:rPr>
                <w:color w:val="646464"/>
                <w:sz w:val="21"/>
                <w:szCs w:val="21"/>
              </w:rPr>
              <w:t>En cas de désaccord entre eux, l'autorisation du juge des tutelles est nécessaire et le juge retiendra le placement offrant toute sécurité à l'enfant sur le long terme avec notamment une garantie en capital, quand bien même la rémunération paraîtrait moins intéressante.</w:t>
            </w:r>
          </w:p>
          <w:p>
            <w:pPr>
              <w:pStyle w:val="p"/>
              <w:spacing w:before="0" w:after="180" w:line="300" w:lineRule="atLeast"/>
              <w:ind w:left="0" w:right="0"/>
              <w:rPr>
                <w:color w:val="646464"/>
                <w:sz w:val="21"/>
                <w:szCs w:val="21"/>
              </w:rPr>
            </w:pPr>
            <w:hyperlink r:id="rId7" w:tgtFrame="_blank" w:history="1">
              <w:r>
                <w:rPr>
                  <w:rStyle w:val="a"/>
                  <w:color w:val="4623EB"/>
                  <w:sz w:val="21"/>
                  <w:szCs w:val="21"/>
                </w:rPr>
                <w:t>Voir notre actualité : Placement des fonds d’un mineur : la garantie en capital doit être privilégiée (CA Bordeaux 08/06/2016)</w:t>
              </w:r>
            </w:hyperlink>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 notre sens : l'autorisation du juge des tutelles est nécessaire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 présence d’un seul parent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30"/>
              </w:numPr>
              <w:spacing w:before="240" w:after="240" w:line="300" w:lineRule="atLeast"/>
              <w:ind w:left="720" w:right="0" w:hanging="360"/>
              <w:jc w:val="left"/>
              <w:rPr>
                <w:color w:val="646464"/>
                <w:sz w:val="21"/>
                <w:szCs w:val="21"/>
              </w:rPr>
            </w:pPr>
            <w:r>
              <w:rPr>
                <w:color w:val="646464"/>
                <w:sz w:val="21"/>
                <w:szCs w:val="21"/>
              </w:rPr>
              <w:t>Accord du parent (C. civ. art. 382)</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 Avis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souscription d'un contrat d'assurance-vie pour le compte d'un mineur n'est pas expressément visée par l'article 387-1 du Code civil comme étant un acte de disposition nécessitant l'autorisation du juge des tutelles.</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Cependant, à notre sens, </w:t>
      </w:r>
      <w:r>
        <w:rPr>
          <w:color w:val="646464"/>
          <w:sz w:val="21"/>
          <w:szCs w:val="21"/>
          <w:u w:val="single" w:color="646464"/>
        </w:rPr>
        <w:t>la souscription d'un contrat multi-supports</w:t>
      </w:r>
      <w:r>
        <w:rPr>
          <w:color w:val="646464"/>
          <w:sz w:val="21"/>
          <w:szCs w:val="21"/>
        </w:rPr>
        <w:t> constitue indirectement un acte portant sur des valeurs mobilières ou des instruments financiers au sens de l'article L. 211-1 du Code monétaire et financier.</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 civ. art. 387-1, 8°</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Certains assureurs acceptent toutefois la souscription de contrats multi-supports pour des mineurs sans demander l'autorisation du juge des tutelles.</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Clause bénéficiaire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u w:val="single" w:color="646464"/>
        </w:rPr>
        <w:t>Lorsque le mineur a moins de 16 ans</w:t>
      </w:r>
      <w:r>
        <w:rPr>
          <w:color w:val="646464"/>
          <w:sz w:val="21"/>
          <w:szCs w:val="21"/>
        </w:rPr>
        <w:t>, seule une clause bénéficiaire désignant les héritiers légaux est possible, compte tenu de l’interdiction faite aux enfants de moins de 16 ans de procéder à des donations (C. civ. art. 903 et 904) et de l’interdiction faite aux parents de réaliser des donations sur les biens d’un enfant mineur (C. civ. art. 387-2 1°),</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u w:val="single" w:color="646464"/>
        </w:rPr>
        <w:t>Lorsque le mineur aura atteint l’âge de 16 ans</w:t>
      </w:r>
      <w:r>
        <w:rPr>
          <w:color w:val="646464"/>
          <w:sz w:val="21"/>
          <w:szCs w:val="21"/>
        </w:rPr>
        <w:t>, il pourra désigner par testament un bénéficiaire dans la limite de la moitié de la quotité disponible.</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Rappel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L'interdiction de contracter une assurance décès sur la tête d'un enfant </w:t>
      </w:r>
      <w:r>
        <w:rPr>
          <w:color w:val="646464"/>
          <w:sz w:val="21"/>
          <w:szCs w:val="21"/>
          <w:u w:val="single" w:color="646464"/>
        </w:rPr>
        <w:t>de moins de 12 ans</w:t>
      </w:r>
      <w:r>
        <w:rPr>
          <w:color w:val="646464"/>
          <w:sz w:val="21"/>
          <w:szCs w:val="21"/>
        </w:rPr>
        <w:t> :</w:t>
      </w:r>
    </w:p>
    <w:p>
      <w:pPr>
        <w:pStyle w:val="linotnth-last-child1"/>
        <w:numPr>
          <w:ilvl w:val="0"/>
          <w:numId w:val="31"/>
        </w:numPr>
        <w:shd w:val="clear" w:color="auto" w:fill="F5F5F5"/>
        <w:spacing w:before="240" w:after="240" w:line="300" w:lineRule="atLeast"/>
        <w:ind w:left="540" w:right="495" w:hanging="360"/>
        <w:jc w:val="left"/>
        <w:rPr>
          <w:color w:val="646464"/>
          <w:sz w:val="21"/>
          <w:szCs w:val="21"/>
        </w:rPr>
      </w:pPr>
      <w:r>
        <w:rPr>
          <w:color w:val="646464"/>
          <w:sz w:val="21"/>
          <w:szCs w:val="21"/>
        </w:rPr>
        <w:t>ne s’applique pas aux assurances en cas de vie ou au contrat mixte, mais uniquement aux assurances décès</w:t>
      </w:r>
      <w:r>
        <w:rPr>
          <w:color w:val="646464"/>
          <w:sz w:val="21"/>
          <w:szCs w:val="21"/>
        </w:rPr>
        <w:br/>
      </w:r>
      <w:r>
        <w:rPr>
          <w:color w:val="646464"/>
          <w:sz w:val="21"/>
          <w:szCs w:val="21"/>
        </w:rPr>
        <w:t>C. Ass. art. L.132-1</w:t>
      </w:r>
      <w:r>
        <w:rPr>
          <w:color w:val="646464"/>
          <w:sz w:val="21"/>
          <w:szCs w:val="21"/>
        </w:rPr>
        <w:br/>
      </w:r>
      <w:hyperlink r:id="rId8" w:tgtFrame="_blank" w:history="1">
        <w:r>
          <w:rPr>
            <w:rStyle w:val="a"/>
            <w:color w:val="4623EB"/>
            <w:sz w:val="21"/>
            <w:szCs w:val="21"/>
          </w:rPr>
          <w:t>RM. Verchère JOAN 5 mars 2013, n°6911</w:t>
        </w:r>
      </w:hyperlink>
    </w:p>
    <w:p>
      <w:pPr>
        <w:numPr>
          <w:ilvl w:val="0"/>
          <w:numId w:val="31"/>
        </w:numPr>
        <w:shd w:val="clear" w:color="auto" w:fill="F5F5F5"/>
        <w:spacing w:after="600" w:line="300" w:lineRule="atLeast"/>
        <w:ind w:left="540" w:right="495" w:hanging="360"/>
        <w:jc w:val="left"/>
        <w:rPr>
          <w:color w:val="646464"/>
          <w:sz w:val="21"/>
          <w:szCs w:val="21"/>
        </w:rPr>
      </w:pPr>
      <w:r>
        <w:rPr>
          <w:color w:val="646464"/>
          <w:sz w:val="21"/>
          <w:szCs w:val="21"/>
        </w:rPr>
        <w:t>et ne s’applique pas, a priori, pas lorsque le mineur assuré et également le souscripteur.</w:t>
      </w:r>
      <w:r>
        <w:rPr>
          <w:color w:val="646464"/>
          <w:sz w:val="21"/>
          <w:szCs w:val="21"/>
        </w:rPr>
        <w:br/>
      </w:r>
      <w:r>
        <w:rPr>
          <w:color w:val="646464"/>
          <w:sz w:val="21"/>
          <w:szCs w:val="21"/>
        </w:rPr>
        <w:t> </w:t>
      </w:r>
      <w:hyperlink r:id="rId9" w:tgtFrame="_blank" w:history="1">
        <w:r>
          <w:rPr>
            <w:rStyle w:val="a"/>
            <w:color w:val="4623EB"/>
            <w:sz w:val="21"/>
            <w:szCs w:val="21"/>
          </w:rPr>
          <w:t>RM. Derosier JOAN 4 déc. 2000, n°45887 </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C. civ. art. 382 et s.</w:t>
      </w:r>
      <w:r>
        <w:rPr>
          <w:color w:val="646464"/>
          <w:sz w:val="24"/>
          <w:szCs w:val="24"/>
        </w:rPr>
        <w:br/>
      </w:r>
      <w:r>
        <w:rPr>
          <w:color w:val="646464"/>
          <w:sz w:val="24"/>
          <w:szCs w:val="24"/>
        </w:rPr>
        <w:t>C. civ. art. 387 et s. </w:t>
      </w:r>
      <w:r>
        <w:rPr>
          <w:color w:val="646464"/>
          <w:sz w:val="24"/>
          <w:szCs w:val="24"/>
        </w:rPr>
        <w:br/>
      </w:r>
      <w:r>
        <w:rPr>
          <w:color w:val="646464"/>
          <w:sz w:val="24"/>
          <w:szCs w:val="24"/>
        </w:rPr>
        <w:t>C. civ. art. 903 et 904.</w:t>
      </w:r>
      <w:r>
        <w:rPr>
          <w:color w:val="646464"/>
          <w:sz w:val="24"/>
          <w:szCs w:val="24"/>
        </w:rPr>
        <w:br/>
      </w:r>
      <w:r>
        <w:rPr>
          <w:color w:val="646464"/>
          <w:sz w:val="24"/>
          <w:szCs w:val="24"/>
        </w:rPr>
        <w:t>C. ass. art. L. 132-1 </w:t>
      </w:r>
      <w:r>
        <w:rPr>
          <w:color w:val="646464"/>
          <w:sz w:val="24"/>
          <w:szCs w:val="24"/>
        </w:rPr>
        <w:br/>
      </w:r>
      <w:hyperlink r:id="rId8" w:tgtFrame="_blank" w:history="1">
        <w:r>
          <w:rPr>
            <w:rStyle w:val="a"/>
            <w:color w:val="4623EB"/>
            <w:sz w:val="24"/>
            <w:szCs w:val="24"/>
          </w:rPr>
          <w:t>RM. Verchère JOAN 5 mars 2013, n°6911</w:t>
        </w:r>
      </w:hyperlink>
      <w:r>
        <w:rPr>
          <w:rStyle w:val="a"/>
          <w:color w:val="4623EB"/>
          <w:sz w:val="24"/>
          <w:szCs w:val="24"/>
        </w:rPr>
        <w:br/>
      </w:r>
      <w:hyperlink r:id="rId9" w:tgtFrame="_blank" w:history="1">
        <w:r>
          <w:rPr>
            <w:rStyle w:val="a"/>
            <w:color w:val="4623EB"/>
            <w:sz w:val="24"/>
            <w:szCs w:val="24"/>
          </w:rPr>
          <w:t>RM. Derosier JOAN 4 déc. 2000, n°45887</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0"/>
      <w:footerReference w:type="default" r:id="rId1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character" w:customStyle="1" w:styleId="a">
    <w:name w:val="a"/>
    <w:basedOn w:val="DefaultParagraphFont"/>
    <w:rPr>
      <w:color w:val="4623EB"/>
    </w:rPr>
  </w:style>
  <w:style w:type="table" w:customStyle="1" w:styleId="figuretabletable">
    <w:name w:val="figure_table_table"/>
    <w:basedOn w:val="TableNormal"/>
    <w:tbl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ulli">
    <w:name w:val="fd-document-box-purple_ul_li"/>
    <w:basedOn w:val="Normal"/>
    <w:pPr>
      <w:pBdr>
        <w:left w:val="none" w:sz="0" w:space="24"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linotnth-last-child1">
    <w:name w:val="li_not(:nth-last-child(1))"/>
    <w:basedOn w:val="Normal"/>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www.legifrance.gouv.fr/codes/article_lc/LEGIARTI000006433639/" TargetMode="External" /><Relationship Id="rId7" Type="http://schemas.openxmlformats.org/officeDocument/2006/relationships/hyperlink" Target="https://api.fidroit.fr/document/46158" TargetMode="External" /><Relationship Id="rId8" Type="http://schemas.openxmlformats.org/officeDocument/2006/relationships/hyperlink" Target="https://api.fidroit.fr/api/technical-resource/attachment/old/reponse/VERCHERE-5-03-2013.pdf" TargetMode="External" /><Relationship Id="rId9" Type="http://schemas.openxmlformats.org/officeDocument/2006/relationships/hyperlink" Target="https://api.fidroit.fr/api/technical-resource/attachment/old/reponse/RM-Derosier-04-12-2000.pdf"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2023-08-17T12:14:06Z</dcterms:created>
  <dcterms:modified xsi:type="dcterms:W3CDTF">2023-08-17T12:14:06Z</dcterms:modified>
</cp:coreProperties>
</file>