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 Quel est l’impact du taux d’intérêt légal sur le montant des sommes versées par l’assureur ?</w:t>
      </w:r>
    </w:p>
    <w:p>
      <w:pPr>
        <w:pStyle w:val="updated-at"/>
        <w:spacing w:before="0" w:after="300" w:line="360" w:lineRule="atLeast"/>
        <w:ind w:left="0" w:right="0"/>
        <w:rPr>
          <w:color w:val="646464"/>
          <w:sz w:val="27"/>
          <w:szCs w:val="27"/>
        </w:rPr>
      </w:pPr>
      <w:r>
        <w:rPr>
          <w:color w:val="646464"/>
          <w:sz w:val="27"/>
          <w:szCs w:val="27"/>
        </w:rPr>
        <w:t>Mis à jour le 17 juil. 2023</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w:t>
      </w:r>
    </w:p>
    <w:p>
      <w:pPr>
        <w:pStyle w:val="p"/>
        <w:spacing w:before="0" w:after="240" w:line="330" w:lineRule="atLeast"/>
        <w:ind w:left="0" w:right="0"/>
        <w:rPr>
          <w:color w:val="646464"/>
          <w:sz w:val="24"/>
          <w:szCs w:val="24"/>
        </w:rPr>
      </w:pPr>
      <w:r>
        <w:rPr>
          <w:i/>
          <w:iCs/>
          <w:color w:val="646464"/>
          <w:sz w:val="24"/>
          <w:szCs w:val="24"/>
        </w:rPr>
        <w:t>Lorsque le souscripteur demande un rachat ou lorsque le contrat est dénoué par décès, sous quels délais l’assureur doit-il verser les capitaux ?</w:t>
      </w:r>
      <w:r>
        <w:rPr>
          <w:i/>
          <w:iCs/>
          <w:color w:val="646464"/>
          <w:sz w:val="24"/>
          <w:szCs w:val="24"/>
        </w:rPr>
        <w:br/>
      </w:r>
      <w:r>
        <w:rPr>
          <w:i/>
          <w:iCs/>
          <w:color w:val="646464"/>
          <w:sz w:val="24"/>
          <w:szCs w:val="24"/>
        </w:rPr>
        <w:t>Quelles sont les obligations du conseiller en gestion de patrimoine vis-à-vis de l’assureur ?</w:t>
      </w:r>
      <w:r>
        <w:rPr>
          <w:i/>
          <w:iCs/>
          <w:color w:val="646464"/>
          <w:sz w:val="24"/>
          <w:szCs w:val="24"/>
        </w:rPr>
        <w:br/>
      </w:r>
      <w:r>
        <w:rPr>
          <w:i/>
          <w:iCs/>
          <w:color w:val="646464"/>
          <w:sz w:val="24"/>
          <w:szCs w:val="24"/>
        </w:rPr>
        <w:t>Quelles sont les pénalités de retard versées au souscripteur ou au bénéficiaire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Réponse</w:t>
      </w:r>
    </w:p>
    <w:p>
      <w:pPr>
        <w:pStyle w:val="p"/>
        <w:spacing w:before="0" w:after="180" w:line="330" w:lineRule="atLeast"/>
        <w:ind w:left="0" w:right="0"/>
        <w:rPr>
          <w:color w:val="646464"/>
          <w:sz w:val="24"/>
          <w:szCs w:val="24"/>
        </w:rPr>
      </w:pPr>
      <w:r>
        <w:rPr>
          <w:color w:val="646464"/>
          <w:sz w:val="24"/>
          <w:szCs w:val="24"/>
        </w:rPr>
        <w:t>En cas de demande de rachat, ou lorsqu’un contrat d’assurance-vie se dénoue par le décès de l’assuré, l’assureur doit verser les capitaux dans des délais encadrés par la loi. Le souscripteur (en cas de rachat) ou le bénéficiaire (en cas de décès) doit fournir les pièces et justificatifs demandés par l’assureur, qui doit ensuite lui verser rapidement les fonds.</w:t>
      </w:r>
    </w:p>
    <w:p>
      <w:pPr>
        <w:pStyle w:val="p"/>
        <w:spacing w:before="0" w:after="240" w:line="330" w:lineRule="atLeast"/>
        <w:ind w:left="0" w:right="0"/>
        <w:rPr>
          <w:color w:val="646464"/>
          <w:sz w:val="24"/>
          <w:szCs w:val="24"/>
        </w:rPr>
      </w:pPr>
      <w:r>
        <w:rPr>
          <w:color w:val="646464"/>
          <w:sz w:val="24"/>
          <w:szCs w:val="24"/>
        </w:rPr>
        <w:t>Si ce paiement n’est pas effectué à temps, des pénalités de retard sont dues. Elles sont calculées automatiquement par la compagnie sur la base du taux d’intérêt légal, fixé à 6,82 % (taux valable pour le second semestre 2023).</w:t>
      </w:r>
      <w:r>
        <w:rPr>
          <w:color w:val="646464"/>
          <w:sz w:val="24"/>
          <w:szCs w:val="24"/>
        </w:rPr>
        <w:br/>
      </w:r>
      <w:r>
        <w:rPr>
          <w:color w:val="646464"/>
          <w:sz w:val="24"/>
          <w:szCs w:val="24"/>
        </w:rPr>
        <w:t>Notez que ce taux peut être doublé ou même triplé si les délais s’allongent, les pénalités peuvent donc grimper jusqu’à 20,46 % (au second semestre 2023) ! </w:t>
      </w:r>
    </w:p>
    <w:p>
      <w:pPr>
        <w:pStyle w:val="Heading3"/>
        <w:pageBreakBefore w:val="0"/>
        <w:spacing w:before="0" w:after="240" w:line="330" w:lineRule="atLeast"/>
        <w:ind w:left="0" w:right="0"/>
        <w:rPr>
          <w:b/>
          <w:bCs/>
          <w:color w:val="202020"/>
          <w:sz w:val="28"/>
          <w:szCs w:val="24"/>
        </w:rPr>
      </w:pPr>
      <w:r>
        <w:rPr>
          <w:b/>
          <w:bCs/>
          <w:color w:val="202020"/>
          <w:sz w:val="24"/>
          <w:szCs w:val="24"/>
        </w:rPr>
        <w:t>2.1.</w:t>
      </w:r>
      <w:r>
        <w:rPr>
          <w:b/>
          <w:bCs/>
          <w:color w:val="202020"/>
          <w:sz w:val="24"/>
          <w:szCs w:val="24"/>
        </w:rPr>
        <w:t xml:space="preserve"> Les délais de paiement</w:t>
      </w:r>
    </w:p>
    <w:p>
      <w:pPr>
        <w:pStyle w:val="Heading4"/>
        <w:pageBreakBefore w:val="0"/>
        <w:spacing w:before="0" w:after="240" w:line="270" w:lineRule="atLeast"/>
        <w:ind w:left="0" w:right="0"/>
        <w:rPr>
          <w:b/>
          <w:bCs/>
          <w:color w:val="202020"/>
          <w:sz w:val="22"/>
          <w:szCs w:val="21"/>
        </w:rPr>
      </w:pPr>
      <w:r>
        <w:rPr>
          <w:b/>
          <w:bCs/>
          <w:color w:val="202020"/>
          <w:sz w:val="21"/>
          <w:szCs w:val="21"/>
        </w:rPr>
        <w:t>2.1.1.</w:t>
      </w:r>
      <w:r>
        <w:rPr>
          <w:b/>
          <w:bCs/>
          <w:color w:val="202020"/>
          <w:sz w:val="21"/>
          <w:szCs w:val="21"/>
        </w:rPr>
        <w:t xml:space="preserve"> En cas de rachat</w:t>
      </w:r>
    </w:p>
    <w:p>
      <w:pPr>
        <w:pStyle w:val="p"/>
        <w:spacing w:before="0" w:after="180" w:line="330" w:lineRule="atLeast"/>
        <w:ind w:left="0" w:right="0"/>
        <w:rPr>
          <w:color w:val="646464"/>
          <w:sz w:val="24"/>
          <w:szCs w:val="24"/>
        </w:rPr>
      </w:pPr>
      <w:r>
        <w:rPr>
          <w:color w:val="646464"/>
          <w:sz w:val="24"/>
          <w:szCs w:val="24"/>
        </w:rPr>
        <w:t xml:space="preserve">Le délai de paiement débute à compter de </w:t>
      </w:r>
      <w:r>
        <w:rPr>
          <w:color w:val="646464"/>
          <w:sz w:val="24"/>
          <w:szCs w:val="24"/>
          <w:u w:val="single" w:color="646464"/>
        </w:rPr>
        <w:t>la réception par l’assureur de la demande de rachat</w:t>
      </w:r>
      <w:r>
        <w:rPr>
          <w:color w:val="646464"/>
          <w:sz w:val="24"/>
          <w:szCs w:val="24"/>
        </w:rPr>
        <w:t>. </w:t>
      </w:r>
      <w:r>
        <w:rPr>
          <w:color w:val="646464"/>
          <w:sz w:val="24"/>
          <w:szCs w:val="24"/>
        </w:rPr>
        <w:br/>
      </w:r>
      <w:r>
        <w:rPr>
          <w:color w:val="646464"/>
          <w:sz w:val="24"/>
          <w:szCs w:val="24"/>
        </w:rPr>
        <w:t xml:space="preserve">L’assureur dispose alors d’un </w:t>
      </w:r>
      <w:r>
        <w:rPr>
          <w:color w:val="646464"/>
          <w:sz w:val="24"/>
          <w:szCs w:val="24"/>
          <w:u w:val="single" w:color="646464"/>
        </w:rPr>
        <w:t>délai légal de deux mois</w:t>
      </w:r>
      <w:r>
        <w:rPr>
          <w:color w:val="646464"/>
          <w:sz w:val="24"/>
          <w:szCs w:val="24"/>
        </w:rPr>
        <w:t xml:space="preserve"> pour verser les sommes. </w:t>
      </w:r>
      <w:r>
        <w:rPr>
          <w:color w:val="646464"/>
          <w:sz w:val="24"/>
          <w:szCs w:val="24"/>
        </w:rPr>
        <w:br/>
      </w:r>
      <w:r>
        <w:rPr>
          <w:color w:val="646464"/>
          <w:sz w:val="24"/>
          <w:szCs w:val="24"/>
        </w:rPr>
        <w:t>En cas de retard, le montant des pénalités correspond : </w:t>
      </w:r>
    </w:p>
    <w:p>
      <w:pPr>
        <w:pStyle w:val="linotnth-last-child1"/>
        <w:numPr>
          <w:ilvl w:val="0"/>
          <w:numId w:val="29"/>
        </w:numPr>
        <w:spacing w:before="240" w:after="240" w:line="330" w:lineRule="atLeast"/>
        <w:ind w:left="720" w:right="0" w:hanging="360"/>
        <w:jc w:val="left"/>
        <w:rPr>
          <w:color w:val="646464"/>
          <w:sz w:val="24"/>
          <w:szCs w:val="24"/>
        </w:rPr>
      </w:pPr>
      <w:r>
        <w:rPr>
          <w:color w:val="646464"/>
          <w:sz w:val="24"/>
          <w:szCs w:val="24"/>
        </w:rPr>
        <w:t>Au taux d’intérêt légal majoré de moitié durant les 2 premiers mois ; </w:t>
      </w:r>
    </w:p>
    <w:p>
      <w:pPr>
        <w:numPr>
          <w:ilvl w:val="0"/>
          <w:numId w:val="29"/>
        </w:numPr>
        <w:spacing w:after="240" w:line="330" w:lineRule="atLeast"/>
        <w:ind w:left="720" w:right="0" w:hanging="360"/>
        <w:jc w:val="left"/>
        <w:rPr>
          <w:color w:val="646464"/>
          <w:sz w:val="24"/>
          <w:szCs w:val="24"/>
        </w:rPr>
      </w:pPr>
      <w:r>
        <w:rPr>
          <w:color w:val="646464"/>
          <w:sz w:val="24"/>
          <w:szCs w:val="24"/>
        </w:rPr>
        <w:t>Puis au double du taux d’intérêt légal.</w:t>
      </w:r>
    </w:p>
    <w:p>
      <w:pPr>
        <w:pStyle w:val="p"/>
        <w:spacing w:before="0" w:after="180" w:line="330" w:lineRule="atLeast"/>
        <w:ind w:left="0" w:right="0"/>
        <w:rPr>
          <w:color w:val="646464"/>
          <w:sz w:val="24"/>
          <w:szCs w:val="24"/>
        </w:rPr>
      </w:pPr>
      <w:r>
        <w:rPr>
          <w:color w:val="646464"/>
          <w:sz w:val="24"/>
          <w:szCs w:val="24"/>
        </w:rPr>
        <w:t>Soit 10,23 % puis 13,64 % au second semestre 2023.</w:t>
      </w:r>
    </w:p>
    <w:p>
      <w:pPr>
        <w:pStyle w:val="p"/>
        <w:spacing w:before="0" w:after="240" w:line="330" w:lineRule="atLeast"/>
        <w:ind w:left="0" w:right="0"/>
        <w:rPr>
          <w:color w:val="646464"/>
          <w:sz w:val="24"/>
          <w:szCs w:val="24"/>
        </w:rPr>
      </w:pPr>
      <w:hyperlink r:id="rId6" w:history="1">
        <w:r>
          <w:rPr>
            <w:rStyle w:val="a"/>
            <w:color w:val="4623EB"/>
            <w:sz w:val="24"/>
            <w:szCs w:val="24"/>
          </w:rPr>
          <w:t>C. ass. art. L.132-21 </w:t>
        </w:r>
      </w:hyperlink>
    </w:p>
    <w:p>
      <w:pPr>
        <w:pStyle w:val="Heading4"/>
        <w:pageBreakBefore w:val="0"/>
        <w:spacing w:before="0" w:after="240" w:line="270" w:lineRule="atLeast"/>
        <w:ind w:left="0" w:right="0"/>
        <w:rPr>
          <w:b/>
          <w:bCs/>
          <w:color w:val="202020"/>
          <w:sz w:val="22"/>
          <w:szCs w:val="21"/>
        </w:rPr>
      </w:pPr>
      <w:r>
        <w:rPr>
          <w:b/>
          <w:bCs/>
          <w:color w:val="202020"/>
          <w:sz w:val="21"/>
          <w:szCs w:val="21"/>
        </w:rPr>
        <w:t>2.1.2.</w:t>
      </w:r>
      <w:r>
        <w:rPr>
          <w:b/>
          <w:bCs/>
          <w:color w:val="202020"/>
          <w:sz w:val="21"/>
          <w:szCs w:val="21"/>
        </w:rPr>
        <w:t xml:space="preserve"> En cas de décès</w:t>
      </w:r>
    </w:p>
    <w:p>
      <w:pPr>
        <w:pStyle w:val="p"/>
        <w:spacing w:before="0" w:after="180" w:line="330" w:lineRule="atLeast"/>
        <w:ind w:left="0" w:right="0"/>
        <w:rPr>
          <w:color w:val="646464"/>
          <w:sz w:val="24"/>
          <w:szCs w:val="24"/>
        </w:rPr>
      </w:pPr>
      <w:r>
        <w:rPr>
          <w:color w:val="646464"/>
          <w:sz w:val="24"/>
          <w:szCs w:val="24"/>
        </w:rPr>
        <w:t>Entre la date du décès et la date à laquelle l’assureur en est informé, le contrat continue de produire des intérêts. L’assureur rémunère alors normalement les capitaux. Une fois informé du décès de l’assuré, il « désinvestit » les encours du fonds en euros ou des unités de compte présents au sein du contrat pour « arrêter » le montant des capitaux décès.</w:t>
      </w:r>
      <w:r>
        <w:rPr>
          <w:color w:val="646464"/>
          <w:sz w:val="24"/>
          <w:szCs w:val="24"/>
        </w:rPr>
        <w:br/>
      </w:r>
      <w:r>
        <w:rPr>
          <w:color w:val="646464"/>
          <w:sz w:val="24"/>
          <w:szCs w:val="24"/>
        </w:rPr>
        <w:t>Le montant des capitaux décès (au jour auquel l’assureur « arrête » le contrat) produit ensuite de plein droit des intérêts (nets de frais) à un taux égal au moins élevé des deux taux suivants : </w:t>
      </w:r>
    </w:p>
    <w:p>
      <w:pPr>
        <w:pStyle w:val="linotnth-last-child1"/>
        <w:numPr>
          <w:ilvl w:val="0"/>
          <w:numId w:val="30"/>
        </w:numPr>
        <w:spacing w:before="240" w:after="240" w:line="330" w:lineRule="atLeast"/>
        <w:ind w:left="720" w:right="0" w:hanging="360"/>
        <w:jc w:val="left"/>
        <w:rPr>
          <w:color w:val="646464"/>
          <w:sz w:val="24"/>
          <w:szCs w:val="24"/>
        </w:rPr>
      </w:pPr>
      <w:r>
        <w:rPr>
          <w:color w:val="646464"/>
          <w:sz w:val="24"/>
          <w:szCs w:val="24"/>
        </w:rPr>
        <w:t>La moyenne sur les douze derniers mois du TME (Taux moyen des emprunts de l'Etat), calculée au 1</w:t>
      </w:r>
      <w:r>
        <w:rPr>
          <w:color w:val="646464"/>
          <w:sz w:val="24"/>
          <w:szCs w:val="24"/>
          <w:vertAlign w:val="superscript"/>
        </w:rPr>
        <w:t>er</w:t>
      </w:r>
      <w:r>
        <w:rPr>
          <w:color w:val="646464"/>
          <w:sz w:val="24"/>
          <w:szCs w:val="24"/>
        </w:rPr>
        <w:t xml:space="preserve"> novembre de l'année précédente ; </w:t>
      </w:r>
    </w:p>
    <w:p>
      <w:pPr>
        <w:numPr>
          <w:ilvl w:val="0"/>
          <w:numId w:val="30"/>
        </w:numPr>
        <w:spacing w:after="240" w:line="330" w:lineRule="atLeast"/>
        <w:ind w:left="720" w:right="0" w:hanging="360"/>
        <w:jc w:val="left"/>
        <w:rPr>
          <w:color w:val="646464"/>
          <w:sz w:val="24"/>
          <w:szCs w:val="24"/>
        </w:rPr>
      </w:pPr>
      <w:r>
        <w:rPr>
          <w:color w:val="646464"/>
          <w:sz w:val="24"/>
          <w:szCs w:val="24"/>
        </w:rPr>
        <w:t>Le TME au 1</w:t>
      </w:r>
      <w:r>
        <w:rPr>
          <w:color w:val="646464"/>
          <w:sz w:val="24"/>
          <w:szCs w:val="24"/>
          <w:vertAlign w:val="superscript"/>
        </w:rPr>
        <w:t>er</w:t>
      </w:r>
      <w:r>
        <w:rPr>
          <w:color w:val="646464"/>
          <w:sz w:val="24"/>
          <w:szCs w:val="24"/>
        </w:rPr>
        <w:t xml:space="preserve"> novembre de l'année précédente. </w:t>
      </w:r>
    </w:p>
    <w:p>
      <w:pPr>
        <w:pStyle w:val="p"/>
        <w:spacing w:before="0" w:after="180" w:line="330" w:lineRule="atLeast"/>
        <w:ind w:left="0" w:right="0"/>
        <w:rPr>
          <w:color w:val="646464"/>
          <w:sz w:val="24"/>
          <w:szCs w:val="24"/>
        </w:rPr>
      </w:pPr>
      <w:hyperlink r:id="rId7" w:history="1">
        <w:r>
          <w:rPr>
            <w:rStyle w:val="a"/>
            <w:color w:val="4623EB"/>
            <w:sz w:val="24"/>
            <w:szCs w:val="24"/>
          </w:rPr>
          <w:t>C. ass. art. R132-3-1</w:t>
        </w:r>
      </w:hyperlink>
    </w:p>
    <w:p>
      <w:pPr>
        <w:pStyle w:val="p"/>
        <w:spacing w:before="0" w:after="180" w:line="330" w:lineRule="atLeast"/>
        <w:ind w:left="0" w:right="0"/>
        <w:rPr>
          <w:color w:val="646464"/>
          <w:sz w:val="24"/>
          <w:szCs w:val="24"/>
        </w:rPr>
      </w:pPr>
      <w:r>
        <w:rPr>
          <w:color w:val="646464"/>
          <w:sz w:val="24"/>
          <w:szCs w:val="24"/>
        </w:rPr>
        <w:t>Une rémunération minimale permet ainsi de valoriser le contrat dans l’attente de l’identification des bénéficiaires.</w:t>
      </w:r>
    </w:p>
    <w:p>
      <w:pPr>
        <w:pStyle w:val="p"/>
        <w:spacing w:before="0" w:after="180" w:line="330" w:lineRule="atLeast"/>
        <w:ind w:left="0" w:right="0"/>
        <w:rPr>
          <w:color w:val="646464"/>
          <w:sz w:val="24"/>
          <w:szCs w:val="24"/>
        </w:rPr>
      </w:pPr>
      <w:r>
        <w:rPr>
          <w:color w:val="646464"/>
          <w:sz w:val="24"/>
          <w:szCs w:val="24"/>
        </w:rPr>
        <w:t> </w:t>
      </w:r>
    </w:p>
    <w:p>
      <w:pPr>
        <w:pStyle w:val="p"/>
        <w:spacing w:before="0" w:after="240" w:line="330" w:lineRule="atLeast"/>
        <w:ind w:left="0" w:right="0"/>
        <w:rPr>
          <w:color w:val="646464"/>
          <w:sz w:val="24"/>
          <w:szCs w:val="24"/>
        </w:rPr>
      </w:pPr>
      <w:r>
        <w:rPr>
          <w:color w:val="646464"/>
          <w:sz w:val="24"/>
          <w:szCs w:val="24"/>
        </w:rPr>
        <w:t xml:space="preserve">Il faut ensuite distinguer </w:t>
      </w:r>
      <w:r>
        <w:rPr>
          <w:color w:val="646464"/>
          <w:sz w:val="24"/>
          <w:szCs w:val="24"/>
          <w:u w:val="single" w:color="646464"/>
        </w:rPr>
        <w:t>2 délais différents</w:t>
      </w:r>
      <w:r>
        <w:rPr>
          <w:color w:val="646464"/>
          <w:sz w:val="24"/>
          <w:szCs w:val="24"/>
        </w:rPr>
        <w:t xml:space="preserve"> et </w:t>
      </w:r>
      <w:r>
        <w:rPr>
          <w:color w:val="646464"/>
          <w:sz w:val="24"/>
          <w:szCs w:val="24"/>
          <w:u w:val="single" w:color="646464"/>
        </w:rPr>
        <w:t>2 points de départ</w:t>
      </w:r>
      <w:r>
        <w:rPr>
          <w:color w:val="646464"/>
          <w:sz w:val="24"/>
          <w:szCs w:val="24"/>
        </w:rPr>
        <w:t xml:space="preserve"> différents : </w:t>
      </w:r>
    </w:p>
    <w:p>
      <w:pPr>
        <w:spacing w:after="240" w:line="330" w:lineRule="atLeast"/>
        <w:jc w:val="center"/>
        <w:rPr>
          <w:color w:val="646464"/>
          <w:sz w:val="24"/>
          <w:szCs w:val="24"/>
        </w:rPr>
      </w:pPr>
      <w:r>
        <w:rPr>
          <w:color w:val="646464"/>
          <w:sz w:val="24"/>
          <w:szCs w:val="24"/>
        </w:rPr>
        <w:drawing>
          <wp:inline>
            <wp:extent cx="9525" cy="3810000"/>
            <wp:docPr id="100003" name="" descr="64b55a882e7ea_Refonte jusqu'à Ret_0101 (1300 × 1300 px) (1) (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9525" cy="3810000"/>
                    </a:xfrm>
                    <a:prstGeom prst="rect">
                      <a:avLst/>
                    </a:prstGeom>
                  </pic:spPr>
                </pic:pic>
              </a:graphicData>
            </a:graphic>
          </wp:inline>
        </w:drawing>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u w:val="single" w:color="202020"/>
        </w:rPr>
        <w:t>Dès que l’assureur est informé du décès et est en capacité d’identifier le bénéficiaire et son adresse</w:t>
      </w:r>
      <w:r>
        <w:rPr>
          <w:b w:val="0"/>
          <w:bCs w:val="0"/>
          <w:color w:val="202020"/>
          <w:sz w:val="24"/>
          <w:szCs w:val="24"/>
        </w:rPr>
        <w:t xml:space="preserve">, il dispose d’un </w:t>
      </w:r>
      <w:r>
        <w:rPr>
          <w:b w:val="0"/>
          <w:bCs w:val="0"/>
          <w:color w:val="202020"/>
          <w:sz w:val="24"/>
          <w:szCs w:val="24"/>
          <w:u w:val="single" w:color="202020"/>
        </w:rPr>
        <w:t>délai de 15 jours</w:t>
      </w:r>
      <w:r>
        <w:rPr>
          <w:b w:val="0"/>
          <w:bCs w:val="0"/>
          <w:color w:val="202020"/>
          <w:sz w:val="24"/>
          <w:szCs w:val="24"/>
        </w:rPr>
        <w:t xml:space="preserve"> pour lui demander l’ensemble des pièces et justificatifs nécessaires pour le versement des capitaux.</w:t>
      </w:r>
    </w:p>
    <w:p>
      <w:pPr>
        <w:pStyle w:val="p"/>
        <w:spacing w:before="0" w:after="180" w:line="330" w:lineRule="atLeast"/>
        <w:ind w:left="0" w:right="0"/>
        <w:rPr>
          <w:color w:val="646464"/>
          <w:sz w:val="24"/>
          <w:szCs w:val="24"/>
        </w:rPr>
      </w:pPr>
      <w:r>
        <w:rPr>
          <w:color w:val="646464"/>
          <w:sz w:val="24"/>
          <w:szCs w:val="24"/>
        </w:rPr>
        <w:t>S’il dépasse ce délai, des pénalités de retard s’appliquent et correspondent :</w:t>
      </w:r>
    </w:p>
    <w:p>
      <w:pPr>
        <w:pStyle w:val="linotnth-last-child1"/>
        <w:numPr>
          <w:ilvl w:val="0"/>
          <w:numId w:val="31"/>
        </w:numPr>
        <w:spacing w:before="240" w:after="240" w:line="330" w:lineRule="atLeast"/>
        <w:ind w:left="720" w:right="0" w:hanging="360"/>
        <w:jc w:val="left"/>
        <w:rPr>
          <w:color w:val="646464"/>
          <w:sz w:val="24"/>
          <w:szCs w:val="24"/>
        </w:rPr>
      </w:pPr>
      <w:r>
        <w:rPr>
          <w:color w:val="646464"/>
          <w:sz w:val="24"/>
          <w:szCs w:val="24"/>
        </w:rPr>
        <w:t xml:space="preserve">au double du taux d’intérêt légal pour </w:t>
      </w:r>
      <w:r>
        <w:rPr>
          <w:color w:val="646464"/>
          <w:sz w:val="24"/>
          <w:szCs w:val="24"/>
          <w:u w:val="single" w:color="646464"/>
        </w:rPr>
        <w:t>le 1er mois de retard</w:t>
      </w:r>
      <w:r>
        <w:rPr>
          <w:color w:val="646464"/>
          <w:sz w:val="24"/>
          <w:szCs w:val="24"/>
        </w:rPr>
        <w:t> ;</w:t>
      </w:r>
    </w:p>
    <w:p>
      <w:pPr>
        <w:numPr>
          <w:ilvl w:val="0"/>
          <w:numId w:val="31"/>
        </w:numPr>
        <w:spacing w:after="240" w:line="330" w:lineRule="atLeast"/>
        <w:ind w:left="720" w:right="0" w:hanging="360"/>
        <w:jc w:val="left"/>
        <w:rPr>
          <w:color w:val="646464"/>
          <w:sz w:val="24"/>
          <w:szCs w:val="24"/>
        </w:rPr>
      </w:pPr>
      <w:r>
        <w:rPr>
          <w:color w:val="646464"/>
          <w:sz w:val="24"/>
          <w:szCs w:val="24"/>
        </w:rPr>
        <w:t>puis au triple du taux d’intérêt légal.</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u w:val="single" w:color="202020"/>
        </w:rPr>
        <w:t>Dès que l’assureur reçoit l’ensemble des justificatifs demandés</w:t>
      </w:r>
      <w:r>
        <w:rPr>
          <w:b w:val="0"/>
          <w:bCs w:val="0"/>
          <w:color w:val="202020"/>
          <w:sz w:val="24"/>
          <w:szCs w:val="24"/>
        </w:rPr>
        <w:t>, il dispose d’</w:t>
      </w:r>
      <w:r>
        <w:rPr>
          <w:b w:val="0"/>
          <w:bCs w:val="0"/>
          <w:color w:val="202020"/>
          <w:sz w:val="24"/>
          <w:szCs w:val="24"/>
          <w:u w:val="single" w:color="202020"/>
        </w:rPr>
        <w:t>un délai de 30 jours maximum</w:t>
      </w:r>
      <w:r>
        <w:rPr>
          <w:b w:val="0"/>
          <w:bCs w:val="0"/>
          <w:color w:val="202020"/>
          <w:sz w:val="24"/>
          <w:szCs w:val="24"/>
        </w:rPr>
        <w:t xml:space="preserve"> pour effectuer le paiement au bénéficiaire.</w:t>
      </w:r>
    </w:p>
    <w:p>
      <w:pPr>
        <w:pStyle w:val="fd-document-box-purpl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C882FF"/>
          <w:sz w:val="18"/>
          <w:szCs w:val="18"/>
        </w:rPr>
      </w:pPr>
      <w:r>
        <w:rPr>
          <w:b/>
          <w:bCs/>
          <w:color w:val="C882FF"/>
          <w:sz w:val="18"/>
          <w:szCs w:val="18"/>
        </w:rPr>
        <w:t>Remarque</w:t>
      </w:r>
    </w:p>
    <w:p>
      <w:pPr>
        <w:pStyle w:val="fd-document-box-purplefd-document-box-descriptionpnth-last-child1"/>
        <w:pBdr>
          <w:top w:val="single" w:sz="8" w:space="1" w:color="000000"/>
          <w:left w:val="single" w:sz="8" w:space="4" w:color="000000"/>
          <w:bottom w:val="single" w:sz="8" w:space="1" w:color="000000"/>
          <w:right w:val="single" w:sz="8" w:space="4" w:color="000000"/>
        </w:pBdr>
        <w:shd w:val="clear" w:color="auto" w:fill="F5F5F5"/>
        <w:spacing w:before="0" w:after="540" w:line="300" w:lineRule="atLeast"/>
        <w:ind w:left="640" w:right="595"/>
        <w:rPr>
          <w:color w:val="646464"/>
          <w:sz w:val="21"/>
          <w:szCs w:val="21"/>
        </w:rPr>
      </w:pPr>
      <w:r>
        <w:rPr>
          <w:color w:val="646464"/>
          <w:sz w:val="21"/>
          <w:szCs w:val="21"/>
        </w:rPr>
        <w:t>Il est conseillé d’envoyer les documents par courrier recommandé avec accusé de réception afin de prouver la date d’envoi et la bonne réception du dossier par l’assureur.</w:t>
      </w:r>
    </w:p>
    <w:p>
      <w:pPr>
        <w:pStyle w:val="p"/>
        <w:spacing w:before="0" w:after="180" w:line="330" w:lineRule="atLeast"/>
        <w:ind w:left="0" w:right="0"/>
        <w:rPr>
          <w:color w:val="646464"/>
          <w:sz w:val="24"/>
          <w:szCs w:val="24"/>
        </w:rPr>
      </w:pPr>
      <w:r>
        <w:rPr>
          <w:color w:val="646464"/>
          <w:sz w:val="24"/>
          <w:szCs w:val="24"/>
          <w:u w:val="single" w:color="646464"/>
        </w:rPr>
        <w:t>Ce délai court individuellement pour chaque bénéficiaire</w:t>
      </w:r>
      <w:r>
        <w:rPr>
          <w:color w:val="646464"/>
          <w:sz w:val="24"/>
          <w:szCs w:val="24"/>
        </w:rPr>
        <w:t>. Si un bénéficiaire n’a pas transmis l’intégralité des éléments demandés, le délai de paiement ne démarre pas pour lui, mais peut démarrer pour les autres bénéficiaires plus diligents.</w:t>
      </w:r>
    </w:p>
    <w:p>
      <w:pPr>
        <w:pStyle w:val="p"/>
        <w:spacing w:before="0" w:after="180" w:line="330" w:lineRule="atLeast"/>
        <w:ind w:left="0" w:right="0"/>
        <w:rPr>
          <w:color w:val="646464"/>
          <w:sz w:val="24"/>
          <w:szCs w:val="24"/>
        </w:rPr>
      </w:pPr>
      <w:r>
        <w:rPr>
          <w:color w:val="646464"/>
          <w:sz w:val="24"/>
          <w:szCs w:val="24"/>
        </w:rPr>
        <w:t>Si l’assureur n’effectue pas le versement des fonds dans les temps impartis, des pénalités de retard s’appliquent automatiquement et correspondent :</w:t>
      </w:r>
    </w:p>
    <w:p>
      <w:pPr>
        <w:pStyle w:val="linotnth-last-child1"/>
        <w:numPr>
          <w:ilvl w:val="0"/>
          <w:numId w:val="32"/>
        </w:numPr>
        <w:spacing w:before="240" w:after="240" w:line="330" w:lineRule="atLeast"/>
        <w:ind w:left="720" w:right="0" w:hanging="360"/>
        <w:jc w:val="left"/>
        <w:rPr>
          <w:color w:val="646464"/>
          <w:sz w:val="24"/>
          <w:szCs w:val="24"/>
        </w:rPr>
      </w:pPr>
      <w:r>
        <w:rPr>
          <w:color w:val="646464"/>
          <w:sz w:val="24"/>
          <w:szCs w:val="24"/>
        </w:rPr>
        <w:t xml:space="preserve">au double du taux d’intérêt légal </w:t>
      </w:r>
      <w:r>
        <w:rPr>
          <w:color w:val="646464"/>
          <w:sz w:val="24"/>
          <w:szCs w:val="24"/>
          <w:u w:val="single" w:color="646464"/>
        </w:rPr>
        <w:t>pendant les 2 premiers mois de retard, </w:t>
      </w:r>
      <w:r>
        <w:rPr>
          <w:color w:val="646464"/>
          <w:sz w:val="24"/>
          <w:szCs w:val="24"/>
        </w:rPr>
        <w:t> </w:t>
      </w:r>
    </w:p>
    <w:p>
      <w:pPr>
        <w:numPr>
          <w:ilvl w:val="0"/>
          <w:numId w:val="32"/>
        </w:numPr>
        <w:spacing w:after="240" w:line="330" w:lineRule="atLeast"/>
        <w:ind w:left="720" w:right="0" w:hanging="360"/>
        <w:jc w:val="left"/>
        <w:rPr>
          <w:color w:val="646464"/>
          <w:sz w:val="24"/>
          <w:szCs w:val="24"/>
        </w:rPr>
      </w:pPr>
      <w:r>
        <w:rPr>
          <w:color w:val="646464"/>
          <w:sz w:val="24"/>
          <w:szCs w:val="24"/>
        </w:rPr>
        <w:t>puis au triple du taux d’intérêt légal.</w:t>
      </w:r>
    </w:p>
    <w:p>
      <w:pPr>
        <w:pStyle w:val="p"/>
        <w:spacing w:before="0" w:after="240" w:line="330" w:lineRule="atLeast"/>
        <w:ind w:left="0" w:right="0"/>
        <w:rPr>
          <w:color w:val="646464"/>
          <w:sz w:val="24"/>
          <w:szCs w:val="24"/>
        </w:rPr>
      </w:pPr>
      <w:hyperlink r:id="rId10" w:history="1">
        <w:r>
          <w:rPr>
            <w:rStyle w:val="a"/>
            <w:color w:val="4623EB"/>
            <w:sz w:val="24"/>
            <w:szCs w:val="24"/>
          </w:rPr>
          <w:t>C. ass. art. L.132-23-1</w:t>
        </w:r>
      </w:hyperlink>
    </w:p>
    <w:p>
      <w:pPr>
        <w:pStyle w:val="fd-document-box-yellowfd-document-box-title"/>
        <w:pageBreakBefore w:val="0"/>
        <w:pBdr>
          <w:top w:val="single" w:sz="6" w:space="12" w:color="D6D6D6"/>
          <w:left w:val="single" w:sz="24" w:space="24" w:color="FFAA32"/>
          <w:bottom w:val="single" w:sz="6" w:space="0"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Dans la pratique</w:t>
      </w:r>
    </w:p>
    <w:p>
      <w:pPr>
        <w:pStyle w:val="p"/>
        <w:pBdr>
          <w:top w:val="single" w:sz="6" w:space="12" w:color="D6D6D6"/>
          <w:left w:val="single" w:sz="24" w:space="0" w:color="FFAA32"/>
          <w:bottom w:val="single" w:sz="6" w:space="0" w:color="D6D6D6"/>
          <w:right w:val="single" w:sz="6" w:space="0" w:color="D6D6D6"/>
        </w:pBdr>
        <w:shd w:val="clear" w:color="auto" w:fill="F5F5F5"/>
        <w:spacing w:before="0" w:after="180" w:line="300" w:lineRule="atLeast"/>
        <w:ind w:left="160" w:right="115"/>
        <w:rPr>
          <w:color w:val="646464"/>
          <w:sz w:val="21"/>
          <w:szCs w:val="21"/>
        </w:rPr>
      </w:pPr>
      <w:r>
        <w:rPr>
          <w:color w:val="646464"/>
          <w:sz w:val="21"/>
          <w:szCs w:val="21"/>
        </w:rPr>
        <w:t>Les éléments demandés par l’assureur sont généralement :</w:t>
      </w:r>
    </w:p>
    <w:p>
      <w:pPr>
        <w:pStyle w:val="linotnth-last-child1"/>
        <w:numPr>
          <w:ilvl w:val="0"/>
          <w:numId w:val="33"/>
        </w:numPr>
        <w:shd w:val="clear" w:color="auto" w:fill="F5F5F5"/>
        <w:spacing w:before="240" w:after="240" w:line="300" w:lineRule="atLeast"/>
        <w:ind w:left="880" w:right="115" w:hanging="360"/>
        <w:jc w:val="left"/>
        <w:rPr>
          <w:color w:val="646464"/>
          <w:sz w:val="21"/>
          <w:szCs w:val="21"/>
        </w:rPr>
      </w:pPr>
      <w:r>
        <w:rPr>
          <w:color w:val="646464"/>
          <w:sz w:val="21"/>
          <w:szCs w:val="21"/>
        </w:rPr>
        <w:t>l’acte de décès de l’assuré ;</w:t>
      </w:r>
    </w:p>
    <w:p>
      <w:pPr>
        <w:pStyle w:val="linotnth-last-child1"/>
        <w:numPr>
          <w:ilvl w:val="0"/>
          <w:numId w:val="33"/>
        </w:numPr>
        <w:shd w:val="clear" w:color="auto" w:fill="F5F5F5"/>
        <w:spacing w:after="240" w:line="300" w:lineRule="atLeast"/>
        <w:ind w:left="880" w:right="115" w:hanging="360"/>
        <w:jc w:val="left"/>
        <w:rPr>
          <w:color w:val="646464"/>
          <w:sz w:val="21"/>
          <w:szCs w:val="21"/>
        </w:rPr>
      </w:pPr>
      <w:r>
        <w:rPr>
          <w:color w:val="646464"/>
          <w:sz w:val="21"/>
          <w:szCs w:val="21"/>
        </w:rPr>
        <w:t>l’acte de notoriété établi par un notaire (cet acte reprend l’identité des héritiers du défunt et leur lien de parenté. Il est nécessaire lorsque la clause ne désigne pas les bénéficiaires nominativement mais par leur qualité) ;</w:t>
      </w:r>
    </w:p>
    <w:p>
      <w:pPr>
        <w:pStyle w:val="linotnth-last-child1"/>
        <w:numPr>
          <w:ilvl w:val="0"/>
          <w:numId w:val="33"/>
        </w:numPr>
        <w:shd w:val="clear" w:color="auto" w:fill="F5F5F5"/>
        <w:spacing w:after="240" w:line="300" w:lineRule="atLeast"/>
        <w:ind w:left="880" w:right="115" w:hanging="360"/>
        <w:jc w:val="left"/>
        <w:rPr>
          <w:color w:val="646464"/>
          <w:sz w:val="21"/>
          <w:szCs w:val="21"/>
        </w:rPr>
      </w:pPr>
      <w:r>
        <w:rPr>
          <w:color w:val="646464"/>
          <w:sz w:val="21"/>
          <w:szCs w:val="21"/>
        </w:rPr>
        <w:t>une copie du PACS ou un certificat de concubinage ;</w:t>
      </w:r>
    </w:p>
    <w:p>
      <w:pPr>
        <w:pStyle w:val="linotnth-last-child1"/>
        <w:numPr>
          <w:ilvl w:val="0"/>
          <w:numId w:val="33"/>
        </w:numPr>
        <w:shd w:val="clear" w:color="auto" w:fill="F5F5F5"/>
        <w:spacing w:after="240" w:line="300" w:lineRule="atLeast"/>
        <w:ind w:left="880" w:right="115" w:hanging="360"/>
        <w:jc w:val="left"/>
        <w:rPr>
          <w:color w:val="646464"/>
          <w:sz w:val="21"/>
          <w:szCs w:val="21"/>
        </w:rPr>
      </w:pPr>
      <w:r>
        <w:rPr>
          <w:color w:val="646464"/>
          <w:sz w:val="21"/>
          <w:szCs w:val="21"/>
        </w:rPr>
        <w:t>une pièce d’identité du bénéficiaire et de l’assuré ;</w:t>
      </w:r>
    </w:p>
    <w:p>
      <w:pPr>
        <w:pStyle w:val="linotnth-last-child1"/>
        <w:numPr>
          <w:ilvl w:val="0"/>
          <w:numId w:val="33"/>
        </w:numPr>
        <w:shd w:val="clear" w:color="auto" w:fill="F5F5F5"/>
        <w:spacing w:after="240" w:line="300" w:lineRule="atLeast"/>
        <w:ind w:left="880" w:right="115" w:hanging="360"/>
        <w:jc w:val="left"/>
        <w:rPr>
          <w:color w:val="646464"/>
          <w:sz w:val="21"/>
          <w:szCs w:val="21"/>
        </w:rPr>
      </w:pPr>
      <w:r>
        <w:rPr>
          <w:color w:val="646464"/>
          <w:sz w:val="21"/>
          <w:szCs w:val="21"/>
        </w:rPr>
        <w:t>une copie du contrat ;</w:t>
      </w:r>
    </w:p>
    <w:p>
      <w:pPr>
        <w:pStyle w:val="linotnth-last-child1"/>
        <w:numPr>
          <w:ilvl w:val="0"/>
          <w:numId w:val="33"/>
        </w:numPr>
        <w:shd w:val="clear" w:color="auto" w:fill="F5F5F5"/>
        <w:spacing w:after="240" w:line="300" w:lineRule="atLeast"/>
        <w:ind w:left="880" w:right="115" w:hanging="360"/>
        <w:jc w:val="left"/>
        <w:rPr>
          <w:color w:val="646464"/>
          <w:sz w:val="21"/>
          <w:szCs w:val="21"/>
        </w:rPr>
      </w:pPr>
      <w:r>
        <w:rPr>
          <w:color w:val="646464"/>
          <w:sz w:val="21"/>
          <w:szCs w:val="21"/>
        </w:rPr>
        <w:t>un relevé d’identité bancaire (RIB) ;</w:t>
      </w:r>
    </w:p>
    <w:p>
      <w:pPr>
        <w:numPr>
          <w:ilvl w:val="0"/>
          <w:numId w:val="33"/>
        </w:numPr>
        <w:shd w:val="clear" w:color="auto" w:fill="F5F5F5"/>
        <w:spacing w:after="600" w:line="300" w:lineRule="atLeast"/>
        <w:ind w:left="880" w:right="115" w:hanging="360"/>
        <w:jc w:val="left"/>
        <w:rPr>
          <w:color w:val="646464"/>
          <w:sz w:val="21"/>
          <w:szCs w:val="21"/>
        </w:rPr>
      </w:pPr>
      <w:r>
        <w:rPr>
          <w:color w:val="646464"/>
          <w:sz w:val="21"/>
          <w:szCs w:val="21"/>
        </w:rPr>
        <w:t>un certificat d’acquittement ou de non-exigibilité des droits (concernant les primes versées après 70 ans sur des contrats souscrits depuis le 20/11/1991).</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 xml:space="preserve">Pour plus de précisions, voir notre document pratique : </w:t>
      </w:r>
      <w:hyperlink r:id="rId11" w:history="1">
        <w:r>
          <w:rPr>
            <w:rStyle w:val="pspannotpucenotfd-update"/>
            <w:color w:val="4623EB"/>
            <w:sz w:val="24"/>
            <w:szCs w:val="24"/>
            <w:u w:val="single" w:color="4623EB"/>
          </w:rPr>
          <w:t>Identification des bénéficiaires et procédure de perception des capitaux décès d'assurance-vie</w:t>
        </w:r>
      </w:hyperlink>
    </w:p>
    <w:p>
      <w:pPr>
        <w:pStyle w:val="p"/>
        <w:spacing w:before="0" w:after="180" w:line="330" w:lineRule="atLeast"/>
        <w:ind w:left="0" w:right="0"/>
        <w:rPr>
          <w:color w:val="646464"/>
          <w:sz w:val="24"/>
          <w:szCs w:val="24"/>
        </w:rPr>
      </w:pPr>
      <w:r>
        <w:rPr>
          <w:color w:val="646464"/>
          <w:sz w:val="24"/>
          <w:szCs w:val="24"/>
          <w:u w:val="single" w:color="646464"/>
        </w:rPr>
        <w:t>En cas d’intermédiation</w:t>
      </w:r>
      <w:r>
        <w:rPr>
          <w:color w:val="646464"/>
          <w:sz w:val="24"/>
          <w:szCs w:val="24"/>
        </w:rPr>
        <w:t xml:space="preserve"> (par un courtier, un conseiller en gestion de patrimoine), </w:t>
      </w:r>
      <w:r>
        <w:rPr>
          <w:color w:val="646464"/>
          <w:sz w:val="24"/>
          <w:szCs w:val="24"/>
          <w:u w:val="single" w:color="646464"/>
        </w:rPr>
        <w:t>le délai court à compter de la réception des documents et des informations par le courtier.</w:t>
      </w:r>
      <w:r>
        <w:rPr>
          <w:color w:val="646464"/>
          <w:sz w:val="24"/>
          <w:szCs w:val="24"/>
        </w:rPr>
        <w:t xml:space="preserve"> Toutefois, c’est l’assureur qui reste tenu des pénalités de retard.</w:t>
      </w:r>
      <w:r>
        <w:rPr>
          <w:color w:val="646464"/>
          <w:sz w:val="24"/>
          <w:szCs w:val="24"/>
        </w:rPr>
        <w:br/>
      </w:r>
      <w:hyperlink r:id="rId12" w:history="1">
        <w:r>
          <w:rPr>
            <w:rStyle w:val="a"/>
            <w:color w:val="4623EB"/>
            <w:sz w:val="24"/>
            <w:szCs w:val="24"/>
          </w:rPr>
          <w:t>CA Riom, 15 mars 2023, n°22/01697</w:t>
        </w:r>
      </w:hyperlink>
    </w:p>
    <w:p>
      <w:pPr>
        <w:pStyle w:val="fd-document-box-redfd-document-box-title"/>
        <w:pageBreakBefore w:val="0"/>
        <w:pBdr>
          <w:top w:val="single" w:sz="6" w:space="12" w:color="D6D6D6"/>
          <w:left w:val="single" w:sz="24" w:space="24" w:color="FF6E6E"/>
          <w:bottom w:val="single" w:sz="6" w:space="0"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w:t>
      </w:r>
    </w:p>
    <w:p>
      <w:pPr>
        <w:pStyle w:val="p"/>
        <w:pBdr>
          <w:top w:val="single" w:sz="6" w:space="12" w:color="D6D6D6"/>
          <w:left w:val="single" w:sz="24" w:space="0" w:color="FF6E6E"/>
          <w:bottom w:val="single" w:sz="6" w:space="0" w:color="D6D6D6"/>
          <w:right w:val="single" w:sz="6" w:space="0" w:color="D6D6D6"/>
        </w:pBdr>
        <w:shd w:val="clear" w:color="auto" w:fill="F5F5F5"/>
        <w:spacing w:before="0" w:after="180" w:line="300" w:lineRule="atLeast"/>
        <w:ind w:left="160" w:right="115"/>
        <w:rPr>
          <w:color w:val="646464"/>
          <w:sz w:val="21"/>
          <w:szCs w:val="21"/>
        </w:rPr>
      </w:pPr>
      <w:r>
        <w:rPr>
          <w:color w:val="646464"/>
          <w:sz w:val="21"/>
          <w:szCs w:val="21"/>
        </w:rPr>
        <w:t xml:space="preserve">Si le courtier ne transmet pas rapidement les documents et les informations, il met en difficulté l’assureur qui </w:t>
      </w:r>
      <w:r>
        <w:rPr>
          <w:color w:val="646464"/>
          <w:sz w:val="21"/>
          <w:szCs w:val="21"/>
          <w:u w:val="single" w:color="646464"/>
        </w:rPr>
        <w:t>pourrait éventuellement lui demander des comptes.</w:t>
      </w:r>
      <w:r>
        <w:rPr>
          <w:color w:val="646464"/>
          <w:sz w:val="21"/>
          <w:szCs w:val="21"/>
          <w:u w:val="single" w:color="646464"/>
        </w:rPr>
        <w:br/>
      </w:r>
      <w:hyperlink r:id="rId13" w:history="1">
        <w:r>
          <w:rPr>
            <w:rStyle w:val="a"/>
            <w:color w:val="4623EB"/>
            <w:sz w:val="21"/>
            <w:szCs w:val="21"/>
          </w:rPr>
          <w:t>CA Aix-en-Provence, 24 juin 2021, n° 19/01766</w:t>
        </w:r>
      </w:hyperlink>
    </w:p>
    <w:p>
      <w:pPr>
        <w:pStyle w:val="fd-document-box-redfd-document-box-descriptionpnth-last-child1"/>
        <w:pBdr>
          <w:top w:val="single" w:sz="8" w:space="0" w:color="000000"/>
          <w:left w:val="single" w:sz="8" w:space="0" w:color="000000"/>
          <w:bottom w:val="single" w:sz="8" w:space="12" w:color="000000"/>
          <w:right w:val="single" w:sz="8" w:space="0" w:color="000000"/>
        </w:pBdr>
        <w:shd w:val="clear" w:color="auto" w:fill="F5F5F5"/>
        <w:spacing w:before="0" w:after="540" w:line="300" w:lineRule="atLeast"/>
        <w:ind w:left="160" w:right="115"/>
        <w:rPr>
          <w:color w:val="646464"/>
          <w:sz w:val="21"/>
          <w:szCs w:val="21"/>
        </w:rPr>
      </w:pPr>
      <w:r>
        <w:rPr>
          <w:color w:val="646464"/>
          <w:sz w:val="21"/>
          <w:szCs w:val="21"/>
        </w:rPr>
        <w:t>Il convient donc d’être vigilent et rapide dans la transmission des documents. Le conseiller en gestion de patrimoine doit organiser la réception des pièces et les transférer immédiatement à l’assureur.</w:t>
      </w:r>
    </w:p>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Pénalités de versement</w:t>
      </w:r>
    </w:p>
    <w:p>
      <w:pPr>
        <w:pStyle w:val="p"/>
        <w:spacing w:before="0" w:after="180" w:line="330" w:lineRule="atLeast"/>
        <w:ind w:left="0" w:right="0"/>
        <w:rPr>
          <w:color w:val="646464"/>
          <w:sz w:val="24"/>
          <w:szCs w:val="24"/>
        </w:rPr>
      </w:pPr>
      <w:r>
        <w:rPr>
          <w:color w:val="646464"/>
          <w:sz w:val="24"/>
          <w:szCs w:val="24"/>
        </w:rPr>
        <w:t>Les pénalités de retard sont déterminées en fonction du taux d’intérêt légal. L’intérêt légal est la somme que doit un débiteur à son créancier en cas de retard de paiement. </w:t>
      </w:r>
    </w:p>
    <w:p>
      <w:pPr>
        <w:pStyle w:val="p"/>
        <w:spacing w:before="0" w:after="180" w:line="330" w:lineRule="atLeast"/>
        <w:ind w:left="0" w:right="0"/>
        <w:rPr>
          <w:color w:val="646464"/>
          <w:sz w:val="24"/>
          <w:szCs w:val="24"/>
        </w:rPr>
      </w:pPr>
      <w:r>
        <w:rPr>
          <w:color w:val="646464"/>
          <w:sz w:val="24"/>
          <w:szCs w:val="24"/>
        </w:rPr>
        <w:t>Le taux d’intérêt légal est calculé tous les semestres. Pour le second semestre 2023, il est de 6,82% lorsque le créancier est un particulier. </w:t>
      </w:r>
    </w:p>
    <w:p>
      <w:pPr>
        <w:pStyle w:val="p"/>
        <w:spacing w:before="0" w:after="180" w:line="330" w:lineRule="atLeast"/>
        <w:ind w:left="0" w:right="0"/>
        <w:rPr>
          <w:color w:val="646464"/>
          <w:sz w:val="24"/>
          <w:szCs w:val="24"/>
        </w:rPr>
      </w:pPr>
      <w:r>
        <w:rPr>
          <w:color w:val="646464"/>
          <w:sz w:val="24"/>
          <w:szCs w:val="24"/>
        </w:rPr>
        <w:t>Récapitulatif sur le montant des pénalités de retard selon la nature des versements et des délais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91"/>
        <w:gridCol w:w="3073"/>
        <w:gridCol w:w="2921"/>
        <w:gridCol w:w="3186"/>
      </w:tblGrid>
      <w:tr>
        <w:tblPrEx>
          <w:tblW w:w="5000" w:type="pct"/>
          <w:tblInd w:w="1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Délais à respecter </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u w:val="single" w:color="FFFFFF"/>
              </w:rPr>
              <w:t>Paiement du rachat</w:t>
            </w:r>
            <w:r>
              <w:rPr>
                <w:b/>
                <w:bCs/>
                <w:color w:val="FFFFFF"/>
                <w:sz w:val="24"/>
                <w:szCs w:val="24"/>
              </w:rPr>
              <w:t xml:space="preserve"> au-delà du délai légal de 2 mois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u w:val="single" w:color="FFFFFF"/>
              </w:rPr>
              <w:t>Demande des pièces au bénéficiaire</w:t>
            </w:r>
            <w:r>
              <w:rPr>
                <w:b/>
                <w:bCs/>
                <w:color w:val="FFFFFF"/>
                <w:sz w:val="24"/>
                <w:szCs w:val="24"/>
              </w:rPr>
              <w:t xml:space="preserve"> au-delà du délai de 15 jours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u w:val="single" w:color="FFFFFF"/>
              </w:rPr>
              <w:t>Versement des capitaux au bénéficiaire</w:t>
            </w:r>
            <w:r>
              <w:rPr>
                <w:b/>
                <w:bCs/>
                <w:color w:val="FFFFFF"/>
                <w:sz w:val="24"/>
                <w:szCs w:val="24"/>
              </w:rPr>
              <w:t xml:space="preserve"> au-delà du délai de 30 jours</w:t>
            </w:r>
          </w:p>
        </w:tc>
      </w:tr>
      <w:tr>
        <w:tblPrEx>
          <w:tblW w:w="5000" w:type="pct"/>
          <w:tblInd w:w="16" w:type="dxa"/>
          <w:shd w:val="clear" w:color="auto" w:fill="FFFFFF"/>
          <w:tblCellMar>
            <w:top w:w="0" w:type="dxa"/>
            <w:left w:w="0" w:type="dxa"/>
            <w:bottom w:w="0" w:type="dxa"/>
            <w:right w:w="0" w:type="dxa"/>
          </w:tblCellMar>
          <w:tblLook w:val="05E0"/>
        </w:tblPrEx>
        <w:tc>
          <w:tcPr>
            <w:vMerge w:val="restart"/>
            <w:tcBorders>
              <w:top w:val="single" w:sz="6" w:space="0" w:color="D6D6D6"/>
              <w:left w:val="single" w:sz="6" w:space="0" w:color="D6D6D6"/>
              <w:bottom w:val="none" w:sz="0" w:space="0" w:color="auto"/>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Montant des pénalités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xml:space="preserve">Taux d’intérêt légal </w:t>
            </w:r>
            <w:r>
              <w:rPr>
                <w:color w:val="646464"/>
                <w:sz w:val="21"/>
                <w:szCs w:val="21"/>
                <w:u w:val="single" w:color="646464"/>
              </w:rPr>
              <w:t>majoré de moitié</w:t>
            </w:r>
            <w:r>
              <w:rPr>
                <w:color w:val="646464"/>
                <w:sz w:val="21"/>
                <w:szCs w:val="21"/>
              </w:rPr>
              <w:t xml:space="preserve"> durant les 2 premiers mois de retard (10,23% pour le 2</w:t>
            </w:r>
            <w:r>
              <w:rPr>
                <w:color w:val="646464"/>
                <w:sz w:val="21"/>
                <w:szCs w:val="21"/>
                <w:vertAlign w:val="superscript"/>
              </w:rPr>
              <w:t>nd</w:t>
            </w:r>
            <w:r>
              <w:rPr>
                <w:color w:val="646464"/>
                <w:sz w:val="21"/>
                <w:szCs w:val="21"/>
              </w:rPr>
              <w:t xml:space="preserve"> semestre 2023)</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xml:space="preserve">Le </w:t>
            </w:r>
            <w:r>
              <w:rPr>
                <w:color w:val="646464"/>
                <w:sz w:val="21"/>
                <w:szCs w:val="21"/>
                <w:u w:val="single" w:color="646464"/>
              </w:rPr>
              <w:t>double</w:t>
            </w:r>
            <w:r>
              <w:rPr>
                <w:color w:val="646464"/>
                <w:sz w:val="21"/>
                <w:szCs w:val="21"/>
              </w:rPr>
              <w:t xml:space="preserve"> du taux d’intérêt légal le 1</w:t>
            </w:r>
            <w:r>
              <w:rPr>
                <w:color w:val="646464"/>
                <w:sz w:val="21"/>
                <w:szCs w:val="21"/>
                <w:vertAlign w:val="superscript"/>
              </w:rPr>
              <w:t>er</w:t>
            </w:r>
            <w:r>
              <w:rPr>
                <w:color w:val="646464"/>
                <w:sz w:val="21"/>
                <w:szCs w:val="21"/>
              </w:rPr>
              <w:t xml:space="preserve"> mois de retard (13,64% pour le 2</w:t>
            </w:r>
            <w:r>
              <w:rPr>
                <w:color w:val="646464"/>
                <w:sz w:val="21"/>
                <w:szCs w:val="21"/>
                <w:vertAlign w:val="superscript"/>
              </w:rPr>
              <w:t>nd</w:t>
            </w:r>
            <w:r>
              <w:rPr>
                <w:color w:val="646464"/>
                <w:sz w:val="21"/>
                <w:szCs w:val="21"/>
              </w:rPr>
              <w:t xml:space="preserve"> semestre 2023)</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xml:space="preserve">Le </w:t>
            </w:r>
            <w:r>
              <w:rPr>
                <w:color w:val="646464"/>
                <w:sz w:val="21"/>
                <w:szCs w:val="21"/>
                <w:u w:val="single" w:color="646464"/>
              </w:rPr>
              <w:t>double</w:t>
            </w:r>
            <w:r>
              <w:rPr>
                <w:color w:val="646464"/>
                <w:sz w:val="21"/>
                <w:szCs w:val="21"/>
              </w:rPr>
              <w:t xml:space="preserve"> du taux d’intérêt légal durant les 2 premiers mois de retard (13,64% pour le 2</w:t>
            </w:r>
            <w:r>
              <w:rPr>
                <w:color w:val="646464"/>
                <w:sz w:val="21"/>
                <w:szCs w:val="21"/>
                <w:vertAlign w:val="superscript"/>
              </w:rPr>
              <w:t>nd</w:t>
            </w:r>
            <w:r>
              <w:rPr>
                <w:color w:val="646464"/>
                <w:sz w:val="21"/>
                <w:szCs w:val="21"/>
              </w:rPr>
              <w:t xml:space="preserve"> semestre 2023)</w:t>
            </w:r>
          </w:p>
        </w:tc>
      </w:tr>
      <w:tr>
        <w:tblPrEx>
          <w:tblW w:w="5000" w:type="pct"/>
          <w:tblInd w:w="16" w:type="dxa"/>
          <w:shd w:val="clear" w:color="auto" w:fill="FFFFFF"/>
          <w:tblCellMar>
            <w:top w:w="0" w:type="dxa"/>
            <w:left w:w="0" w:type="dxa"/>
            <w:bottom w:w="0" w:type="dxa"/>
            <w:right w:w="0" w:type="dxa"/>
          </w:tblCellMar>
          <w:tblLook w:val="05E0"/>
        </w:tblPrEx>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xml:space="preserve">Puis le </w:t>
            </w:r>
            <w:r>
              <w:rPr>
                <w:color w:val="646464"/>
                <w:sz w:val="21"/>
                <w:szCs w:val="21"/>
                <w:u w:val="single" w:color="646464"/>
              </w:rPr>
              <w:t>double</w:t>
            </w:r>
            <w:r>
              <w:rPr>
                <w:color w:val="646464"/>
                <w:sz w:val="21"/>
                <w:szCs w:val="21"/>
              </w:rPr>
              <w:t xml:space="preserve"> du taux d’intérêt légal (13,64% pour le 2</w:t>
            </w:r>
            <w:r>
              <w:rPr>
                <w:color w:val="646464"/>
                <w:sz w:val="21"/>
                <w:szCs w:val="21"/>
                <w:vertAlign w:val="superscript"/>
              </w:rPr>
              <w:t>nd</w:t>
            </w:r>
            <w:r>
              <w:rPr>
                <w:color w:val="646464"/>
                <w:sz w:val="21"/>
                <w:szCs w:val="21"/>
              </w:rPr>
              <w:t xml:space="preserve"> semestre 2023)</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xml:space="preserve">Puis le </w:t>
            </w:r>
            <w:r>
              <w:rPr>
                <w:color w:val="646464"/>
                <w:sz w:val="21"/>
                <w:szCs w:val="21"/>
                <w:u w:val="single" w:color="646464"/>
              </w:rPr>
              <w:t>triple</w:t>
            </w:r>
            <w:r>
              <w:rPr>
                <w:color w:val="646464"/>
                <w:sz w:val="21"/>
                <w:szCs w:val="21"/>
              </w:rPr>
              <w:t xml:space="preserve"> du taux d’intérêt légal (20,46% pour le 2</w:t>
            </w:r>
            <w:r>
              <w:rPr>
                <w:color w:val="646464"/>
                <w:sz w:val="21"/>
                <w:szCs w:val="21"/>
                <w:vertAlign w:val="superscript"/>
              </w:rPr>
              <w:t>nd</w:t>
            </w:r>
            <w:r>
              <w:rPr>
                <w:color w:val="646464"/>
                <w:sz w:val="21"/>
                <w:szCs w:val="21"/>
              </w:rPr>
              <w:t xml:space="preserve"> semestre 2023)</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xml:space="preserve">Puis le </w:t>
            </w:r>
            <w:r>
              <w:rPr>
                <w:color w:val="646464"/>
                <w:sz w:val="21"/>
                <w:szCs w:val="21"/>
                <w:u w:val="single" w:color="646464"/>
              </w:rPr>
              <w:t>triple</w:t>
            </w:r>
            <w:r>
              <w:rPr>
                <w:color w:val="646464"/>
                <w:sz w:val="21"/>
                <w:szCs w:val="21"/>
              </w:rPr>
              <w:t xml:space="preserve"> du taux d’intérêt légal (20,46% pour le 2</w:t>
            </w:r>
            <w:r>
              <w:rPr>
                <w:color w:val="646464"/>
                <w:sz w:val="21"/>
                <w:szCs w:val="21"/>
                <w:vertAlign w:val="superscript"/>
              </w:rPr>
              <w:t>nd</w:t>
            </w:r>
            <w:r>
              <w:rPr>
                <w:color w:val="646464"/>
                <w:sz w:val="21"/>
                <w:szCs w:val="21"/>
              </w:rPr>
              <w:t xml:space="preserve"> semestre 2023)</w:t>
            </w:r>
          </w:p>
        </w:tc>
      </w:tr>
    </w:tbl>
    <w:p>
      <w:pPr>
        <w:pStyle w:val="p"/>
        <w:spacing w:before="0" w:after="180" w:line="330" w:lineRule="atLeast"/>
        <w:ind w:left="0" w:right="0"/>
        <w:rPr>
          <w:color w:val="646464"/>
          <w:sz w:val="24"/>
          <w:szCs w:val="24"/>
        </w:rPr>
      </w:pPr>
      <w:r>
        <w:rPr>
          <w:color w:val="646464"/>
          <w:sz w:val="24"/>
          <w:szCs w:val="24"/>
        </w:rPr>
        <w:br/>
      </w:r>
      <w:r>
        <w:rPr>
          <w:color w:val="646464"/>
          <w:sz w:val="24"/>
          <w:szCs w:val="24"/>
          <w:u w:val="single" w:color="646464"/>
        </w:rPr>
        <w:t>Lorsque la compagnie d’assurance n’est pas en capacité de verser les capitaux décès,</w:t>
      </w:r>
      <w:r>
        <w:rPr>
          <w:color w:val="646464"/>
          <w:sz w:val="24"/>
          <w:szCs w:val="24"/>
        </w:rPr>
        <w:t xml:space="preserve"> elle ne supportera aucune pénalité de retard. C’est notamment le cas lorsqu’un bénéficiaire conteste la désignation de la clause bénéficiaire. </w:t>
      </w:r>
      <w:r>
        <w:rPr>
          <w:color w:val="646464"/>
          <w:sz w:val="24"/>
          <w:szCs w:val="24"/>
        </w:rPr>
        <w:br/>
      </w:r>
      <w:r>
        <w:rPr>
          <w:color w:val="646464"/>
          <w:sz w:val="24"/>
          <w:szCs w:val="24"/>
        </w:rPr>
        <w:t>CA Paris du 30 juin 2021, n°19/14096</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sur la restitution des prélèvements sociaux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Les prélèvements sociaux sont retenus année par année par l’assureur en présence d’un fonds euros. Si, lors du rachat ou du dénouement du contrat, la somme des prélèvements acquittés sur le fonds euros est supérieure au montant des prélèvements sociaux dus sur la totalité des produits du contrat (lorsque le contrat se trouve globalement en moins-value), un mécanisme de restitution du trop-perçu est prévu.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prélèvements excédentaires sont restitués avec application d’intérêts moratoires, basés sur le taux d’intérêt légal (6,82% pour le 2</w:t>
      </w:r>
      <w:r>
        <w:rPr>
          <w:color w:val="646464"/>
          <w:sz w:val="21"/>
          <w:szCs w:val="21"/>
          <w:vertAlign w:val="superscript"/>
        </w:rPr>
        <w:t>nd</w:t>
      </w:r>
      <w:r>
        <w:rPr>
          <w:color w:val="646464"/>
          <w:sz w:val="21"/>
          <w:szCs w:val="21"/>
        </w:rPr>
        <w:t xml:space="preserve"> semestre 2023). Les intérêts s’appliquent à la période écoulée entre le paiement des prélèvements et leur restitution. C’est l’administration fiscale qui reverse ces intérêts moratoires, via la compagnie d’assurance.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Références</w:t>
      </w:r>
    </w:p>
    <w:p>
      <w:pPr>
        <w:pStyle w:val="p"/>
        <w:spacing w:before="0" w:after="180" w:line="330" w:lineRule="atLeast"/>
        <w:ind w:left="0" w:right="0"/>
        <w:rPr>
          <w:color w:val="646464"/>
          <w:sz w:val="24"/>
          <w:szCs w:val="24"/>
        </w:rPr>
      </w:pPr>
      <w:hyperlink r:id="rId6" w:history="1">
        <w:r>
          <w:rPr>
            <w:rStyle w:val="a"/>
            <w:color w:val="4623EB"/>
            <w:sz w:val="24"/>
            <w:szCs w:val="24"/>
          </w:rPr>
          <w:t>C. ass. art. L.132-21</w:t>
        </w:r>
      </w:hyperlink>
    </w:p>
    <w:p>
      <w:pPr>
        <w:pStyle w:val="p"/>
        <w:spacing w:before="0" w:after="180" w:line="330" w:lineRule="atLeast"/>
        <w:ind w:left="0" w:right="0"/>
        <w:rPr>
          <w:color w:val="646464"/>
          <w:sz w:val="24"/>
          <w:szCs w:val="24"/>
        </w:rPr>
      </w:pPr>
      <w:hyperlink r:id="rId7" w:history="1">
        <w:r>
          <w:rPr>
            <w:rStyle w:val="a"/>
            <w:color w:val="4623EB"/>
            <w:sz w:val="24"/>
            <w:szCs w:val="24"/>
          </w:rPr>
          <w:t>C. ass. art. R132-3-1</w:t>
        </w:r>
      </w:hyperlink>
    </w:p>
    <w:p>
      <w:pPr>
        <w:pStyle w:val="p"/>
        <w:spacing w:before="0" w:after="180" w:line="330" w:lineRule="atLeast"/>
        <w:ind w:left="0" w:right="0"/>
        <w:rPr>
          <w:color w:val="646464"/>
          <w:sz w:val="24"/>
          <w:szCs w:val="24"/>
        </w:rPr>
      </w:pPr>
      <w:hyperlink r:id="rId10" w:history="1">
        <w:r>
          <w:rPr>
            <w:rStyle w:val="a"/>
            <w:color w:val="4623EB"/>
            <w:sz w:val="24"/>
            <w:szCs w:val="24"/>
          </w:rPr>
          <w:t>C. ass. art. L.132-23-1</w:t>
        </w:r>
      </w:hyperlink>
    </w:p>
    <w:p>
      <w:pPr>
        <w:pStyle w:val="p"/>
        <w:spacing w:before="0" w:after="180" w:line="330" w:lineRule="atLeast"/>
        <w:ind w:left="0" w:right="0"/>
        <w:rPr>
          <w:color w:val="646464"/>
          <w:sz w:val="24"/>
          <w:szCs w:val="24"/>
        </w:rPr>
      </w:pPr>
      <w:hyperlink r:id="rId14" w:history="1">
        <w:r>
          <w:rPr>
            <w:rStyle w:val="a"/>
            <w:color w:val="4623EB"/>
            <w:sz w:val="24"/>
            <w:szCs w:val="24"/>
          </w:rPr>
          <w:t>CA Riom, 15 mars 2023, n°22/01697</w:t>
        </w:r>
      </w:hyperlink>
    </w:p>
    <w:p>
      <w:pPr>
        <w:pStyle w:val="p"/>
        <w:spacing w:before="0" w:after="180" w:line="330" w:lineRule="atLeast"/>
        <w:ind w:left="0" w:right="0"/>
        <w:rPr>
          <w:color w:val="646464"/>
          <w:sz w:val="24"/>
          <w:szCs w:val="24"/>
        </w:rPr>
      </w:pPr>
      <w:hyperlink r:id="rId13" w:history="1">
        <w:r>
          <w:rPr>
            <w:rStyle w:val="a"/>
            <w:color w:val="4623EB"/>
            <w:sz w:val="24"/>
            <w:szCs w:val="24"/>
          </w:rPr>
          <w:t>CA Aix-en-Provence, 24 juin 2021, n° 19/01766</w:t>
        </w:r>
      </w:hyperlink>
    </w:p>
    <w:p>
      <w:pPr>
        <w:pStyle w:val="p"/>
        <w:spacing w:before="0" w:after="240" w:line="330" w:lineRule="atLeast"/>
        <w:ind w:left="0" w:right="0"/>
        <w:rPr>
          <w:color w:val="646464"/>
          <w:sz w:val="24"/>
          <w:szCs w:val="24"/>
        </w:rPr>
      </w:pPr>
      <w:r>
        <w:rPr>
          <w:color w:val="646464"/>
          <w:sz w:val="24"/>
          <w:szCs w:val="24"/>
        </w:rPr>
        <w:t>CA Paris du 30 juin 2021, n°19/14096</w:t>
      </w:r>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15"/>
      <w:footerReference w:type="default" r:id="rId16"/>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5</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2404386"/>
    <w:multiLevelType w:val="hybridMultilevel"/>
    <w:tmpl w:val="7240438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72404387"/>
    <w:multiLevelType w:val="hybridMultilevel"/>
    <w:tmpl w:val="7240438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 w:numId="32">
    <w:abstractNumId w:val="30"/>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content">
    <w:name w:val="content"/>
    <w:basedOn w:val="Normal"/>
  </w:style>
  <w:style w:type="paragraph" w:customStyle="1" w:styleId="p">
    <w:name w:val="p"/>
    <w:basedOn w:val="Normal"/>
    <w:rPr>
      <w:color w:val="646464"/>
    </w:rPr>
  </w:style>
  <w:style w:type="paragraph" w:customStyle="1" w:styleId="linotnth-last-child1">
    <w:name w:val="li_not(:nth-last-child(1))"/>
    <w:basedOn w:val="Normal"/>
  </w:style>
  <w:style w:type="character" w:customStyle="1" w:styleId="a">
    <w:name w:val="a"/>
    <w:basedOn w:val="DefaultParagraphFont"/>
    <w:rPr>
      <w:color w:val="4623EB"/>
    </w:rPr>
  </w:style>
  <w:style w:type="paragraph" w:customStyle="1" w:styleId="fd-chevron-lvl1">
    <w:name w:val="fd-chevron-lvl1"/>
    <w:basedOn w:val="Normal"/>
    <w:pPr>
      <w:pBdr>
        <w:left w:val="none" w:sz="0" w:space="15" w:color="auto"/>
      </w:pBdr>
    </w:pPr>
    <w:rPr>
      <w:b w:val="0"/>
      <w:bCs w:val="0"/>
      <w:color w:val="202020"/>
    </w:r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any">
    <w:name w:val="fd-document-box-purpl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paragraph" w:customStyle="1" w:styleId="fd-document-box-yellow">
    <w:name w:val="fd-document-box-yellow"/>
    <w:basedOn w:val="Normal"/>
    <w:pPr>
      <w:pBdr>
        <w:top w:val="single" w:sz="6" w:space="0" w:color="D6D6D6"/>
        <w:left w:val="single" w:sz="24" w:space="0" w:color="FFAA32"/>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yellowfd-document-box-title">
    <w:name w:val="fd-document-box-yellow_fd-document-box-title"/>
    <w:basedOn w:val="Normal"/>
    <w:pPr>
      <w:pBdr>
        <w:top w:val="none" w:sz="0" w:space="12" w:color="auto"/>
        <w:left w:val="none" w:sz="0" w:space="24" w:color="auto"/>
        <w:bottom w:val="none" w:sz="0" w:space="0" w:color="auto"/>
        <w:right w:val="none" w:sz="0" w:space="24" w:color="auto"/>
      </w:pBdr>
    </w:pPr>
  </w:style>
  <w:style w:type="paragraph" w:customStyle="1" w:styleId="fd-document-box-yellowfd-document-box-descriptionany">
    <w:name w:val="fd-document-box-yellow_fd-document-box-description &gt; any"/>
    <w:basedOn w:val="Normal"/>
    <w:pPr>
      <w:pBdr>
        <w:top w:val="none" w:sz="0" w:space="0" w:color="auto"/>
        <w:left w:val="none" w:sz="0" w:space="24" w:color="auto"/>
        <w:bottom w:val="none" w:sz="0" w:space="0" w:color="auto"/>
        <w:right w:val="none" w:sz="0" w:space="24" w:color="auto"/>
      </w:pBdr>
    </w:pPr>
  </w:style>
  <w:style w:type="character" w:customStyle="1" w:styleId="pspannotpucenotfd-update">
    <w:name w:val="p_span_not(.puce)_not(.fd-update)"/>
    <w:basedOn w:val="DefaultParagraphFont"/>
  </w:style>
  <w:style w:type="paragraph" w:customStyle="1" w:styleId="fd-document-box-red">
    <w:name w:val="fd-document-box-red"/>
    <w:basedOn w:val="Normal"/>
    <w:pPr>
      <w:pBdr>
        <w:top w:val="single" w:sz="6" w:space="0" w:color="D6D6D6"/>
        <w:left w:val="single" w:sz="24" w:space="0" w:color="FF6E6E"/>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redfd-document-box-title">
    <w:name w:val="fd-document-box-red_fd-document-box-title"/>
    <w:basedOn w:val="Normal"/>
    <w:pPr>
      <w:pBdr>
        <w:top w:val="none" w:sz="0" w:space="12" w:color="auto"/>
        <w:left w:val="none" w:sz="0" w:space="24" w:color="auto"/>
        <w:bottom w:val="none" w:sz="0" w:space="0" w:color="auto"/>
        <w:right w:val="none" w:sz="0" w:space="24" w:color="auto"/>
      </w:pBdr>
    </w:pPr>
    <w:rPr>
      <w:color w:val="FF6E6E"/>
    </w:rPr>
  </w:style>
  <w:style w:type="paragraph" w:customStyle="1" w:styleId="fd-document-box-redfd-document-box-descriptionany">
    <w:name w:val="fd-document-box-red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redfd-document-box-descriptionpnth-last-child1">
    <w:name w:val="fd-document-box-red_fd-document-box-description_p_nth-last-child(1)"/>
    <w:basedOn w:val="Normal"/>
    <w:pPr>
      <w:pBdr>
        <w:bottom w:val="none" w:sz="0" w:space="12" w:color="auto"/>
      </w:pBdr>
    </w:pPr>
  </w:style>
  <w:style w:type="table" w:customStyle="1" w:styleId="figuretabletable">
    <w:name w:val="figure_table_table"/>
    <w:basedOn w:val="TableNormal"/>
    <w:tbl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legifrance.gouv.fr/codes/article_lc/LEGIARTI000038611225" TargetMode="External" /><Relationship Id="rId11" Type="http://schemas.openxmlformats.org/officeDocument/2006/relationships/hyperlink" Target="https://api.fidroit.fr/document/49009" TargetMode="External" /><Relationship Id="rId12" Type="http://schemas.openxmlformats.org/officeDocument/2006/relationships/hyperlink" Target="https://api.fidroit.fr/api/technical-resource/attachment/7521/download" TargetMode="External" /><Relationship Id="rId13" Type="http://schemas.openxmlformats.org/officeDocument/2006/relationships/hyperlink" Target="https://api.fidroit.fr/api/technical-resource/attachment/6541/download" TargetMode="External" /><Relationship Id="rId14" Type="http://schemas.openxmlformats.org/officeDocument/2006/relationships/hyperlink" Target="https://fidnet.fidroit.fr/api/technical-resource/attachment/7521/download" TargetMode="External" /><Relationship Id="rId15" Type="http://schemas.openxmlformats.org/officeDocument/2006/relationships/header" Target="header1.xml" /><Relationship Id="rId16" Type="http://schemas.openxmlformats.org/officeDocument/2006/relationships/footer" Target="footer1.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s://www.legifrance.gouv.fr/codes/article_lc/LEGIARTI000006793252" TargetMode="External" /><Relationship Id="rId7" Type="http://schemas.openxmlformats.org/officeDocument/2006/relationships/hyperlink" Target="https://www.legifrance.gouv.fr/codes/article_lc/LEGIARTI000031116526" TargetMode="External" /><Relationship Id="rId8" Type="http://schemas.openxmlformats.org/officeDocument/2006/relationships/image" Target="media/image2.png" /><Relationship Id="rId9" Type="http://schemas.openxmlformats.org/officeDocument/2006/relationships/image" Target="media/image3.svg"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5</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2023-08-17T12:20:58Z</dcterms:created>
  <dcterms:modified xsi:type="dcterms:W3CDTF">2023-08-17T12:20:58Z</dcterms:modified>
</cp:coreProperties>
</file>