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Quelles précautions faut-il connaître pour rédiger une clause bénéficiaire ?</w:t>
      </w:r>
    </w:p>
    <w:p>
      <w:pPr>
        <w:pStyle w:val="updated-at"/>
        <w:spacing w:before="0" w:after="300" w:line="360" w:lineRule="atLeast"/>
        <w:ind w:left="0" w:right="0"/>
        <w:rPr>
          <w:color w:val="646464"/>
          <w:sz w:val="27"/>
          <w:szCs w:val="27"/>
        </w:rPr>
      </w:pPr>
      <w:r>
        <w:rPr>
          <w:color w:val="646464"/>
          <w:sz w:val="27"/>
          <w:szCs w:val="27"/>
        </w:rPr>
        <w:t>Mis à jour le 1 juil.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180" w:line="330" w:lineRule="atLeast"/>
        <w:ind w:left="0" w:right="0"/>
        <w:rPr>
          <w:color w:val="646464"/>
          <w:sz w:val="24"/>
          <w:szCs w:val="24"/>
        </w:rPr>
      </w:pPr>
      <w:r>
        <w:rPr>
          <w:color w:val="646464"/>
          <w:sz w:val="24"/>
          <w:szCs w:val="24"/>
        </w:rPr>
        <w:t>La rédaction de la clause bénéficiaire doit retenir une attention particulière, car une imprécision et un manque de personnalisation peuvent empêcher le bénéficiaire de profiter des prestations du contrat. </w:t>
      </w:r>
    </w:p>
    <w:p>
      <w:pPr>
        <w:pStyle w:val="p"/>
        <w:spacing w:before="0" w:after="240" w:line="330" w:lineRule="atLeast"/>
        <w:ind w:left="0" w:right="0"/>
        <w:rPr>
          <w:color w:val="646464"/>
          <w:sz w:val="24"/>
          <w:szCs w:val="24"/>
        </w:rPr>
      </w:pPr>
      <w:r>
        <w:rPr>
          <w:color w:val="646464"/>
          <w:sz w:val="24"/>
          <w:szCs w:val="24"/>
        </w:rPr>
        <w:t>Quelles précautions faut-il connaître pour rédiger une clause bénéficiaire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Sur la forme de la désignation bénéficiaire</w:t>
      </w:r>
    </w:p>
    <w:p>
      <w:pPr>
        <w:pStyle w:val="p"/>
        <w:spacing w:before="0" w:after="180" w:line="330" w:lineRule="atLeast"/>
        <w:ind w:left="0" w:right="0"/>
        <w:rPr>
          <w:color w:val="646464"/>
          <w:sz w:val="24"/>
          <w:szCs w:val="24"/>
        </w:rPr>
      </w:pPr>
      <w:r>
        <w:rPr>
          <w:color w:val="646464"/>
          <w:sz w:val="24"/>
          <w:szCs w:val="24"/>
        </w:rPr>
        <w:t>Le bénéficiaire d'un contrat d’assurance-vie doit être désigné par écrit, la forme de la clause étant libre.</w:t>
      </w:r>
    </w:p>
    <w:p>
      <w:pPr>
        <w:pStyle w:val="p"/>
        <w:spacing w:before="0" w:after="240" w:line="330" w:lineRule="atLeast"/>
        <w:ind w:left="0" w:right="0"/>
        <w:rPr>
          <w:color w:val="646464"/>
          <w:sz w:val="24"/>
          <w:szCs w:val="24"/>
        </w:rPr>
      </w:pPr>
      <w:r>
        <w:rPr>
          <w:color w:val="646464"/>
          <w:sz w:val="24"/>
          <w:szCs w:val="24"/>
        </w:rPr>
        <w:t>Le souscripteur dispose ainsi d'un large choix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14"/>
        <w:gridCol w:w="4083"/>
        <w:gridCol w:w="4674"/>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Forme</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Au sein de la proposition d’assurance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L’assureur a </w:t>
            </w:r>
            <w:r>
              <w:rPr>
                <w:color w:val="646464"/>
                <w:sz w:val="21"/>
                <w:szCs w:val="21"/>
                <w:u w:val="single" w:color="646464"/>
              </w:rPr>
              <w:t>connaissance de la rédaction</w:t>
            </w:r>
            <w:r>
              <w:rPr>
                <w:color w:val="646464"/>
                <w:sz w:val="21"/>
                <w:szCs w:val="21"/>
              </w:rPr>
              <w:t xml:space="preserve"> de la clause et peut alerter le souscripteur si celle-ci est imprécise ou inapplicable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Le souscripteur se contente souvent de </w:t>
            </w:r>
            <w:r>
              <w:rPr>
                <w:color w:val="646464"/>
                <w:sz w:val="21"/>
                <w:szCs w:val="21"/>
                <w:u w:val="single" w:color="646464"/>
              </w:rPr>
              <w:t>cocher une case</w:t>
            </w:r>
            <w:r>
              <w:rPr>
                <w:color w:val="646464"/>
                <w:sz w:val="21"/>
                <w:szCs w:val="21"/>
              </w:rPr>
              <w:t xml:space="preserve"> devant une clause-type, pas forcément adaptée à ses objectifs.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Courrier séparé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Cette solution est </w:t>
            </w:r>
            <w:r>
              <w:rPr>
                <w:color w:val="646464"/>
                <w:sz w:val="21"/>
                <w:szCs w:val="21"/>
                <w:u w:val="single" w:color="646464"/>
              </w:rPr>
              <w:t>facile à mettre en œuvre</w:t>
            </w:r>
            <w:r>
              <w:rPr>
                <w:color w:val="646464"/>
                <w:sz w:val="21"/>
                <w:szCs w:val="21"/>
              </w:rPr>
              <w:t> : un courrier simple adressé à l’assureur est suffisant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 xml:space="preserve">Il faut s’assurer de la </w:t>
            </w:r>
            <w:r>
              <w:rPr>
                <w:color w:val="646464"/>
                <w:sz w:val="21"/>
                <w:szCs w:val="21"/>
                <w:u w:val="single" w:color="646464"/>
              </w:rPr>
              <w:t>bonne réception</w:t>
            </w:r>
            <w:r>
              <w:rPr>
                <w:color w:val="646464"/>
                <w:sz w:val="21"/>
                <w:szCs w:val="21"/>
              </w:rPr>
              <w:t xml:space="preserve"> du courrier par l’assureur :</w:t>
            </w:r>
          </w:p>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privilégier un envoi par lettre recommandée</w:t>
            </w:r>
          </w:p>
          <w:p>
            <w:pPr>
              <w:numPr>
                <w:ilvl w:val="0"/>
                <w:numId w:val="29"/>
              </w:numPr>
              <w:spacing w:after="240" w:line="300" w:lineRule="atLeast"/>
              <w:ind w:left="720" w:right="0" w:hanging="360"/>
              <w:jc w:val="left"/>
              <w:rPr>
                <w:color w:val="646464"/>
                <w:sz w:val="21"/>
                <w:szCs w:val="21"/>
              </w:rPr>
            </w:pPr>
            <w:r>
              <w:rPr>
                <w:color w:val="646464"/>
                <w:sz w:val="21"/>
                <w:szCs w:val="21"/>
              </w:rPr>
              <w:t>l’assureur enverra un courrier confirmant la prise en compte de cette désignation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Testament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w:t>
            </w:r>
          </w:p>
          <w:p>
            <w:pPr>
              <w:pStyle w:val="p"/>
              <w:spacing w:before="0" w:after="180" w:line="300" w:lineRule="atLeast"/>
              <w:ind w:left="0" w:right="0"/>
              <w:jc w:val="left"/>
              <w:rPr>
                <w:color w:val="646464"/>
                <w:sz w:val="21"/>
                <w:szCs w:val="21"/>
              </w:rPr>
            </w:pPr>
            <w:r>
              <w:rPr>
                <w:color w:val="646464"/>
                <w:sz w:val="21"/>
                <w:szCs w:val="21"/>
              </w:rPr>
              <w:t xml:space="preserve">La désignation bénéficiaire sera portée à la </w:t>
            </w:r>
            <w:r>
              <w:rPr>
                <w:color w:val="646464"/>
                <w:sz w:val="21"/>
                <w:szCs w:val="21"/>
                <w:u w:val="single" w:color="646464"/>
              </w:rPr>
              <w:t>connaissance des héritiers</w:t>
            </w:r>
            <w:r>
              <w:rPr>
                <w:color w:val="646464"/>
                <w:sz w:val="21"/>
                <w:szCs w:val="21"/>
              </w:rPr>
              <w:t xml:space="preserve"> lors de l’ouverture de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 xml:space="preserve">Le </w:t>
            </w:r>
            <w:r>
              <w:rPr>
                <w:color w:val="646464"/>
                <w:sz w:val="21"/>
                <w:szCs w:val="21"/>
                <w:u w:val="single" w:color="646464"/>
              </w:rPr>
              <w:t>risque de perte ou de destruction</w:t>
            </w:r>
            <w:r>
              <w:rPr>
                <w:color w:val="646464"/>
                <w:sz w:val="21"/>
                <w:szCs w:val="21"/>
              </w:rPr>
              <w:t xml:space="preserve"> est important si le testament n’est pas déposé chez le notaire</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 xml:space="preserve">Il faut penser à </w:t>
            </w:r>
            <w:r>
              <w:rPr>
                <w:color w:val="646464"/>
                <w:sz w:val="21"/>
                <w:szCs w:val="21"/>
                <w:u w:val="single" w:color="646464"/>
              </w:rPr>
              <w:t>notifier l’existence</w:t>
            </w:r>
            <w:r>
              <w:rPr>
                <w:color w:val="646464"/>
                <w:sz w:val="21"/>
                <w:szCs w:val="21"/>
              </w:rPr>
              <w:t xml:space="preserve"> du testament à l’assureur</w:t>
            </w:r>
          </w:p>
          <w:p>
            <w:pPr>
              <w:pStyle w:val="linotnth-last-child1"/>
              <w:numPr>
                <w:ilvl w:val="0"/>
                <w:numId w:val="30"/>
              </w:numPr>
              <w:spacing w:after="240" w:line="300" w:lineRule="atLeast"/>
              <w:ind w:left="720" w:right="0" w:hanging="360"/>
              <w:jc w:val="left"/>
              <w:rPr>
                <w:color w:val="646464"/>
                <w:sz w:val="21"/>
                <w:szCs w:val="21"/>
              </w:rPr>
            </w:pPr>
            <w:r>
              <w:rPr>
                <w:color w:val="646464"/>
                <w:sz w:val="21"/>
                <w:szCs w:val="21"/>
              </w:rPr>
              <w:t xml:space="preserve">Le testament conjonctif est </w:t>
            </w:r>
            <w:r>
              <w:rPr>
                <w:color w:val="646464"/>
                <w:sz w:val="21"/>
                <w:szCs w:val="21"/>
                <w:u w:val="single" w:color="646464"/>
              </w:rPr>
              <w:t>impossible</w:t>
            </w:r>
          </w:p>
          <w:p>
            <w:pPr>
              <w:numPr>
                <w:ilvl w:val="0"/>
                <w:numId w:val="30"/>
              </w:numPr>
              <w:spacing w:after="240" w:line="300" w:lineRule="atLeast"/>
              <w:ind w:left="720" w:right="0" w:hanging="360"/>
              <w:jc w:val="left"/>
              <w:rPr>
                <w:color w:val="646464"/>
                <w:sz w:val="21"/>
                <w:szCs w:val="21"/>
              </w:rPr>
            </w:pPr>
            <w:r>
              <w:rPr>
                <w:color w:val="646464"/>
                <w:sz w:val="21"/>
                <w:szCs w:val="21"/>
              </w:rPr>
              <w:t xml:space="preserve">Il faut faire enregistrer cette disposition au </w:t>
            </w:r>
            <w:r>
              <w:rPr>
                <w:color w:val="646464"/>
                <w:sz w:val="21"/>
                <w:szCs w:val="21"/>
                <w:u w:val="single" w:color="646464"/>
              </w:rPr>
              <w:t>fichier central des dispositions de dernières volontés (FCDDV)</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Acte déposé auprès d’un notaire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Cette désignation réalisée hors testament permet d’assurer une plus grande </w:t>
            </w:r>
            <w:r>
              <w:rPr>
                <w:color w:val="646464"/>
                <w:sz w:val="21"/>
                <w:szCs w:val="21"/>
                <w:u w:val="single" w:color="646464"/>
              </w:rPr>
              <w:t>confidentialité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color w:val="646464"/>
                <w:sz w:val="21"/>
                <w:szCs w:val="21"/>
              </w:rPr>
            </w:pPr>
            <w:r>
              <w:rPr>
                <w:color w:val="646464"/>
                <w:sz w:val="21"/>
                <w:szCs w:val="21"/>
              </w:rPr>
              <w:t xml:space="preserve">Il faut penser à </w:t>
            </w:r>
            <w:r>
              <w:rPr>
                <w:color w:val="646464"/>
                <w:sz w:val="21"/>
                <w:szCs w:val="21"/>
                <w:u w:val="single" w:color="646464"/>
              </w:rPr>
              <w:t>notifier l’existence</w:t>
            </w:r>
            <w:r>
              <w:rPr>
                <w:color w:val="646464"/>
                <w:sz w:val="21"/>
                <w:szCs w:val="21"/>
              </w:rPr>
              <w:t xml:space="preserve"> de cette clause à l’assureur</w:t>
            </w:r>
          </w:p>
          <w:p>
            <w:pPr>
              <w:numPr>
                <w:ilvl w:val="0"/>
                <w:numId w:val="31"/>
              </w:numPr>
              <w:spacing w:after="240" w:line="300" w:lineRule="atLeast"/>
              <w:ind w:left="720" w:right="0" w:hanging="360"/>
              <w:jc w:val="left"/>
              <w:rPr>
                <w:color w:val="646464"/>
                <w:sz w:val="21"/>
                <w:szCs w:val="21"/>
              </w:rPr>
            </w:pPr>
            <w:r>
              <w:rPr>
                <w:color w:val="646464"/>
                <w:sz w:val="21"/>
                <w:szCs w:val="21"/>
              </w:rPr>
              <w:t xml:space="preserve">Il faut faire enregistrer cette disposition au </w:t>
            </w:r>
            <w:r>
              <w:rPr>
                <w:color w:val="646464"/>
                <w:sz w:val="21"/>
                <w:szCs w:val="21"/>
                <w:u w:val="single" w:color="646464"/>
              </w:rPr>
              <w:t>FCDDV</w:t>
            </w:r>
          </w:p>
        </w:tc>
      </w:tr>
    </w:tbl>
    <w:p>
      <w:pPr>
        <w:pStyle w:val="p"/>
        <w:spacing w:before="0" w:after="180" w:line="330" w:lineRule="atLeast"/>
        <w:ind w:left="0" w:right="0"/>
        <w:rPr>
          <w:color w:val="646464"/>
          <w:sz w:val="24"/>
          <w:szCs w:val="24"/>
        </w:rPr>
      </w:pPr>
      <w:hyperlink r:id="rId6" w:tgtFrame="_blank" w:history="1">
        <w:r>
          <w:rPr>
            <w:rStyle w:val="a"/>
            <w:color w:val="4623EB"/>
            <w:sz w:val="24"/>
            <w:szCs w:val="24"/>
          </w:rPr>
          <w:t>Voir nos Questions/ Réponses : </w:t>
        </w:r>
      </w:hyperlink>
    </w:p>
    <w:p>
      <w:pPr>
        <w:pStyle w:val="linotnth-last-child1"/>
        <w:numPr>
          <w:ilvl w:val="0"/>
          <w:numId w:val="32"/>
        </w:numPr>
        <w:spacing w:before="240" w:after="240" w:line="330" w:lineRule="atLeast"/>
        <w:ind w:left="720" w:right="0" w:hanging="360"/>
        <w:jc w:val="left"/>
        <w:rPr>
          <w:color w:val="646464"/>
          <w:sz w:val="24"/>
          <w:szCs w:val="24"/>
        </w:rPr>
      </w:pPr>
      <w:hyperlink r:id="rId6" w:tgtFrame="_blank" w:history="1">
        <w:r>
          <w:rPr>
            <w:rStyle w:val="a"/>
            <w:color w:val="4623EB"/>
            <w:sz w:val="24"/>
            <w:szCs w:val="24"/>
          </w:rPr>
          <w:t>Faut-il préférer une clause bénéficiaire par testament ou sur la police d’assurance ?</w:t>
        </w:r>
      </w:hyperlink>
    </w:p>
    <w:p>
      <w:pPr>
        <w:numPr>
          <w:ilvl w:val="0"/>
          <w:numId w:val="32"/>
        </w:numPr>
        <w:spacing w:after="240" w:line="330" w:lineRule="atLeast"/>
        <w:ind w:left="720" w:right="0" w:hanging="360"/>
        <w:jc w:val="left"/>
        <w:rPr>
          <w:color w:val="646464"/>
          <w:sz w:val="24"/>
          <w:szCs w:val="24"/>
        </w:rPr>
      </w:pPr>
      <w:hyperlink r:id="rId7" w:tgtFrame="_blank" w:history="1">
        <w:r>
          <w:rPr>
            <w:rStyle w:val="a"/>
            <w:color w:val="4623EB"/>
            <w:sz w:val="24"/>
            <w:szCs w:val="24"/>
          </w:rPr>
          <w:t>Comment modifier la clause bénéficiaire d’un contrat d’assurance-vie intégrée dans un testament ?</w:t>
        </w:r>
      </w:hyperlink>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Sur le fond de la désignation bénéficiaire</w:t>
      </w:r>
    </w:p>
    <w:p>
      <w:pPr>
        <w:pStyle w:val="p"/>
        <w:spacing w:before="0" w:after="180" w:line="330" w:lineRule="atLeast"/>
        <w:ind w:left="0" w:right="0"/>
        <w:rPr>
          <w:color w:val="646464"/>
          <w:sz w:val="24"/>
          <w:szCs w:val="24"/>
        </w:rPr>
      </w:pPr>
      <w:r>
        <w:rPr>
          <w:color w:val="646464"/>
          <w:sz w:val="24"/>
          <w:szCs w:val="24"/>
        </w:rPr>
        <w:t>Les capitaux-décès sont payables au décès de l’assuré à un ou plusieurs bénéficiaires déterminés.</w:t>
      </w:r>
    </w:p>
    <w:p>
      <w:pPr>
        <w:pStyle w:val="p"/>
        <w:spacing w:before="0" w:after="180" w:line="330" w:lineRule="atLeast"/>
        <w:ind w:left="0" w:right="0"/>
        <w:rPr>
          <w:color w:val="646464"/>
          <w:sz w:val="24"/>
          <w:szCs w:val="24"/>
        </w:rPr>
      </w:pPr>
      <w:r>
        <w:rPr>
          <w:color w:val="646464"/>
          <w:sz w:val="24"/>
          <w:szCs w:val="24"/>
        </w:rPr>
        <w:t>Il faut que les bénéficiaires soient suffisamment définis dans la clause, pour qu’il n’y ait pas d’ambiguïté sur leur identité, leur nombre et la part qui leur revient individuellement.</w:t>
      </w:r>
    </w:p>
    <w:p>
      <w:pPr>
        <w:pStyle w:val="p"/>
        <w:spacing w:before="0" w:after="240" w:line="330" w:lineRule="atLeast"/>
        <w:ind w:left="0" w:right="0"/>
        <w:rPr>
          <w:color w:val="646464"/>
          <w:sz w:val="24"/>
          <w:szCs w:val="24"/>
        </w:rPr>
      </w:pPr>
      <w:r>
        <w:rPr>
          <w:color w:val="646464"/>
          <w:sz w:val="24"/>
          <w:szCs w:val="24"/>
        </w:rPr>
        <w:t>Quelques astuces peuvent permettre d’améliorer cette désignation bénéficiaire :</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2165"/>
        <w:gridCol w:w="4778"/>
        <w:gridCol w:w="3928"/>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Conseil</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Précautions rédactionnelles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Désigner nommément les bénéficiaires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Evite toute ambiguïté</w:t>
            </w:r>
          </w:p>
          <w:p>
            <w:pPr>
              <w:numPr>
                <w:ilvl w:val="0"/>
                <w:numId w:val="33"/>
              </w:numPr>
              <w:spacing w:after="240" w:line="300" w:lineRule="atLeast"/>
              <w:ind w:left="720" w:right="0" w:hanging="360"/>
              <w:jc w:val="left"/>
              <w:rPr>
                <w:color w:val="646464"/>
                <w:sz w:val="21"/>
                <w:szCs w:val="21"/>
              </w:rPr>
            </w:pPr>
            <w:r>
              <w:rPr>
                <w:color w:val="646464"/>
                <w:sz w:val="21"/>
                <w:szCs w:val="21"/>
              </w:rPr>
              <w:t xml:space="preserve">Evite le recours au notaire et, par conséquent, permet de </w:t>
            </w:r>
            <w:r>
              <w:rPr>
                <w:color w:val="646464"/>
                <w:sz w:val="21"/>
                <w:szCs w:val="21"/>
                <w:u w:val="single" w:color="646464"/>
              </w:rPr>
              <w:t>gagner du temps</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jc w:val="left"/>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jc w:val="left"/>
              <w:rPr>
                <w:color w:val="646464"/>
                <w:sz w:val="21"/>
                <w:szCs w:val="21"/>
              </w:rPr>
            </w:pPr>
            <w:r>
              <w:rPr>
                <w:color w:val="646464"/>
                <w:sz w:val="21"/>
                <w:szCs w:val="21"/>
              </w:rPr>
              <w:t>Si les enfants sont désignés bénéficiaires, il faudra obtenir l’acte de notoriété pour confirmer leur identité.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Ne pas cumuler le nom et la qualité.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Prévoir des bénéficiaires de second rang</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color w:val="646464"/>
                <w:sz w:val="21"/>
                <w:szCs w:val="21"/>
              </w:rPr>
            </w:pPr>
            <w:r>
              <w:rPr>
                <w:color w:val="646464"/>
                <w:sz w:val="21"/>
                <w:szCs w:val="21"/>
              </w:rPr>
              <w:t xml:space="preserve">Le bénéficiaire de premier rang pourra </w:t>
            </w:r>
            <w:r>
              <w:rPr>
                <w:color w:val="646464"/>
                <w:sz w:val="21"/>
                <w:szCs w:val="21"/>
                <w:u w:val="single" w:color="646464"/>
              </w:rPr>
              <w:t>renoncer</w:t>
            </w:r>
            <w:r>
              <w:rPr>
                <w:color w:val="646464"/>
                <w:sz w:val="21"/>
                <w:szCs w:val="21"/>
              </w:rPr>
              <w:t xml:space="preserve"> aux capitaux-décès s’il le souhaite,</w:t>
            </w:r>
          </w:p>
          <w:p>
            <w:pPr>
              <w:numPr>
                <w:ilvl w:val="0"/>
                <w:numId w:val="34"/>
              </w:numPr>
              <w:spacing w:after="240" w:line="300" w:lineRule="atLeast"/>
              <w:ind w:left="720" w:right="0" w:hanging="360"/>
              <w:jc w:val="left"/>
              <w:rPr>
                <w:color w:val="646464"/>
                <w:sz w:val="21"/>
                <w:szCs w:val="21"/>
              </w:rPr>
            </w:pPr>
            <w:r>
              <w:rPr>
                <w:color w:val="646464"/>
                <w:sz w:val="21"/>
                <w:szCs w:val="21"/>
                <w:u w:val="single" w:color="646464"/>
              </w:rPr>
              <w:t>Evite que les capitaux-décès tombent dans la succession du souscripteur</w:t>
            </w:r>
            <w:r>
              <w:rPr>
                <w:color w:val="646464"/>
                <w:sz w:val="21"/>
                <w:szCs w:val="21"/>
              </w:rPr>
              <w:t xml:space="preserve"> si le bénéficiaire de premier rang est décédé ou décide de laisser les capitaux-décès aux bénéficiaires de second rang.</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Prévoir la mention  "</w:t>
            </w:r>
            <w:r>
              <w:rPr>
                <w:i/>
                <w:iCs/>
                <w:color w:val="646464"/>
                <w:sz w:val="21"/>
                <w:szCs w:val="21"/>
              </w:rPr>
              <w:t>à défaut mes héritiers</w:t>
            </w:r>
            <w:r>
              <w:rPr>
                <w:color w:val="646464"/>
                <w:sz w:val="21"/>
                <w:szCs w:val="21"/>
              </w:rPr>
              <w:t>" afin d’envisager l’hypothèse du prédécès ou de la renonciation de tous les bénéficiaires.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Prévoir la représentation dans l’hypothèse du décès et de la renonciation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color w:val="646464"/>
                <w:sz w:val="21"/>
                <w:szCs w:val="21"/>
              </w:rPr>
            </w:pPr>
            <w:r>
              <w:rPr>
                <w:color w:val="646464"/>
                <w:sz w:val="21"/>
                <w:szCs w:val="21"/>
              </w:rPr>
              <w:t xml:space="preserve">Représentation possible uniquement lorsque les bénéficiaires sont </w:t>
            </w:r>
            <w:r>
              <w:rPr>
                <w:color w:val="646464"/>
                <w:sz w:val="21"/>
                <w:szCs w:val="21"/>
                <w:u w:val="single" w:color="646464"/>
              </w:rPr>
              <w:t>les enfants ou les frères et sœurs</w:t>
            </w:r>
            <w:r>
              <w:rPr>
                <w:color w:val="646464"/>
                <w:sz w:val="21"/>
                <w:szCs w:val="21"/>
              </w:rPr>
              <w:t xml:space="preserve"> du souscripteur</w:t>
            </w:r>
          </w:p>
          <w:p>
            <w:pPr>
              <w:pStyle w:val="linotnth-last-child1"/>
              <w:numPr>
                <w:ilvl w:val="0"/>
                <w:numId w:val="35"/>
              </w:numPr>
              <w:spacing w:after="240" w:line="300" w:lineRule="atLeast"/>
              <w:ind w:left="720" w:right="0" w:hanging="360"/>
              <w:jc w:val="left"/>
              <w:rPr>
                <w:color w:val="646464"/>
                <w:sz w:val="21"/>
                <w:szCs w:val="21"/>
              </w:rPr>
            </w:pPr>
            <w:r>
              <w:rPr>
                <w:color w:val="646464"/>
                <w:sz w:val="21"/>
                <w:szCs w:val="21"/>
              </w:rPr>
              <w:t xml:space="preserve">Permet de </w:t>
            </w:r>
            <w:r>
              <w:rPr>
                <w:color w:val="646464"/>
                <w:sz w:val="21"/>
                <w:szCs w:val="21"/>
                <w:u w:val="single" w:color="646464"/>
              </w:rPr>
              <w:t>respecter l’égalité</w:t>
            </w:r>
            <w:r>
              <w:rPr>
                <w:color w:val="646464"/>
                <w:sz w:val="21"/>
                <w:szCs w:val="21"/>
              </w:rPr>
              <w:t xml:space="preserve"> entre les souches</w:t>
            </w:r>
          </w:p>
          <w:p>
            <w:pPr>
              <w:numPr>
                <w:ilvl w:val="0"/>
                <w:numId w:val="35"/>
              </w:numPr>
              <w:spacing w:after="240" w:line="300" w:lineRule="atLeast"/>
              <w:ind w:left="720" w:right="0" w:hanging="360"/>
              <w:jc w:val="left"/>
              <w:rPr>
                <w:color w:val="646464"/>
                <w:sz w:val="21"/>
                <w:szCs w:val="21"/>
              </w:rPr>
            </w:pPr>
            <w:r>
              <w:rPr>
                <w:color w:val="646464"/>
                <w:sz w:val="21"/>
                <w:szCs w:val="21"/>
              </w:rPr>
              <w:t xml:space="preserve">Permet de réaliser un </w:t>
            </w:r>
            <w:r>
              <w:rPr>
                <w:color w:val="646464"/>
                <w:sz w:val="21"/>
                <w:szCs w:val="21"/>
                <w:u w:val="single" w:color="646464"/>
              </w:rPr>
              <w:t>saut de génération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36"/>
              </w:numPr>
              <w:spacing w:before="240" w:line="300" w:lineRule="atLeast"/>
              <w:ind w:left="720" w:right="0" w:hanging="360"/>
              <w:jc w:val="left"/>
              <w:rPr>
                <w:color w:val="646464"/>
                <w:sz w:val="21"/>
                <w:szCs w:val="21"/>
              </w:rPr>
            </w:pPr>
            <w:r>
              <w:rPr>
                <w:color w:val="646464"/>
                <w:sz w:val="21"/>
                <w:szCs w:val="21"/>
              </w:rPr>
              <w:t>Bien préciser si la représentation concerne :</w:t>
            </w:r>
          </w:p>
          <w:p>
            <w:pPr>
              <w:pStyle w:val="linotnth-last-child1"/>
              <w:numPr>
                <w:ilvl w:val="1"/>
                <w:numId w:val="36"/>
              </w:numPr>
              <w:spacing w:before="240" w:after="240" w:line="300" w:lineRule="atLeast"/>
              <w:ind w:left="1440" w:right="0" w:hanging="360"/>
              <w:jc w:val="left"/>
              <w:rPr>
                <w:color w:val="646464"/>
                <w:sz w:val="21"/>
                <w:szCs w:val="21"/>
              </w:rPr>
            </w:pPr>
            <w:r>
              <w:rPr>
                <w:color w:val="646464"/>
                <w:sz w:val="21"/>
                <w:szCs w:val="21"/>
              </w:rPr>
              <w:t xml:space="preserve">Le </w:t>
            </w:r>
            <w:r>
              <w:rPr>
                <w:color w:val="646464"/>
                <w:sz w:val="21"/>
                <w:szCs w:val="21"/>
                <w:u w:val="single" w:color="646464"/>
              </w:rPr>
              <w:t>décès</w:t>
            </w:r>
          </w:p>
          <w:p>
            <w:pPr>
              <w:pStyle w:val="linotnth-last-child1"/>
              <w:numPr>
                <w:ilvl w:val="1"/>
                <w:numId w:val="36"/>
              </w:numPr>
              <w:spacing w:after="240" w:line="300" w:lineRule="atLeast"/>
              <w:ind w:left="1440" w:right="0" w:hanging="360"/>
              <w:jc w:val="left"/>
              <w:rPr>
                <w:color w:val="646464"/>
                <w:sz w:val="21"/>
                <w:szCs w:val="21"/>
              </w:rPr>
            </w:pPr>
            <w:r>
              <w:rPr>
                <w:color w:val="646464"/>
                <w:sz w:val="21"/>
                <w:szCs w:val="21"/>
              </w:rPr>
              <w:t xml:space="preserve">La </w:t>
            </w:r>
            <w:r>
              <w:rPr>
                <w:color w:val="646464"/>
                <w:sz w:val="21"/>
                <w:szCs w:val="21"/>
                <w:u w:val="single" w:color="646464"/>
              </w:rPr>
              <w:t>renonciation</w:t>
            </w:r>
          </w:p>
          <w:p>
            <w:pPr>
              <w:numPr>
                <w:ilvl w:val="1"/>
                <w:numId w:val="36"/>
              </w:numPr>
              <w:spacing w:after="240" w:line="300" w:lineRule="atLeast"/>
              <w:ind w:left="1440" w:right="0" w:hanging="360"/>
              <w:jc w:val="left"/>
              <w:rPr>
                <w:color w:val="646464"/>
                <w:sz w:val="21"/>
                <w:szCs w:val="21"/>
              </w:rPr>
            </w:pPr>
            <w:r>
              <w:rPr>
                <w:color w:val="646464"/>
                <w:sz w:val="21"/>
                <w:szCs w:val="21"/>
              </w:rPr>
              <w:t xml:space="preserve">Le décès </w:t>
            </w:r>
            <w:r>
              <w:rPr>
                <w:color w:val="646464"/>
                <w:sz w:val="21"/>
                <w:szCs w:val="21"/>
                <w:u w:val="single" w:color="646464"/>
              </w:rPr>
              <w:t>et</w:t>
            </w:r>
            <w:r>
              <w:rPr>
                <w:color w:val="646464"/>
                <w:sz w:val="21"/>
                <w:szCs w:val="21"/>
              </w:rPr>
              <w:t xml:space="preserve"> la renonciation</w:t>
            </w:r>
          </w:p>
          <w:p>
            <w:pPr>
              <w:spacing w:line="300" w:lineRule="atLeast"/>
              <w:jc w:val="left"/>
              <w:rPr>
                <w:color w:val="646464"/>
                <w:sz w:val="21"/>
                <w:szCs w:val="21"/>
              </w:rPr>
            </w:pPr>
            <w:r>
              <w:rPr>
                <w:color w:val="646464"/>
                <w:sz w:val="21"/>
                <w:szCs w:val="21"/>
              </w:rPr>
              <w:t> </w:t>
            </w:r>
          </w:p>
          <w:p>
            <w:pPr>
              <w:numPr>
                <w:ilvl w:val="0"/>
                <w:numId w:val="37"/>
              </w:numPr>
              <w:spacing w:before="240" w:after="240" w:line="300" w:lineRule="atLeast"/>
              <w:ind w:left="720" w:right="0" w:hanging="360"/>
              <w:jc w:val="left"/>
              <w:rPr>
                <w:color w:val="646464"/>
                <w:sz w:val="21"/>
                <w:szCs w:val="21"/>
              </w:rPr>
            </w:pPr>
            <w:r>
              <w:rPr>
                <w:color w:val="646464"/>
                <w:sz w:val="21"/>
                <w:szCs w:val="21"/>
              </w:rPr>
              <w:t>Eviter la mention ambiguë  "</w:t>
            </w:r>
            <w:r>
              <w:rPr>
                <w:i/>
                <w:iCs/>
                <w:color w:val="646464"/>
                <w:sz w:val="21"/>
                <w:szCs w:val="21"/>
              </w:rPr>
              <w:t>par parts égales</w:t>
            </w:r>
            <w:r>
              <w:rPr>
                <w:color w:val="646464"/>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Démembrer la clause bénéficiaire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color w:val="646464"/>
                <w:sz w:val="21"/>
                <w:szCs w:val="21"/>
              </w:rPr>
            </w:pPr>
            <w:r>
              <w:rPr>
                <w:color w:val="646464"/>
                <w:sz w:val="21"/>
                <w:szCs w:val="21"/>
              </w:rPr>
              <w:t xml:space="preserve">Le bénéficiaire du quasi-usufruit reçoit la </w:t>
            </w:r>
            <w:r>
              <w:rPr>
                <w:color w:val="646464"/>
                <w:sz w:val="21"/>
                <w:szCs w:val="21"/>
                <w:u w:val="single" w:color="646464"/>
              </w:rPr>
              <w:t>totalité des capitaux</w:t>
            </w:r>
          </w:p>
          <w:p>
            <w:pPr>
              <w:pStyle w:val="linotnth-last-child1"/>
              <w:numPr>
                <w:ilvl w:val="0"/>
                <w:numId w:val="38"/>
              </w:numPr>
              <w:spacing w:after="240" w:line="300" w:lineRule="atLeast"/>
              <w:ind w:left="720" w:right="0" w:hanging="360"/>
              <w:jc w:val="left"/>
              <w:rPr>
                <w:color w:val="646464"/>
                <w:sz w:val="21"/>
                <w:szCs w:val="21"/>
              </w:rPr>
            </w:pPr>
            <w:r>
              <w:rPr>
                <w:color w:val="646464"/>
                <w:sz w:val="21"/>
                <w:szCs w:val="21"/>
              </w:rPr>
              <w:t xml:space="preserve">Au décès du conjoint, les enfants récupèrent l’intégralité des capitaux-décès </w:t>
            </w:r>
            <w:r>
              <w:rPr>
                <w:color w:val="646464"/>
                <w:sz w:val="21"/>
                <w:szCs w:val="21"/>
                <w:u w:val="single" w:color="646464"/>
              </w:rPr>
              <w:t>en franchise d’impôt</w:t>
            </w:r>
          </w:p>
          <w:p>
            <w:pPr>
              <w:numPr>
                <w:ilvl w:val="0"/>
                <w:numId w:val="38"/>
              </w:numPr>
              <w:spacing w:after="240" w:line="300" w:lineRule="atLeast"/>
              <w:ind w:left="720" w:right="0" w:hanging="360"/>
              <w:jc w:val="left"/>
              <w:rPr>
                <w:color w:val="646464"/>
                <w:sz w:val="21"/>
                <w:szCs w:val="21"/>
              </w:rPr>
            </w:pPr>
            <w:r>
              <w:rPr>
                <w:color w:val="646464"/>
                <w:sz w:val="21"/>
                <w:szCs w:val="21"/>
              </w:rPr>
              <w:t xml:space="preserve">La succession du conjoint est plus faiblement taxée compte tenu de la </w:t>
            </w:r>
            <w:r>
              <w:rPr>
                <w:color w:val="646464"/>
                <w:sz w:val="21"/>
                <w:szCs w:val="21"/>
                <w:u w:val="single" w:color="646464"/>
              </w:rPr>
              <w:t>déduction au passif de la créance de restitution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 xml:space="preserve">Prévoir l’hypothèse du </w:t>
            </w:r>
            <w:r>
              <w:rPr>
                <w:color w:val="646464"/>
                <w:sz w:val="21"/>
                <w:szCs w:val="21"/>
                <w:u w:val="single" w:color="646464"/>
              </w:rPr>
              <w:t>prédécès ou de la renonciation</w:t>
            </w:r>
            <w:r>
              <w:rPr>
                <w:color w:val="646464"/>
                <w:sz w:val="21"/>
                <w:szCs w:val="21"/>
              </w:rPr>
              <w:t xml:space="preserve"> du bénéficiaire en usufruit et des bénéficiaires en nue-propriété</w:t>
            </w:r>
          </w:p>
          <w:p>
            <w:pPr>
              <w:pStyle w:val="linotnth-last-child1"/>
              <w:numPr>
                <w:ilvl w:val="0"/>
                <w:numId w:val="39"/>
              </w:numPr>
              <w:spacing w:after="240" w:line="300" w:lineRule="atLeast"/>
              <w:ind w:left="720" w:right="0" w:hanging="360"/>
              <w:jc w:val="left"/>
              <w:rPr>
                <w:color w:val="646464"/>
                <w:sz w:val="21"/>
                <w:szCs w:val="21"/>
              </w:rPr>
            </w:pPr>
            <w:r>
              <w:rPr>
                <w:color w:val="646464"/>
                <w:sz w:val="21"/>
                <w:szCs w:val="21"/>
              </w:rPr>
              <w:t xml:space="preserve">Si le conjoint bénéficie d’un quasi-usufruit, il est conseillé d'imposer la rédaction d’une </w:t>
            </w:r>
            <w:r>
              <w:rPr>
                <w:color w:val="646464"/>
                <w:sz w:val="21"/>
                <w:szCs w:val="21"/>
                <w:u w:val="single" w:color="646464"/>
              </w:rPr>
              <w:t>convention de quasi-usufruit enregistrée</w:t>
            </w:r>
          </w:p>
          <w:p>
            <w:pPr>
              <w:numPr>
                <w:ilvl w:val="0"/>
                <w:numId w:val="39"/>
              </w:numPr>
              <w:spacing w:after="240" w:line="300" w:lineRule="atLeast"/>
              <w:ind w:left="720" w:right="0" w:hanging="360"/>
              <w:jc w:val="left"/>
              <w:rPr>
                <w:color w:val="646464"/>
                <w:sz w:val="21"/>
                <w:szCs w:val="21"/>
              </w:rPr>
            </w:pPr>
            <w:r>
              <w:rPr>
                <w:color w:val="646464"/>
                <w:sz w:val="21"/>
                <w:szCs w:val="21"/>
              </w:rPr>
              <w:t xml:space="preserve">Possibilité d’imposer aux bénéficiaires </w:t>
            </w:r>
            <w:r>
              <w:rPr>
                <w:color w:val="646464"/>
                <w:sz w:val="21"/>
                <w:szCs w:val="21"/>
                <w:u w:val="single" w:color="646464"/>
              </w:rPr>
              <w:t>l’emploi des capitaux</w:t>
            </w:r>
            <w:r>
              <w:rPr>
                <w:color w:val="646464"/>
                <w:sz w:val="21"/>
                <w:szCs w:val="21"/>
              </w:rPr>
              <w:t xml:space="preserve"> dans certains actifs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Laisser au bénéficiaire le choix entre plusieurs options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 xml:space="preserve">Le bénéficiaire de premier rang </w:t>
            </w:r>
            <w:r>
              <w:rPr>
                <w:color w:val="646464"/>
                <w:sz w:val="21"/>
                <w:szCs w:val="21"/>
                <w:u w:val="single" w:color="646464"/>
              </w:rPr>
              <w:t>choisit</w:t>
            </w:r>
            <w:r>
              <w:rPr>
                <w:color w:val="646464"/>
                <w:sz w:val="21"/>
                <w:szCs w:val="21"/>
              </w:rPr>
              <w:t xml:space="preserve"> la quotité qu’il souhaite, en fonction de ses besoins</w:t>
            </w:r>
          </w:p>
          <w:p>
            <w:pPr>
              <w:numPr>
                <w:ilvl w:val="0"/>
                <w:numId w:val="40"/>
              </w:numPr>
              <w:spacing w:after="240" w:line="300" w:lineRule="atLeast"/>
              <w:ind w:left="720" w:right="0" w:hanging="360"/>
              <w:jc w:val="left"/>
              <w:rPr>
                <w:color w:val="646464"/>
                <w:sz w:val="21"/>
                <w:szCs w:val="21"/>
              </w:rPr>
            </w:pPr>
            <w:r>
              <w:rPr>
                <w:color w:val="646464"/>
                <w:sz w:val="21"/>
                <w:szCs w:val="21"/>
              </w:rPr>
              <w:t xml:space="preserve">Cette option </w:t>
            </w:r>
            <w:r>
              <w:rPr>
                <w:color w:val="646464"/>
                <w:sz w:val="21"/>
                <w:szCs w:val="21"/>
                <w:u w:val="single" w:color="646464"/>
              </w:rPr>
              <w:t>ne constitue pas une libéralité</w:t>
            </w:r>
            <w:r>
              <w:rPr>
                <w:color w:val="646464"/>
                <w:sz w:val="21"/>
                <w:szCs w:val="21"/>
              </w:rPr>
              <w:t xml:space="preserve"> au profit des bénéficiaires de second rang</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u w:val="single" w:color="646464"/>
              </w:rPr>
              <w:t>Prévoir les conditions</w:t>
            </w:r>
            <w:r>
              <w:rPr>
                <w:color w:val="646464"/>
                <w:sz w:val="21"/>
                <w:szCs w:val="21"/>
              </w:rPr>
              <w:t xml:space="preserve"> que le bénéficiaire devra respecter pour exercer son option (</w:t>
            </w:r>
            <w:r>
              <w:rPr>
                <w:color w:val="646464"/>
                <w:sz w:val="21"/>
                <w:szCs w:val="21"/>
                <w:u w:val="single" w:color="646464"/>
              </w:rPr>
              <w:t>délai</w:t>
            </w:r>
            <w:r>
              <w:rPr>
                <w:color w:val="646464"/>
                <w:sz w:val="21"/>
                <w:szCs w:val="21"/>
              </w:rPr>
              <w:t xml:space="preserve"> à respecter, etc.)</w:t>
            </w:r>
          </w:p>
          <w:p>
            <w:pPr>
              <w:numPr>
                <w:ilvl w:val="0"/>
                <w:numId w:val="41"/>
              </w:numPr>
              <w:spacing w:after="240" w:line="300" w:lineRule="atLeast"/>
              <w:ind w:left="720" w:right="0" w:hanging="360"/>
              <w:jc w:val="left"/>
              <w:rPr>
                <w:color w:val="646464"/>
                <w:sz w:val="21"/>
                <w:szCs w:val="21"/>
              </w:rPr>
            </w:pPr>
            <w:r>
              <w:rPr>
                <w:color w:val="646464"/>
                <w:sz w:val="21"/>
                <w:szCs w:val="21"/>
              </w:rPr>
              <w:t xml:space="preserve">Prévoir </w:t>
            </w:r>
            <w:r>
              <w:rPr>
                <w:color w:val="646464"/>
                <w:sz w:val="21"/>
                <w:szCs w:val="21"/>
                <w:u w:val="single" w:color="646464"/>
              </w:rPr>
              <w:t>plusieurs options indépendantes</w:t>
            </w:r>
            <w:r>
              <w:rPr>
                <w:color w:val="646464"/>
                <w:sz w:val="21"/>
                <w:szCs w:val="21"/>
              </w:rPr>
              <w:t> les unes des autres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Imposer des conditions au bénéficiaire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Permet de gratifier une personne tout en </w:t>
            </w:r>
            <w:r>
              <w:rPr>
                <w:color w:val="646464"/>
                <w:sz w:val="21"/>
                <w:szCs w:val="21"/>
                <w:u w:val="single" w:color="646464"/>
              </w:rPr>
              <w:t>encadrant son comportement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Possibilité de prévoir l'</w:t>
            </w:r>
            <w:r>
              <w:rPr>
                <w:color w:val="646464"/>
                <w:sz w:val="21"/>
                <w:szCs w:val="21"/>
                <w:u w:val="single" w:color="646464"/>
              </w:rPr>
              <w:t>emploi des fonds</w:t>
            </w:r>
          </w:p>
          <w:p>
            <w:pPr>
              <w:pStyle w:val="linotnth-last-child1"/>
              <w:numPr>
                <w:ilvl w:val="0"/>
                <w:numId w:val="42"/>
              </w:numPr>
              <w:spacing w:after="240" w:line="300" w:lineRule="atLeast"/>
              <w:ind w:left="720" w:right="0" w:hanging="360"/>
              <w:jc w:val="left"/>
              <w:rPr>
                <w:color w:val="646464"/>
                <w:sz w:val="21"/>
                <w:szCs w:val="21"/>
              </w:rPr>
            </w:pPr>
            <w:r>
              <w:rPr>
                <w:color w:val="646464"/>
                <w:sz w:val="21"/>
                <w:szCs w:val="21"/>
              </w:rPr>
              <w:t xml:space="preserve">Rédiger la clause </w:t>
            </w:r>
            <w:r>
              <w:rPr>
                <w:color w:val="646464"/>
                <w:sz w:val="21"/>
                <w:szCs w:val="21"/>
                <w:u w:val="single" w:color="646464"/>
              </w:rPr>
              <w:t>sous testament</w:t>
            </w:r>
            <w:r>
              <w:rPr>
                <w:color w:val="646464"/>
                <w:sz w:val="21"/>
                <w:szCs w:val="21"/>
              </w:rPr>
              <w:t xml:space="preserve"> pour que les </w:t>
            </w:r>
            <w:r>
              <w:rPr>
                <w:color w:val="646464"/>
                <w:sz w:val="21"/>
                <w:szCs w:val="21"/>
                <w:u w:val="single" w:color="646464"/>
              </w:rPr>
              <w:t>héritiers en aient connaissance</w:t>
            </w:r>
            <w:r>
              <w:rPr>
                <w:color w:val="646464"/>
                <w:sz w:val="21"/>
                <w:szCs w:val="21"/>
              </w:rPr>
              <w:t xml:space="preserve"> puissent vérifier le respect des conditions</w:t>
            </w:r>
          </w:p>
          <w:p>
            <w:pPr>
              <w:pStyle w:val="linotnth-last-child1"/>
              <w:numPr>
                <w:ilvl w:val="0"/>
                <w:numId w:val="42"/>
              </w:numPr>
              <w:spacing w:after="240" w:line="300" w:lineRule="atLeast"/>
              <w:ind w:left="720" w:right="0" w:hanging="360"/>
              <w:jc w:val="left"/>
              <w:rPr>
                <w:color w:val="646464"/>
                <w:sz w:val="21"/>
                <w:szCs w:val="21"/>
              </w:rPr>
            </w:pPr>
            <w:r>
              <w:rPr>
                <w:color w:val="646464"/>
                <w:sz w:val="21"/>
                <w:szCs w:val="21"/>
              </w:rPr>
              <w:t xml:space="preserve">Prévoir une </w:t>
            </w:r>
            <w:r>
              <w:rPr>
                <w:color w:val="646464"/>
                <w:sz w:val="21"/>
                <w:szCs w:val="21"/>
                <w:u w:val="single" w:color="646464"/>
              </w:rPr>
              <w:t>clause d’inaliénabilité temporaire</w:t>
            </w:r>
            <w:r>
              <w:rPr>
                <w:color w:val="646464"/>
                <w:sz w:val="21"/>
                <w:szCs w:val="21"/>
              </w:rPr>
              <w:t xml:space="preserve"> et justifiée par un </w:t>
            </w:r>
            <w:r>
              <w:rPr>
                <w:color w:val="646464"/>
                <w:sz w:val="21"/>
                <w:szCs w:val="21"/>
                <w:u w:val="single" w:color="646464"/>
              </w:rPr>
              <w:t>intérêt sérieux et légitime</w:t>
            </w:r>
            <w:r>
              <w:rPr>
                <w:color w:val="646464"/>
                <w:sz w:val="21"/>
                <w:szCs w:val="21"/>
              </w:rPr>
              <w:t xml:space="preserve"> (jeune âge du bénéficiaire par exemple)</w:t>
            </w:r>
          </w:p>
          <w:p>
            <w:pPr>
              <w:numPr>
                <w:ilvl w:val="0"/>
                <w:numId w:val="42"/>
              </w:numPr>
              <w:spacing w:after="240" w:line="300" w:lineRule="atLeast"/>
              <w:ind w:left="720" w:right="0" w:hanging="360"/>
              <w:jc w:val="left"/>
              <w:rPr>
                <w:color w:val="646464"/>
                <w:sz w:val="21"/>
                <w:szCs w:val="21"/>
              </w:rPr>
            </w:pPr>
            <w:r>
              <w:rPr>
                <w:color w:val="646464"/>
                <w:sz w:val="21"/>
                <w:szCs w:val="21"/>
              </w:rPr>
              <w:t>Ces clauses sont parfois plus "morales" et "indicatives" que véritablement contraignantes</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Les clauses à tiroirs ou prévoyant la renonciation sont subordonnés au fait que le bénéficiaire soit capable. Ainsi, ces types de clauses bénéficiaires </w:t>
      </w:r>
      <w:r>
        <w:rPr>
          <w:b/>
          <w:bCs/>
          <w:color w:val="646464"/>
          <w:sz w:val="21"/>
          <w:szCs w:val="21"/>
        </w:rPr>
        <w:t>manquent d’intérêt si le bénéficiaire de premier rang n’a pas la faculté d’exercer de choix</w:t>
      </w:r>
      <w:r>
        <w:rPr>
          <w:color w:val="646464"/>
          <w:sz w:val="21"/>
          <w:szCs w:val="21"/>
        </w:rPr>
        <w:t>, puisque son tuteur ou la personne habilitée dans le cadre d'une habilitation familiale ne pourra être autorisée à renoncer au bénéficie du contrat d’assurance-vie à sa place.</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8"/>
      <w:footerReference w:type="default" r:id="rId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figuretabletable">
    <w:name w:val="figure_table_table"/>
    <w:basedOn w:val="TableNormal"/>
    <w:tblPr/>
  </w:style>
  <w:style w:type="character" w:customStyle="1" w:styleId="a">
    <w:name w:val="a"/>
    <w:basedOn w:val="DefaultParagraphFont"/>
    <w:rPr>
      <w:color w:val="4623EB"/>
    </w:r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53118" TargetMode="External" /><Relationship Id="rId7" Type="http://schemas.openxmlformats.org/officeDocument/2006/relationships/hyperlink" Target="https://api.fidroit.fr/document/51841"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2023-08-17T12:20:57Z</dcterms:created>
  <dcterms:modified xsi:type="dcterms:W3CDTF">2023-08-17T12:20:57Z</dcterms:modified>
</cp:coreProperties>
</file>