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Un majeur protégé peut-il souscrire un contrat d’assurance-vie ?</w:t>
      </w:r>
    </w:p>
    <w:p>
      <w:pPr>
        <w:pStyle w:val="updated-at"/>
        <w:spacing w:before="0" w:after="300" w:line="360" w:lineRule="atLeast"/>
        <w:ind w:left="0" w:right="0"/>
        <w:rPr>
          <w:color w:val="646464"/>
          <w:sz w:val="27"/>
          <w:szCs w:val="27"/>
        </w:rPr>
      </w:pPr>
      <w:r>
        <w:rPr>
          <w:color w:val="646464"/>
          <w:sz w:val="27"/>
          <w:szCs w:val="27"/>
        </w:rPr>
        <w:t>Mis à jour le 3 févr. 2020</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240" w:line="330" w:lineRule="atLeast"/>
        <w:ind w:left="0" w:right="0"/>
        <w:jc w:val="both"/>
        <w:rPr>
          <w:color w:val="646464"/>
          <w:sz w:val="24"/>
          <w:szCs w:val="24"/>
        </w:rPr>
      </w:pPr>
      <w:r>
        <w:rPr>
          <w:i/>
          <w:iCs/>
          <w:color w:val="646464"/>
          <w:sz w:val="24"/>
          <w:szCs w:val="24"/>
        </w:rPr>
        <w:t>Un majeur protégé peut-il souscrire un contrat d’assurance-vie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240" w:line="330" w:lineRule="atLeast"/>
        <w:ind w:left="0" w:right="0"/>
        <w:jc w:val="both"/>
        <w:rPr>
          <w:color w:val="646464"/>
          <w:sz w:val="24"/>
          <w:szCs w:val="24"/>
        </w:rPr>
      </w:pPr>
      <w:r>
        <w:rPr>
          <w:color w:val="646464"/>
          <w:sz w:val="24"/>
          <w:szCs w:val="24"/>
        </w:rPr>
        <w:t>La souscription d’un contrat d’assurance-vie par un majeur protégé est possible mais les modalités diffèrent selon le régime de protection du majeur :</w:t>
      </w:r>
      <w:r>
        <w:rPr>
          <w:color w:val="646464"/>
          <w:sz w:val="24"/>
          <w:szCs w:val="24"/>
        </w:rPr>
        <w:br/>
      </w:r>
      <w:r>
        <w:rPr>
          <w:color w:val="646464"/>
          <w:sz w:val="24"/>
          <w:szCs w:val="24"/>
        </w:rPr>
        <w:t>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735"/>
        <w:gridCol w:w="3115"/>
        <w:gridCol w:w="6021"/>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Souscription du contrat d’assurance-vie </w:t>
            </w:r>
            <w:r>
              <w:rPr>
                <w:b/>
                <w:bCs/>
                <w:i/>
                <w:iCs/>
                <w:color w:val="FFFFFF"/>
                <w:sz w:val="24"/>
                <w:szCs w:val="24"/>
              </w:rPr>
              <w:t>(*)</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Désignation ou substitution du bénéficiaire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Sauvegarde de justice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Par le majeur protégé seul.</w:t>
            </w:r>
            <w:r>
              <w:rPr>
                <w:color w:val="646464"/>
                <w:sz w:val="21"/>
                <w:szCs w:val="21"/>
              </w:rPr>
              <w:br/>
            </w:r>
            <w:r>
              <w:rPr>
                <w:color w:val="646464"/>
                <w:sz w:val="21"/>
                <w:szCs w:val="21"/>
              </w:rPr>
              <w:t>C. civ. art. 435</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Par le majeur protégé seul.</w:t>
            </w:r>
            <w:r>
              <w:rPr>
                <w:color w:val="646464"/>
                <w:sz w:val="21"/>
                <w:szCs w:val="21"/>
              </w:rPr>
              <w:br/>
            </w:r>
            <w:r>
              <w:rPr>
                <w:color w:val="646464"/>
                <w:sz w:val="21"/>
                <w:szCs w:val="21"/>
              </w:rPr>
              <w:t>C. civ. art. 435</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Curatelle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Par le majeur protégé </w:t>
            </w:r>
            <w:r>
              <w:rPr>
                <w:color w:val="646464"/>
                <w:sz w:val="21"/>
                <w:szCs w:val="21"/>
                <w:u w:val="single" w:color="646464"/>
              </w:rPr>
              <w:t>avec l’assistance de son curateur</w:t>
            </w:r>
            <w:r>
              <w:rPr>
                <w:color w:val="646464"/>
                <w:sz w:val="21"/>
                <w:szCs w:val="21"/>
              </w:rPr>
              <w:t>. </w:t>
            </w:r>
            <w:r>
              <w:rPr>
                <w:color w:val="646464"/>
                <w:sz w:val="21"/>
                <w:szCs w:val="21"/>
              </w:rPr>
              <w:br/>
            </w:r>
            <w:r>
              <w:rPr>
                <w:color w:val="646464"/>
                <w:sz w:val="21"/>
                <w:szCs w:val="21"/>
              </w:rPr>
              <w:t>C. ass. art. L. 132-4-1, al. 1</w:t>
            </w:r>
            <w:r>
              <w:rPr>
                <w:color w:val="646464"/>
                <w:sz w:val="21"/>
                <w:szCs w:val="21"/>
              </w:rPr>
              <w:br/>
            </w:r>
            <w:r>
              <w:rPr>
                <w:color w:val="646464"/>
                <w:sz w:val="21"/>
                <w:szCs w:val="21"/>
              </w:rPr>
              <w:t>C. civ. art. 467 al. 1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 xml:space="preserve">Par le majeur protégé </w:t>
            </w:r>
            <w:r>
              <w:rPr>
                <w:color w:val="646464"/>
                <w:sz w:val="21"/>
                <w:szCs w:val="21"/>
                <w:u w:val="single" w:color="646464"/>
              </w:rPr>
              <w:t>avec l’assistance de son curateur</w:t>
            </w:r>
            <w:r>
              <w:rPr>
                <w:color w:val="646464"/>
                <w:sz w:val="21"/>
                <w:szCs w:val="21"/>
              </w:rPr>
              <w:t>.</w:t>
            </w:r>
            <w:r>
              <w:rPr>
                <w:color w:val="646464"/>
                <w:sz w:val="21"/>
                <w:szCs w:val="21"/>
              </w:rPr>
              <w:br/>
            </w:r>
            <w:r>
              <w:rPr>
                <w:color w:val="646464"/>
                <w:sz w:val="21"/>
                <w:szCs w:val="21"/>
              </w:rPr>
              <w:t> </w:t>
            </w:r>
            <w:r>
              <w:rPr>
                <w:color w:val="646464"/>
                <w:sz w:val="21"/>
                <w:szCs w:val="21"/>
              </w:rPr>
              <w:br/>
            </w:r>
            <w:r>
              <w:rPr>
                <w:color w:val="646464"/>
                <w:sz w:val="21"/>
                <w:szCs w:val="21"/>
                <w:u w:val="single" w:color="646464"/>
              </w:rPr>
              <w:t>Par le majeur protégé seul en cas de désignation testamentaire</w:t>
            </w:r>
            <w:r>
              <w:rPr>
                <w:color w:val="646464"/>
                <w:sz w:val="21"/>
                <w:szCs w:val="21"/>
              </w:rPr>
              <w:t>. Mais la modification de la clause bénéficiaire nécessitera l’assistance du curateur.</w:t>
            </w:r>
            <w:r>
              <w:rPr>
                <w:color w:val="646464"/>
                <w:sz w:val="21"/>
                <w:szCs w:val="21"/>
              </w:rPr>
              <w:br/>
            </w:r>
            <w:r>
              <w:rPr>
                <w:color w:val="646464"/>
                <w:sz w:val="21"/>
                <w:szCs w:val="21"/>
              </w:rPr>
              <w:t>C. civ. art. 470</w:t>
            </w:r>
            <w:r>
              <w:rPr>
                <w:color w:val="646464"/>
                <w:sz w:val="21"/>
                <w:szCs w:val="21"/>
              </w:rPr>
              <w:br/>
            </w:r>
            <w:hyperlink r:id="rId6" w:tgtFrame="_blank" w:history="1">
              <w:r>
                <w:rPr>
                  <w:rStyle w:val="a"/>
                  <w:color w:val="4623EB"/>
                  <w:sz w:val="21"/>
                  <w:szCs w:val="21"/>
                </w:rPr>
                <w:t>Cass. civ. 2, 8 juin 2017, n° 15-12544</w:t>
              </w:r>
            </w:hyperlink>
          </w:p>
          <w:p>
            <w:pPr>
              <w:pStyle w:val="p"/>
              <w:spacing w:before="0" w:after="180" w:line="300" w:lineRule="atLeast"/>
              <w:ind w:left="0" w:right="0"/>
              <w:rPr>
                <w:color w:val="646464"/>
                <w:sz w:val="21"/>
                <w:szCs w:val="21"/>
              </w:rPr>
            </w:pPr>
            <w:r>
              <w:rPr>
                <w:color w:val="646464"/>
                <w:sz w:val="21"/>
                <w:szCs w:val="21"/>
              </w:rPr>
              <w:t>L’accord du curateur peut être exprimé soit avant, soit après l’établissement du testament</w:t>
            </w:r>
            <w:r>
              <w:rPr>
                <w:color w:val="646464"/>
                <w:sz w:val="21"/>
                <w:szCs w:val="21"/>
              </w:rPr>
              <w:br/>
            </w:r>
            <w:hyperlink r:id="rId7" w:tgtFrame="_blank" w:history="1">
              <w:r>
                <w:rPr>
                  <w:rStyle w:val="a"/>
                  <w:color w:val="4623EB"/>
                  <w:sz w:val="21"/>
                  <w:szCs w:val="21"/>
                </w:rPr>
                <w:t>C. ass. art. L 132-4-1</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Si le bénéficiaire du contrat est le curateur, il sera nécessaire de nommé un subrogé curateur ou un curateur ad hoc. </w:t>
            </w:r>
            <w:r>
              <w:rPr>
                <w:color w:val="646464"/>
                <w:sz w:val="21"/>
                <w:szCs w:val="21"/>
              </w:rPr>
              <w:br/>
            </w:r>
            <w:r>
              <w:rPr>
                <w:color w:val="646464"/>
                <w:sz w:val="21"/>
                <w:szCs w:val="21"/>
              </w:rPr>
              <w:t>C. ass. art. L. 132-4-1, al. 2</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 défaut de désignation d'un curateur ad hoc, la clause bénéficiaire n'encourt toutefois qu'une nullité relative facultative. Il n'y a pas nécessairement opposition d'intérêts (notamment lorsque la clause respecte la dévolution légale), c'est au juge d'apprécier s'il y a conflit d'intérêt ou non.</w:t>
            </w:r>
            <w:r>
              <w:rPr>
                <w:color w:val="646464"/>
                <w:sz w:val="21"/>
                <w:szCs w:val="21"/>
              </w:rPr>
              <w:br/>
            </w:r>
            <w:hyperlink r:id="rId8" w:history="1">
              <w:r>
                <w:rPr>
                  <w:rStyle w:val="a"/>
                  <w:color w:val="4623EB"/>
                  <w:sz w:val="21"/>
                  <w:szCs w:val="21"/>
                </w:rPr>
                <w:t>Cass. civ. 1, 5 janv. 1999, n° 96-19759</w:t>
              </w:r>
            </w:hyperlink>
            <w:r>
              <w:rPr>
                <w:rStyle w:val="a"/>
                <w:color w:val="4623EB"/>
                <w:sz w:val="21"/>
                <w:szCs w:val="21"/>
              </w:rPr>
              <w:br/>
            </w:r>
            <w:hyperlink r:id="rId9" w:history="1">
              <w:r>
                <w:rPr>
                  <w:rStyle w:val="a"/>
                  <w:color w:val="4623EB"/>
                  <w:sz w:val="21"/>
                  <w:szCs w:val="21"/>
                </w:rPr>
                <w:t>CA Paris, 30 nov. 2021, n° 20/04066</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Tutelle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Par le majeur protégé avec </w:t>
            </w:r>
            <w:r>
              <w:rPr>
                <w:color w:val="646464"/>
                <w:sz w:val="21"/>
                <w:szCs w:val="21"/>
                <w:u w:val="single" w:color="646464"/>
              </w:rPr>
              <w:t>l’autorisation du juge des tutelles ou du conseil de famille</w:t>
            </w:r>
            <w:r>
              <w:rPr>
                <w:color w:val="646464"/>
                <w:sz w:val="21"/>
                <w:szCs w:val="21"/>
              </w:rPr>
              <w:t>.</w:t>
            </w:r>
            <w:r>
              <w:rPr>
                <w:color w:val="646464"/>
                <w:sz w:val="21"/>
                <w:szCs w:val="21"/>
              </w:rPr>
              <w:br/>
            </w:r>
            <w:r>
              <w:rPr>
                <w:color w:val="646464"/>
                <w:sz w:val="21"/>
                <w:szCs w:val="21"/>
              </w:rPr>
              <w:t>C. ass. art. L. 132-4-1, al. 1</w:t>
            </w:r>
            <w:r>
              <w:rPr>
                <w:color w:val="646464"/>
                <w:sz w:val="21"/>
                <w:szCs w:val="21"/>
              </w:rPr>
              <w:br/>
            </w:r>
            <w:r>
              <w:rPr>
                <w:color w:val="646464"/>
                <w:sz w:val="21"/>
                <w:szCs w:val="21"/>
              </w:rPr>
              <w:t>C. civ. art. 473 et 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 xml:space="preserve">Elle nécessite </w:t>
            </w:r>
            <w:r>
              <w:rPr>
                <w:color w:val="646464"/>
                <w:sz w:val="21"/>
                <w:szCs w:val="21"/>
                <w:u w:val="single" w:color="646464"/>
              </w:rPr>
              <w:t>l’autorisation du juge des tutelles ou du conseil de famille</w:t>
            </w:r>
            <w:r>
              <w:rPr>
                <w:color w:val="646464"/>
                <w:sz w:val="21"/>
                <w:szCs w:val="21"/>
              </w:rPr>
              <w:t>.</w:t>
            </w:r>
            <w:r>
              <w:rPr>
                <w:color w:val="646464"/>
                <w:sz w:val="21"/>
                <w:szCs w:val="21"/>
              </w:rPr>
              <w:br/>
            </w:r>
            <w:r>
              <w:rPr>
                <w:color w:val="646464"/>
                <w:sz w:val="21"/>
                <w:szCs w:val="21"/>
              </w:rPr>
              <w:t> </w:t>
            </w:r>
            <w:r>
              <w:rPr>
                <w:color w:val="646464"/>
                <w:sz w:val="21"/>
                <w:szCs w:val="21"/>
              </w:rPr>
              <w:br/>
            </w:r>
            <w:r>
              <w:rPr>
                <w:color w:val="646464"/>
                <w:sz w:val="21"/>
                <w:szCs w:val="21"/>
              </w:rPr>
              <w:t>Seul le tuteur peut saisir le juge des tutelles en cas de modification de la clause.</w:t>
            </w:r>
            <w:r>
              <w:rPr>
                <w:color w:val="646464"/>
                <w:sz w:val="21"/>
                <w:szCs w:val="21"/>
              </w:rPr>
              <w:br/>
            </w:r>
            <w:r>
              <w:rPr>
                <w:color w:val="646464"/>
                <w:sz w:val="21"/>
                <w:szCs w:val="21"/>
              </w:rPr>
              <w:t> </w:t>
            </w:r>
            <w:r>
              <w:rPr>
                <w:color w:val="646464"/>
                <w:sz w:val="21"/>
                <w:szCs w:val="21"/>
              </w:rPr>
              <w:br/>
            </w:r>
            <w:r>
              <w:rPr>
                <w:color w:val="646464"/>
                <w:sz w:val="21"/>
                <w:szCs w:val="21"/>
              </w:rPr>
              <w:t>En cas de désignation du bénéficiaire par testament le majeur protégé doit également obtenir l’accord du juge des tutelles ou du conseil de famille. Le tuteur ne peut ni l’assister, ni le représenter à cette occasion.</w:t>
            </w:r>
            <w:r>
              <w:rPr>
                <w:color w:val="646464"/>
                <w:sz w:val="21"/>
                <w:szCs w:val="21"/>
              </w:rPr>
              <w:br/>
            </w:r>
            <w:r>
              <w:rPr>
                <w:color w:val="646464"/>
                <w:sz w:val="21"/>
                <w:szCs w:val="21"/>
              </w:rPr>
              <w:t> </w:t>
            </w:r>
            <w:r>
              <w:rPr>
                <w:color w:val="646464"/>
                <w:sz w:val="21"/>
                <w:szCs w:val="21"/>
              </w:rPr>
              <w:br/>
            </w:r>
            <w:r>
              <w:rPr>
                <w:color w:val="646464"/>
                <w:sz w:val="21"/>
                <w:szCs w:val="21"/>
              </w:rPr>
              <w:t>Cependant, le tuteur devrait intervenir en cas de modification de la clause bénéficiaire établie par testament (transposition probable de la jurisprudence du 8 juin 2017 sur la curatelle). </w:t>
            </w:r>
            <w:r>
              <w:rPr>
                <w:color w:val="646464"/>
                <w:sz w:val="21"/>
                <w:szCs w:val="21"/>
              </w:rPr>
              <w:br/>
            </w:r>
            <w:r>
              <w:rPr>
                <w:color w:val="646464"/>
                <w:sz w:val="21"/>
                <w:szCs w:val="21"/>
              </w:rPr>
              <w:t>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le bénéficiaire du contrat est le tuteur, il y a une opposition d’intérêts avec la personne protégée. Il sera nécessaire de nommé un subrogé tuteur ou un tuteur ad hoc.</w:t>
            </w:r>
            <w:r>
              <w:rPr>
                <w:color w:val="646464"/>
                <w:sz w:val="21"/>
                <w:szCs w:val="21"/>
              </w:rPr>
              <w:br/>
            </w:r>
            <w:r>
              <w:rPr>
                <w:color w:val="646464"/>
                <w:sz w:val="21"/>
                <w:szCs w:val="21"/>
              </w:rPr>
              <w:t>C. ass. art. L. 132-4-1, al. 2</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Habitation familiale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Par </w:t>
            </w:r>
            <w:r>
              <w:rPr>
                <w:color w:val="646464"/>
                <w:sz w:val="21"/>
                <w:szCs w:val="21"/>
                <w:u w:val="single" w:color="646464"/>
              </w:rPr>
              <w:t>la personne habilitée</w:t>
            </w:r>
            <w:r>
              <w:rPr>
                <w:color w:val="646464"/>
                <w:sz w:val="21"/>
                <w:szCs w:val="21"/>
              </w:rPr>
              <w:t xml:space="preserve"> pour le compte de la personne représentée si </w:t>
            </w:r>
            <w:r>
              <w:rPr>
                <w:color w:val="646464"/>
                <w:sz w:val="21"/>
                <w:szCs w:val="21"/>
                <w:u w:val="single" w:color="646464"/>
              </w:rPr>
              <w:t>l’habilitation familiale est générale ou l’habilite en ce sens</w:t>
            </w:r>
            <w:r>
              <w:rPr>
                <w:color w:val="646464"/>
                <w:sz w:val="21"/>
                <w:szCs w:val="21"/>
              </w:rPr>
              <w:t>.</w:t>
            </w:r>
            <w:r>
              <w:rPr>
                <w:color w:val="646464"/>
                <w:sz w:val="21"/>
                <w:szCs w:val="21"/>
              </w:rPr>
              <w:br/>
            </w:r>
            <w:r>
              <w:rPr>
                <w:color w:val="646464"/>
                <w:sz w:val="21"/>
                <w:szCs w:val="21"/>
              </w:rPr>
              <w:t>C. civ. art. 494-6</w:t>
            </w:r>
            <w:r>
              <w:rPr>
                <w:color w:val="646464"/>
                <w:sz w:val="21"/>
                <w:szCs w:val="21"/>
              </w:rPr>
              <w:br/>
            </w:r>
            <w:hyperlink r:id="rId10" w:tgtFrame="_blank" w:history="1">
              <w:r>
                <w:rPr>
                  <w:rStyle w:val="a"/>
                  <w:color w:val="4623EB"/>
                  <w:sz w:val="21"/>
                  <w:szCs w:val="21"/>
                </w:rPr>
                <w:t>Décret 22 déc. 2008</w:t>
              </w:r>
            </w:hyperlink>
            <w:r>
              <w:rPr>
                <w:color w:val="646464"/>
                <w:sz w:val="21"/>
                <w:szCs w:val="21"/>
              </w:rPr>
              <w:t>, annexe 1</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Si l’on considère que la désignation constitue un acte de disposition à titre gratuit (position de la doctrine majoritaire) nécessitant l’autorisation du juge des tutelles alors </w:t>
            </w:r>
            <w:r>
              <w:rPr>
                <w:color w:val="646464"/>
                <w:sz w:val="21"/>
                <w:szCs w:val="21"/>
                <w:u w:val="single" w:color="646464"/>
              </w:rPr>
              <w:t>la personne habilitée semble devoir obtenir cette autorisation</w:t>
            </w:r>
            <w:r>
              <w:rPr>
                <w:color w:val="646464"/>
                <w:sz w:val="21"/>
                <w:szCs w:val="21"/>
              </w:rPr>
              <w:t>.</w:t>
            </w:r>
            <w:r>
              <w:rPr>
                <w:color w:val="646464"/>
                <w:sz w:val="21"/>
                <w:szCs w:val="21"/>
              </w:rPr>
              <w:br/>
            </w:r>
            <w:r>
              <w:rPr>
                <w:color w:val="646464"/>
                <w:sz w:val="21"/>
                <w:szCs w:val="21"/>
              </w:rPr>
              <w:t>C. civ. art. 494-6, al. 4</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Mandat de protection future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En cas de mandat de protection future sous seing privé, le mandataire doit obtenir l’autorisation préalable du juge des tutelles.</w:t>
            </w:r>
            <w:r>
              <w:rPr>
                <w:color w:val="646464"/>
                <w:sz w:val="21"/>
                <w:szCs w:val="21"/>
              </w:rPr>
              <w:br/>
            </w:r>
            <w:r>
              <w:rPr>
                <w:color w:val="646464"/>
                <w:sz w:val="21"/>
                <w:szCs w:val="21"/>
              </w:rPr>
              <w:t>C. civ. art. 493 </w:t>
            </w:r>
            <w:r>
              <w:rPr>
                <w:color w:val="646464"/>
                <w:sz w:val="21"/>
                <w:szCs w:val="21"/>
              </w:rPr>
              <w:br/>
            </w:r>
            <w:r>
              <w:rPr>
                <w:color w:val="646464"/>
                <w:sz w:val="21"/>
                <w:szCs w:val="21"/>
              </w:rPr>
              <w:t>Décret 22 déc. 2008, annexe 1</w:t>
            </w:r>
            <w:r>
              <w:rPr>
                <w:color w:val="646464"/>
                <w:sz w:val="21"/>
                <w:szCs w:val="21"/>
              </w:rPr>
              <w:br/>
            </w:r>
            <w:r>
              <w:rPr>
                <w:color w:val="646464"/>
                <w:sz w:val="21"/>
                <w:szCs w:val="21"/>
              </w:rPr>
              <w:t> </w:t>
            </w:r>
            <w:r>
              <w:rPr>
                <w:color w:val="646464"/>
                <w:sz w:val="21"/>
                <w:szCs w:val="21"/>
              </w:rPr>
              <w:br/>
            </w:r>
            <w:r>
              <w:rPr>
                <w:color w:val="646464"/>
                <w:sz w:val="21"/>
                <w:szCs w:val="21"/>
              </w:rPr>
              <w:t>En cas de mandat de protection future notarié, le mandataire peut souscrire seul le contrat. </w:t>
            </w:r>
            <w:r>
              <w:rPr>
                <w:color w:val="646464"/>
                <w:sz w:val="21"/>
                <w:szCs w:val="21"/>
              </w:rPr>
              <w:br/>
            </w:r>
            <w:r>
              <w:rPr>
                <w:color w:val="646464"/>
                <w:sz w:val="21"/>
                <w:szCs w:val="21"/>
              </w:rPr>
              <w:t>C. civ. art. 490 </w:t>
            </w:r>
            <w:r>
              <w:rPr>
                <w:color w:val="646464"/>
                <w:sz w:val="21"/>
                <w:szCs w:val="21"/>
              </w:rPr>
              <w:br/>
            </w:r>
            <w:hyperlink r:id="rId10" w:tgtFrame="_blank" w:history="1">
              <w:r>
                <w:rPr>
                  <w:rStyle w:val="a"/>
                  <w:color w:val="4623EB"/>
                  <w:sz w:val="21"/>
                  <w:szCs w:val="21"/>
                </w:rPr>
                <w:t>Décret 22 déc. 2008</w:t>
              </w:r>
            </w:hyperlink>
            <w:r>
              <w:rPr>
                <w:color w:val="646464"/>
                <w:sz w:val="21"/>
                <w:szCs w:val="21"/>
              </w:rPr>
              <w:t>, annexe 1</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Si l’on considère que la désignation constitue un acte de disposition à titre gratuit (position de la doctrine majoritaire) nécessitant l’autorisation du juge des tutelles alors </w:t>
            </w:r>
            <w:r>
              <w:rPr>
                <w:color w:val="646464"/>
                <w:sz w:val="21"/>
                <w:szCs w:val="21"/>
                <w:u w:val="single" w:color="646464"/>
              </w:rPr>
              <w:t>le mandataire semble devoir demander cette autorisation</w:t>
            </w:r>
            <w:r>
              <w:rPr>
                <w:color w:val="646464"/>
                <w:sz w:val="21"/>
                <w:szCs w:val="21"/>
              </w:rPr>
              <w:t>. </w:t>
            </w:r>
            <w:r>
              <w:rPr>
                <w:color w:val="646464"/>
                <w:sz w:val="21"/>
                <w:szCs w:val="21"/>
              </w:rPr>
              <w:br/>
            </w:r>
            <w:r>
              <w:rPr>
                <w:color w:val="646464"/>
                <w:sz w:val="21"/>
                <w:szCs w:val="21"/>
              </w:rPr>
              <w:t>C. civ. art. 490, al. 2</w:t>
            </w:r>
          </w:p>
        </w:tc>
      </w:tr>
    </w:tbl>
    <w:p>
      <w:pPr>
        <w:pStyle w:val="p"/>
        <w:spacing w:before="0" w:after="240" w:line="330" w:lineRule="atLeast"/>
        <w:ind w:left="0" w:right="0"/>
        <w:rPr>
          <w:color w:val="646464"/>
          <w:sz w:val="24"/>
          <w:szCs w:val="24"/>
        </w:rPr>
      </w:pPr>
      <w:r>
        <w:rPr>
          <w:i/>
          <w:iCs/>
          <w:color w:val="646464"/>
          <w:sz w:val="24"/>
          <w:szCs w:val="24"/>
        </w:rPr>
        <w:t>(*)Ces règles s'appliquent pour la souscription du contrat d'assurance-vie mais aussi pour les rachats, les avances, et le versement des primes.</w:t>
      </w:r>
      <w:r>
        <w:rPr>
          <w:i/>
          <w:iCs/>
          <w:color w:val="646464"/>
          <w:sz w:val="24"/>
          <w:szCs w:val="24"/>
        </w:rPr>
        <w:br/>
      </w:r>
      <w:hyperlink r:id="rId11" w:tgtFrame="_blank" w:history="1">
        <w:r>
          <w:rPr>
            <w:i/>
            <w:iCs/>
            <w:color w:val="4623EB"/>
            <w:sz w:val="24"/>
            <w:szCs w:val="24"/>
          </w:rPr>
          <w:t>Loi n°2007-308 du 5 mars 2007</w:t>
        </w:r>
      </w:hyperlink>
      <w:r>
        <w:rPr>
          <w:i/>
          <w:iCs/>
          <w:color w:val="646464"/>
          <w:sz w:val="24"/>
          <w:szCs w:val="24"/>
        </w:rPr>
        <w:t xml:space="preserve"> portant réforme de la protection juridique des majeurs</w:t>
      </w:r>
      <w:r>
        <w:rPr>
          <w:i/>
          <w:iCs/>
          <w:color w:val="646464"/>
          <w:sz w:val="24"/>
          <w:szCs w:val="24"/>
        </w:rPr>
        <w:br/>
      </w:r>
      <w:hyperlink r:id="rId10" w:tgtFrame="_blank" w:history="1">
        <w:r>
          <w:rPr>
            <w:i/>
            <w:iCs/>
            <w:color w:val="4623EB"/>
            <w:sz w:val="24"/>
            <w:szCs w:val="24"/>
          </w:rPr>
          <w:t>Décret 22 déc. 2008</w:t>
        </w:r>
      </w:hyperlink>
      <w:r>
        <w:rPr>
          <w:i/>
          <w:iCs/>
          <w:color w:val="646464"/>
          <w:sz w:val="24"/>
          <w:szCs w:val="24"/>
        </w:rPr>
        <w:t>, n°2008-1484</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p"/>
        <w:spacing w:before="0" w:after="240" w:line="330" w:lineRule="atLeast"/>
        <w:ind w:left="0" w:right="0"/>
        <w:rPr>
          <w:color w:val="646464"/>
          <w:sz w:val="24"/>
          <w:szCs w:val="24"/>
        </w:rPr>
      </w:pPr>
      <w:r>
        <w:rPr>
          <w:color w:val="646464"/>
          <w:sz w:val="24"/>
          <w:szCs w:val="24"/>
        </w:rPr>
        <w:t>C. civ. art. 435</w:t>
      </w:r>
      <w:r>
        <w:rPr>
          <w:color w:val="646464"/>
          <w:sz w:val="24"/>
          <w:szCs w:val="24"/>
        </w:rPr>
        <w:br/>
      </w:r>
      <w:r>
        <w:rPr>
          <w:color w:val="646464"/>
          <w:sz w:val="24"/>
          <w:szCs w:val="24"/>
        </w:rPr>
        <w:t>C. ass. art. L. 132-4-1</w:t>
      </w:r>
      <w:r>
        <w:rPr>
          <w:color w:val="646464"/>
          <w:sz w:val="24"/>
          <w:szCs w:val="24"/>
        </w:rPr>
        <w:br/>
      </w:r>
      <w:r>
        <w:rPr>
          <w:color w:val="646464"/>
          <w:sz w:val="24"/>
          <w:szCs w:val="24"/>
        </w:rPr>
        <w:t>C. civ. art. 467 al. 1</w:t>
      </w:r>
      <w:r>
        <w:rPr>
          <w:color w:val="646464"/>
          <w:sz w:val="24"/>
          <w:szCs w:val="24"/>
        </w:rPr>
        <w:br/>
      </w:r>
      <w:r>
        <w:rPr>
          <w:color w:val="646464"/>
          <w:sz w:val="24"/>
          <w:szCs w:val="24"/>
        </w:rPr>
        <w:t>C. civ. art. 470</w:t>
      </w:r>
      <w:r>
        <w:rPr>
          <w:color w:val="646464"/>
          <w:sz w:val="24"/>
          <w:szCs w:val="24"/>
        </w:rPr>
        <w:br/>
      </w:r>
      <w:r>
        <w:rPr>
          <w:color w:val="646464"/>
          <w:sz w:val="24"/>
          <w:szCs w:val="24"/>
        </w:rPr>
        <w:t>Cass. civ. 2, 8 juin 2017, n° 15-12544</w:t>
      </w:r>
      <w:r>
        <w:rPr>
          <w:color w:val="646464"/>
          <w:sz w:val="24"/>
          <w:szCs w:val="24"/>
        </w:rPr>
        <w:br/>
      </w:r>
      <w:r>
        <w:rPr>
          <w:color w:val="646464"/>
          <w:sz w:val="24"/>
          <w:szCs w:val="24"/>
        </w:rPr>
        <w:t>C. civ. art. 473 et s. </w:t>
      </w:r>
      <w:r>
        <w:rPr>
          <w:color w:val="646464"/>
          <w:sz w:val="24"/>
          <w:szCs w:val="24"/>
        </w:rPr>
        <w:br/>
      </w:r>
      <w:r>
        <w:rPr>
          <w:color w:val="646464"/>
          <w:sz w:val="24"/>
          <w:szCs w:val="24"/>
        </w:rPr>
        <w:t>C. civ. art. 494-6</w:t>
      </w:r>
      <w:r>
        <w:rPr>
          <w:color w:val="646464"/>
          <w:sz w:val="24"/>
          <w:szCs w:val="24"/>
        </w:rPr>
        <w:br/>
      </w:r>
      <w:r>
        <w:rPr>
          <w:color w:val="646464"/>
          <w:sz w:val="24"/>
          <w:szCs w:val="24"/>
        </w:rPr>
        <w:t>C. civ. art. 493</w:t>
      </w:r>
      <w:r>
        <w:rPr>
          <w:color w:val="646464"/>
          <w:sz w:val="24"/>
          <w:szCs w:val="24"/>
        </w:rPr>
        <w:br/>
      </w:r>
      <w:r>
        <w:rPr>
          <w:color w:val="646464"/>
          <w:sz w:val="24"/>
          <w:szCs w:val="24"/>
        </w:rPr>
        <w:t>C. civ. art. 490 </w:t>
      </w:r>
      <w:r>
        <w:rPr>
          <w:color w:val="646464"/>
          <w:sz w:val="24"/>
          <w:szCs w:val="24"/>
        </w:rPr>
        <w:br/>
      </w:r>
      <w:hyperlink r:id="rId11" w:tgtFrame="_blank" w:history="1">
        <w:r>
          <w:rPr>
            <w:rStyle w:val="a"/>
            <w:color w:val="4623EB"/>
            <w:sz w:val="24"/>
            <w:szCs w:val="24"/>
          </w:rPr>
          <w:t>Loi n°2007-308 du 5 mars 2007</w:t>
        </w:r>
      </w:hyperlink>
      <w:hyperlink r:id="rId11" w:tgtFrame="_blank" w:history="1">
        <w:r>
          <w:rPr>
            <w:color w:val="4623EB"/>
            <w:sz w:val="24"/>
            <w:szCs w:val="24"/>
            <w:u w:val="single" w:color="4623EB"/>
          </w:rPr>
          <w:t>portant réforme de la protection juridique des majeurs</w:t>
        </w:r>
      </w:hyperlink>
      <w:r>
        <w:rPr>
          <w:color w:val="4623EB"/>
          <w:sz w:val="24"/>
          <w:szCs w:val="24"/>
          <w:u w:val="single" w:color="4623EB"/>
        </w:rPr>
        <w:br/>
      </w:r>
      <w:hyperlink r:id="rId10" w:tgtFrame="_blank" w:history="1">
        <w:r>
          <w:rPr>
            <w:rStyle w:val="a"/>
            <w:color w:val="4623EB"/>
            <w:sz w:val="24"/>
            <w:szCs w:val="24"/>
          </w:rPr>
          <w:t>Décret 22 déc. 2008</w:t>
        </w:r>
      </w:hyperlink>
      <w:hyperlink r:id="rId10" w:tgtFrame="_blank" w:history="1">
        <w:r>
          <w:rPr>
            <w:color w:val="4623EB"/>
            <w:sz w:val="24"/>
            <w:szCs w:val="24"/>
            <w:u w:val="single" w:color="4623EB"/>
          </w:rPr>
          <w:t>, n°2008-1484</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2"/>
      <w:footerReference w:type="default" r:id="rId13"/>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4</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character" w:customStyle="1" w:styleId="a">
    <w:name w:val="a"/>
    <w:basedOn w:val="DefaultParagraphFont"/>
    <w:rPr>
      <w:color w:val="4623EB"/>
    </w:r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table" w:customStyle="1" w:styleId="figuretabletable">
    <w:name w:val="figure_table_table"/>
    <w:basedOn w:val="TableNormal"/>
    <w:tbl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api/technical-resource/attachment/old/autres/Decret_du_22_decembre_2008.pdf" TargetMode="External" /><Relationship Id="rId11" Type="http://schemas.openxmlformats.org/officeDocument/2006/relationships/hyperlink" Target="https://api.fidroit.fr/api/technical-resource/attachment/old/autres/loi_05_mars_2007_protection_majeurs.pdf" TargetMode="External"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api/technical-resource/attachment/1583/download" TargetMode="External" /><Relationship Id="rId7" Type="http://schemas.openxmlformats.org/officeDocument/2006/relationships/hyperlink" Target="https://www.legifrance.gouv.fr/affichCodeArticle.do?idArticle=LEGIARTI000017798254&amp;cidTexte=LEGITEXT000006073984&amp;dateTexte=20170727&amp;oldAction=rechCodeArticle&amp;fastReqId=732943123&amp;nbResultRech=1" TargetMode="External" /><Relationship Id="rId8" Type="http://schemas.openxmlformats.org/officeDocument/2006/relationships/hyperlink" Target="https://fidnet.fidroit.fr/api/technical-resource/attachment/6879/download" TargetMode="External" /><Relationship Id="rId9" Type="http://schemas.openxmlformats.org/officeDocument/2006/relationships/hyperlink" Target="https://api.fidroit.fr/api/technical-resource/attachment/6878/download"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4</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2023-08-17T12:14:27Z</dcterms:created>
  <dcterms:modified xsi:type="dcterms:W3CDTF">2023-08-17T12:14:27Z</dcterms:modified>
</cp:coreProperties>
</file>