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Faut-il préférer une clause bénéficiaire par testament ou sur la police d’assurance ?</w:t>
      </w:r>
    </w:p>
    <w:p>
      <w:pPr>
        <w:pStyle w:val="updated-at"/>
        <w:spacing w:before="0" w:after="300" w:line="360" w:lineRule="atLeast"/>
        <w:ind w:left="0" w:right="0"/>
        <w:rPr>
          <w:color w:val="646464"/>
          <w:sz w:val="27"/>
          <w:szCs w:val="27"/>
        </w:rPr>
      </w:pPr>
      <w:r>
        <w:rPr>
          <w:color w:val="646464"/>
          <w:sz w:val="27"/>
          <w:szCs w:val="27"/>
        </w:rPr>
        <w:t>Mis à jour le 23 juil. 2021</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color w:val="646464"/>
          <w:sz w:val="24"/>
          <w:szCs w:val="24"/>
        </w:rPr>
        <w:t>Faut-il préférer une clause bénéficiaire par testament ou sur la police d’assurance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240" w:line="330" w:lineRule="atLeast"/>
        <w:ind w:left="0" w:right="0"/>
        <w:rPr>
          <w:color w:val="646464"/>
          <w:sz w:val="24"/>
          <w:szCs w:val="24"/>
        </w:rPr>
      </w:pPr>
      <w:r>
        <w:rPr>
          <w:color w:val="646464"/>
          <w:sz w:val="24"/>
          <w:szCs w:val="24"/>
        </w:rPr>
        <w:t>Les deux formats présentent des avantages et inconvénients qu'il conviendra d'arbitrer selon les objectifs du souscripteur, que nous allons détailler ci-dessous.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Être certain que ses volontés soient lues</w:t>
      </w:r>
    </w:p>
    <w:p>
      <w:pPr>
        <w:pStyle w:val="p"/>
        <w:spacing w:before="0" w:after="180" w:line="330" w:lineRule="atLeast"/>
        <w:ind w:left="0" w:right="0"/>
        <w:rPr>
          <w:color w:val="646464"/>
          <w:sz w:val="24"/>
          <w:szCs w:val="24"/>
        </w:rPr>
      </w:pPr>
      <w:r>
        <w:rPr>
          <w:color w:val="646464"/>
          <w:sz w:val="24"/>
          <w:szCs w:val="24"/>
        </w:rPr>
        <w:t>Le souscripteur a la garantie que l’on retrouve ses écrits dès lors qu’il rédige une clause bénéficiaire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par testament authentique (rédigé chez le notaire),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par testament olographe (rédigé par lui-même) déposé au rang des minutes du notaire,</w:t>
      </w:r>
    </w:p>
    <w:p>
      <w:pPr>
        <w:numPr>
          <w:ilvl w:val="0"/>
          <w:numId w:val="29"/>
        </w:numPr>
        <w:spacing w:after="240" w:line="330" w:lineRule="atLeast"/>
        <w:ind w:left="720" w:right="0" w:hanging="360"/>
        <w:jc w:val="left"/>
        <w:rPr>
          <w:color w:val="646464"/>
          <w:sz w:val="24"/>
          <w:szCs w:val="24"/>
        </w:rPr>
      </w:pPr>
      <w:r>
        <w:rPr>
          <w:color w:val="646464"/>
          <w:sz w:val="24"/>
          <w:szCs w:val="24"/>
        </w:rPr>
        <w:t>sur la police d’assurance.</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 testament rédigé sur une feuille volante conservée chez soi peut ne pas être retrouvé dans la mesure où elle peut :</w:t>
      </w:r>
    </w:p>
    <w:p>
      <w:pPr>
        <w:pStyle w:val="linotnth-last-child1"/>
        <w:numPr>
          <w:ilvl w:val="0"/>
          <w:numId w:val="30"/>
        </w:numPr>
        <w:shd w:val="clear" w:color="auto" w:fill="F5F5F5"/>
        <w:spacing w:before="240" w:after="240" w:line="300" w:lineRule="atLeast"/>
        <w:ind w:left="540" w:right="495" w:hanging="360"/>
        <w:jc w:val="left"/>
        <w:rPr>
          <w:color w:val="646464"/>
          <w:sz w:val="21"/>
          <w:szCs w:val="21"/>
        </w:rPr>
      </w:pPr>
      <w:r>
        <w:rPr>
          <w:color w:val="646464"/>
          <w:sz w:val="21"/>
          <w:szCs w:val="21"/>
        </w:rPr>
        <w:t>soit disparaître, </w:t>
      </w:r>
    </w:p>
    <w:p>
      <w:pPr>
        <w:numPr>
          <w:ilvl w:val="0"/>
          <w:numId w:val="30"/>
        </w:numPr>
        <w:shd w:val="clear" w:color="auto" w:fill="F5F5F5"/>
        <w:spacing w:after="240" w:line="300" w:lineRule="atLeast"/>
        <w:ind w:left="540" w:right="495" w:hanging="360"/>
        <w:jc w:val="left"/>
        <w:rPr>
          <w:color w:val="646464"/>
          <w:sz w:val="21"/>
          <w:szCs w:val="21"/>
        </w:rPr>
      </w:pPr>
      <w:r>
        <w:rPr>
          <w:color w:val="646464"/>
          <w:sz w:val="21"/>
          <w:szCs w:val="21"/>
        </w:rPr>
        <w:t>soit n’être connu de personne au moment du décès de son auteur.</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Il peut en outre, s’il est retrouvé, ne pas répondre aux conditions légales nécessaires à sa validité et donc à son applicabilité.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Être certain de la bonne application de ses volontés</w:t>
      </w:r>
    </w:p>
    <w:p>
      <w:pPr>
        <w:pStyle w:val="p"/>
        <w:spacing w:before="0" w:after="240" w:line="330" w:lineRule="atLeast"/>
        <w:ind w:left="0" w:right="0"/>
        <w:rPr>
          <w:color w:val="646464"/>
          <w:sz w:val="24"/>
          <w:szCs w:val="24"/>
        </w:rPr>
      </w:pPr>
      <w:r>
        <w:rPr>
          <w:color w:val="646464"/>
          <w:sz w:val="24"/>
          <w:szCs w:val="24"/>
        </w:rPr>
        <w:t>Avoir la certitude que la clause bénéficiaire soit applicable nécessite que :</w:t>
      </w:r>
    </w:p>
    <w:p>
      <w:pPr>
        <w:pStyle w:val="Heading4"/>
        <w:pageBreakBefore w:val="0"/>
        <w:spacing w:before="0" w:after="240" w:line="270" w:lineRule="atLeast"/>
        <w:ind w:left="0" w:right="0"/>
        <w:rPr>
          <w:b/>
          <w:bCs/>
          <w:color w:val="202020"/>
          <w:sz w:val="22"/>
          <w:szCs w:val="21"/>
        </w:rPr>
      </w:pPr>
      <w:r>
        <w:rPr>
          <w:b/>
          <w:bCs/>
          <w:color w:val="202020"/>
          <w:sz w:val="21"/>
          <w:szCs w:val="21"/>
        </w:rPr>
        <w:t>2.2.1.</w:t>
      </w:r>
      <w:r>
        <w:rPr>
          <w:b/>
          <w:bCs/>
          <w:color w:val="202020"/>
          <w:sz w:val="21"/>
          <w:szCs w:val="21"/>
        </w:rPr>
        <w:t xml:space="preserve"> Les bénéficiaires soient clairement identifiables</w:t>
      </w:r>
    </w:p>
    <w:p>
      <w:pPr>
        <w:pStyle w:val="p"/>
        <w:spacing w:before="0" w:after="180" w:line="330" w:lineRule="atLeast"/>
        <w:ind w:left="0" w:right="0"/>
        <w:rPr>
          <w:color w:val="646464"/>
          <w:sz w:val="24"/>
          <w:szCs w:val="24"/>
        </w:rPr>
      </w:pPr>
      <w:r>
        <w:rPr>
          <w:color w:val="646464"/>
          <w:sz w:val="24"/>
          <w:szCs w:val="24"/>
        </w:rPr>
        <w:t>Lorsque la clause bénéficiaire classique sur la police d’assurance désigne « mes héritiers », et que le souscripteur a d’une part rédigé un testament désignant un légataire universel, et d’autre part des héritiers réservataires (ses enfants) : des contentieux peuvent naître. </w:t>
      </w:r>
    </w:p>
    <w:p>
      <w:pPr>
        <w:pStyle w:val="p"/>
        <w:spacing w:before="0" w:after="180" w:line="330" w:lineRule="atLeast"/>
        <w:ind w:left="0" w:right="0"/>
        <w:rPr>
          <w:color w:val="646464"/>
          <w:sz w:val="24"/>
          <w:szCs w:val="24"/>
        </w:rPr>
      </w:pPr>
      <w:r>
        <w:rPr>
          <w:color w:val="646464"/>
          <w:sz w:val="24"/>
          <w:szCs w:val="24"/>
        </w:rPr>
        <w:t>En effet, dans ce cas, le souscripteur a des héritiers testamentaires et des héritiers légaux (les réservataires) : la volonté du souscripteur sera alors laissée à l’appréciation des juges.</w:t>
      </w:r>
    </w:p>
    <w:p>
      <w:pPr>
        <w:pStyle w:val="p"/>
        <w:spacing w:before="0" w:after="180" w:line="330" w:lineRule="atLeast"/>
        <w:ind w:left="0" w:right="0"/>
        <w:rPr>
          <w:color w:val="646464"/>
          <w:sz w:val="24"/>
          <w:szCs w:val="24"/>
        </w:rPr>
      </w:pPr>
      <w:hyperlink r:id="rId6" w:tgtFrame="_blank" w:history="1">
        <w:r>
          <w:rPr>
            <w:rStyle w:val="a"/>
            <w:color w:val="4623EB"/>
            <w:sz w:val="24"/>
            <w:szCs w:val="24"/>
          </w:rPr>
          <w:t>Cass. civ. 1, 4 avril 1978, n° 76-12085</w:t>
        </w:r>
      </w:hyperlink>
    </w:p>
    <w:p>
      <w:pPr>
        <w:pStyle w:val="p"/>
        <w:spacing w:before="0" w:after="180" w:line="330" w:lineRule="atLeast"/>
        <w:ind w:left="0" w:right="0"/>
        <w:rPr>
          <w:color w:val="646464"/>
          <w:sz w:val="24"/>
          <w:szCs w:val="24"/>
        </w:rPr>
      </w:pPr>
      <w:hyperlink r:id="rId7" w:tgtFrame="_blank" w:history="1">
        <w:r>
          <w:rPr>
            <w:rStyle w:val="a"/>
            <w:color w:val="4623EB"/>
            <w:sz w:val="24"/>
            <w:szCs w:val="24"/>
          </w:rPr>
          <w:t>Cass. civ. 2, 12 mai 2010, n° 09-11256</w:t>
        </w:r>
      </w:hyperlink>
    </w:p>
    <w:p>
      <w:pPr>
        <w:pStyle w:val="p"/>
        <w:spacing w:before="0" w:after="180" w:line="330" w:lineRule="atLeast"/>
        <w:ind w:left="0" w:right="0"/>
        <w:rPr>
          <w:color w:val="646464"/>
          <w:sz w:val="24"/>
          <w:szCs w:val="24"/>
        </w:rPr>
      </w:pPr>
      <w:hyperlink r:id="rId8" w:tgtFrame="_blank" w:history="1">
        <w:r>
          <w:rPr>
            <w:rStyle w:val="a"/>
            <w:color w:val="4623EB"/>
            <w:sz w:val="24"/>
            <w:szCs w:val="24"/>
          </w:rPr>
          <w:t>Cass. civ. 1, 10 fév. 2016, n° 14-27057 et 14-28272</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éviter toute ambigüité, il peut être utile, dans la police d’assurance, d’utiliser les termes « mes héritiers légaux » ou « mes ayants-droits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Sinon, désigner nominativement les bénéficiaires dans un testament peut permettre à l’assureur d’avoir une vision claire des souhaits du souscripteur.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seul testament peut désigner les bénéficiaires de plusieurs contrats d’assurance-vie.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rapport à la clause sur la police d’assurance, ce peut être simplificateur pour toutes les parties au contrat.</w:t>
      </w:r>
    </w:p>
    <w:p>
      <w:pPr>
        <w:pStyle w:val="Heading4"/>
        <w:pageBreakBefore w:val="0"/>
        <w:spacing w:before="0" w:after="240" w:line="270" w:lineRule="atLeast"/>
        <w:ind w:left="0" w:right="0"/>
        <w:rPr>
          <w:b/>
          <w:bCs/>
          <w:color w:val="202020"/>
          <w:sz w:val="22"/>
          <w:szCs w:val="21"/>
        </w:rPr>
      </w:pPr>
      <w:r>
        <w:rPr>
          <w:b/>
          <w:bCs/>
          <w:color w:val="202020"/>
          <w:sz w:val="21"/>
          <w:szCs w:val="21"/>
        </w:rPr>
        <w:t>2.2.2.</w:t>
      </w:r>
      <w:r>
        <w:rPr>
          <w:b/>
          <w:bCs/>
          <w:color w:val="202020"/>
          <w:sz w:val="21"/>
          <w:szCs w:val="21"/>
        </w:rPr>
        <w:t xml:space="preserve"> Les dernières volontés en date du souscripteur soient identifiables</w:t>
      </w:r>
    </w:p>
    <w:p>
      <w:pPr>
        <w:pStyle w:val="p"/>
        <w:spacing w:before="0" w:after="180" w:line="330" w:lineRule="atLeast"/>
        <w:ind w:left="0" w:right="0"/>
        <w:rPr>
          <w:color w:val="646464"/>
          <w:sz w:val="24"/>
          <w:szCs w:val="24"/>
        </w:rPr>
      </w:pPr>
      <w:r>
        <w:rPr>
          <w:color w:val="646464"/>
          <w:sz w:val="24"/>
          <w:szCs w:val="24"/>
        </w:rPr>
        <w:t xml:space="preserve">Lorsque, dans la police d’assurance, on peut lire « </w:t>
      </w:r>
      <w:r>
        <w:rPr>
          <w:i/>
          <w:iCs/>
          <w:color w:val="646464"/>
          <w:sz w:val="24"/>
          <w:szCs w:val="24"/>
        </w:rPr>
        <w:t>les bénéficiaires sont désignés dans un testament</w:t>
      </w:r>
      <w:r>
        <w:rPr>
          <w:color w:val="646464"/>
          <w:sz w:val="24"/>
          <w:szCs w:val="24"/>
        </w:rPr>
        <w:t xml:space="preserve"> », et que le souscripteur a rédigé plusieurs testaments. Le risque est de ne pas savoir quel est le dernier en date. </w:t>
      </w:r>
    </w:p>
    <w:p>
      <w:pPr>
        <w:pStyle w:val="p"/>
        <w:spacing w:before="0" w:after="180" w:line="330" w:lineRule="atLeast"/>
        <w:ind w:left="0" w:right="0"/>
        <w:rPr>
          <w:color w:val="646464"/>
          <w:sz w:val="24"/>
          <w:szCs w:val="24"/>
        </w:rPr>
      </w:pPr>
      <w:r>
        <w:rPr>
          <w:color w:val="646464"/>
          <w:sz w:val="24"/>
          <w:szCs w:val="24"/>
        </w:rPr>
        <w:t>Ces propos sont d’autant plus vrais lorsque les testaments ne sont pas soit rédigés chez un notaire, soit enregistrés au rang de ses minutes.</w:t>
      </w:r>
    </w:p>
    <w:p>
      <w:pPr>
        <w:pStyle w:val="p"/>
        <w:spacing w:before="0" w:after="240" w:line="330" w:lineRule="atLeast"/>
        <w:ind w:left="0" w:right="0"/>
        <w:rPr>
          <w:color w:val="646464"/>
          <w:sz w:val="24"/>
          <w:szCs w:val="24"/>
        </w:rPr>
      </w:pPr>
      <w:r>
        <w:rPr>
          <w:color w:val="646464"/>
          <w:sz w:val="24"/>
          <w:szCs w:val="24"/>
        </w:rPr>
        <w:t>Le fait de modifier la clause bénéficiaire directement dans la police d’assurance permet d’avoir la certitude que les dernières volontés du souscripteur soient prises en compte.</w:t>
      </w:r>
    </w:p>
    <w:p>
      <w:pPr>
        <w:pStyle w:val="Heading4"/>
        <w:pageBreakBefore w:val="0"/>
        <w:spacing w:before="0" w:after="240" w:line="270" w:lineRule="atLeast"/>
        <w:ind w:left="0" w:right="0"/>
        <w:rPr>
          <w:b/>
          <w:bCs/>
          <w:color w:val="202020"/>
          <w:sz w:val="22"/>
          <w:szCs w:val="21"/>
        </w:rPr>
      </w:pPr>
      <w:r>
        <w:rPr>
          <w:b/>
          <w:bCs/>
          <w:color w:val="202020"/>
          <w:sz w:val="21"/>
          <w:szCs w:val="21"/>
        </w:rPr>
        <w:t>2.2.3.</w:t>
      </w:r>
      <w:r>
        <w:rPr>
          <w:b/>
          <w:bCs/>
          <w:color w:val="202020"/>
          <w:sz w:val="21"/>
          <w:szCs w:val="21"/>
        </w:rPr>
        <w:t xml:space="preserve"> L’application des volontés soit concrètement possible</w:t>
      </w:r>
    </w:p>
    <w:p>
      <w:pPr>
        <w:pStyle w:val="p"/>
        <w:spacing w:before="0" w:after="180" w:line="330" w:lineRule="atLeast"/>
        <w:ind w:left="0" w:right="0"/>
        <w:rPr>
          <w:color w:val="646464"/>
          <w:sz w:val="24"/>
          <w:szCs w:val="24"/>
        </w:rPr>
      </w:pPr>
      <w:r>
        <w:rPr>
          <w:color w:val="646464"/>
          <w:sz w:val="24"/>
          <w:szCs w:val="24"/>
        </w:rPr>
        <w:t>La clause bénéficiaire peut être rédigée de manière plus ou moins créative par les notaires, les conseillers en gestion de patrimoine, ou par les souscripteurs eux-mêmes. </w:t>
      </w:r>
    </w:p>
    <w:p>
      <w:pPr>
        <w:pStyle w:val="p"/>
        <w:spacing w:before="0" w:after="180" w:line="330" w:lineRule="atLeast"/>
        <w:ind w:left="0" w:right="0"/>
        <w:rPr>
          <w:color w:val="646464"/>
          <w:sz w:val="24"/>
          <w:szCs w:val="24"/>
        </w:rPr>
      </w:pPr>
      <w:r>
        <w:rPr>
          <w:color w:val="646464"/>
          <w:sz w:val="24"/>
          <w:szCs w:val="24"/>
        </w:rPr>
        <w:t>En général, la créativité porte sur les conditions à remplir par les bénéficiaires pour que les capitaux-décès leur soient versés : on parle alors de clause bénéficiaire avec charges. </w:t>
      </w:r>
    </w:p>
    <w:p>
      <w:pPr>
        <w:pStyle w:val="p"/>
        <w:spacing w:before="0" w:after="180" w:line="330" w:lineRule="atLeast"/>
        <w:ind w:left="0" w:right="0"/>
        <w:rPr>
          <w:color w:val="646464"/>
          <w:sz w:val="24"/>
          <w:szCs w:val="24"/>
        </w:rPr>
      </w:pPr>
      <w:r>
        <w:rPr>
          <w:color w:val="646464"/>
          <w:sz w:val="24"/>
          <w:szCs w:val="24"/>
        </w:rPr>
        <w:t xml:space="preserve">Pour plus de précisions sur ce type de clauses, voir notre Doc expert : </w:t>
      </w:r>
      <w:hyperlink r:id="rId9" w:tgtFrame="_blank" w:history="1">
        <w:r>
          <w:rPr>
            <w:rStyle w:val="a"/>
            <w:color w:val="4623EB"/>
            <w:sz w:val="24"/>
            <w:szCs w:val="24"/>
          </w:rPr>
          <w:t>Assurance-vie : Clause bénéficiaire</w:t>
        </w:r>
      </w:hyperlink>
      <w:r>
        <w:rPr>
          <w:color w:val="646464"/>
          <w:sz w:val="24"/>
          <w:szCs w:val="24"/>
        </w:rPr>
        <w:t>.</w:t>
      </w:r>
    </w:p>
    <w:p>
      <w:pPr>
        <w:pStyle w:val="p"/>
        <w:spacing w:before="0" w:after="180" w:line="330" w:lineRule="atLeast"/>
        <w:ind w:left="0" w:right="0"/>
        <w:rPr>
          <w:color w:val="646464"/>
          <w:sz w:val="24"/>
          <w:szCs w:val="24"/>
        </w:rPr>
      </w:pPr>
      <w:r>
        <w:rPr>
          <w:color w:val="646464"/>
          <w:sz w:val="24"/>
          <w:szCs w:val="24"/>
        </w:rPr>
        <w:t>Les compagnies d’assurance ne sont pas toutes en capacité de mettre en œuvre certaines conditions. </w:t>
      </w:r>
    </w:p>
    <w:p>
      <w:pPr>
        <w:pStyle w:val="p"/>
        <w:spacing w:before="0" w:after="180" w:line="330" w:lineRule="atLeast"/>
        <w:ind w:left="0" w:right="0"/>
        <w:rPr>
          <w:color w:val="646464"/>
          <w:sz w:val="24"/>
          <w:szCs w:val="24"/>
        </w:rPr>
      </w:pPr>
      <w:r>
        <w:rPr>
          <w:color w:val="646464"/>
          <w:sz w:val="24"/>
          <w:szCs w:val="24"/>
        </w:rPr>
        <w:t>Et, lorsque les conditions ne sont pas appliquées, les héritiers du souscripteur peuvent agir en révocation de la clause pour inexécution des charges (s’ils sont informés du contenu de la clause). </w:t>
      </w:r>
    </w:p>
    <w:p>
      <w:pPr>
        <w:pStyle w:val="p"/>
        <w:spacing w:before="0" w:after="180" w:line="330" w:lineRule="atLeast"/>
        <w:ind w:left="0" w:right="0"/>
        <w:rPr>
          <w:color w:val="646464"/>
          <w:sz w:val="24"/>
          <w:szCs w:val="24"/>
        </w:rPr>
      </w:pPr>
      <w:r>
        <w:rPr>
          <w:color w:val="646464"/>
          <w:sz w:val="24"/>
          <w:szCs w:val="24"/>
        </w:rPr>
        <w:t>En outre, si le juge accepte leur demande, les capitaux décès seront réintégrés au patrimoine du défunt, et délivrés à ses héritiers (qui peuvent ne pas être les bénéficiaires qu’il a désignés).</w:t>
      </w:r>
    </w:p>
    <w:p>
      <w:pPr>
        <w:pStyle w:val="p"/>
        <w:spacing w:before="0" w:after="180" w:line="330" w:lineRule="atLeast"/>
        <w:ind w:left="0" w:right="0"/>
        <w:rPr>
          <w:color w:val="646464"/>
          <w:sz w:val="24"/>
          <w:szCs w:val="24"/>
        </w:rPr>
      </w:pPr>
      <w:r>
        <w:rPr>
          <w:color w:val="646464"/>
          <w:sz w:val="24"/>
          <w:szCs w:val="24"/>
        </w:rPr>
        <w:t> Ainsi, rédiger une clause bénéficiaire sur la police d’assurance permet au souscripteur de s’assurer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que les  conditions qu’il souhaite voir appliquées le soient effectivement,</w:t>
      </w:r>
    </w:p>
    <w:p>
      <w:pPr>
        <w:numPr>
          <w:ilvl w:val="0"/>
          <w:numId w:val="31"/>
        </w:numPr>
        <w:spacing w:after="240" w:line="330" w:lineRule="atLeast"/>
        <w:ind w:left="720" w:right="0" w:hanging="360"/>
        <w:jc w:val="left"/>
        <w:rPr>
          <w:color w:val="646464"/>
          <w:sz w:val="24"/>
          <w:szCs w:val="24"/>
        </w:rPr>
      </w:pPr>
      <w:r>
        <w:rPr>
          <w:color w:val="646464"/>
          <w:sz w:val="24"/>
          <w:szCs w:val="24"/>
        </w:rPr>
        <w:t>et que les bénéficiaires du contrat soient bien ceux qu’il a désignés.</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0"/>
      <w:footerReference w:type="default" r:id="rId1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2922/download" TargetMode="External" /><Relationship Id="rId7" Type="http://schemas.openxmlformats.org/officeDocument/2006/relationships/hyperlink" Target="https://api.fidroit.fr/api/technical-resource/attachment/old/jurisprudence/cassciv212mai2010.pdf" TargetMode="External" /><Relationship Id="rId8" Type="http://schemas.openxmlformats.org/officeDocument/2006/relationships/hyperlink" Target="https://api.fidroit.fr/api/technical-resource/attachment/old/jurisprudence/Cass-Civ-1-10-fev-2016-n-14-27057.pdf" TargetMode="External" /><Relationship Id="rId9" Type="http://schemas.openxmlformats.org/officeDocument/2006/relationships/hyperlink" Target="https://api.fidroit.fr/document/38016"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2023-08-17T12:20:01Z</dcterms:created>
  <dcterms:modified xsi:type="dcterms:W3CDTF">2023-08-17T12:20:01Z</dcterms:modified>
</cp:coreProperties>
</file>