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r>
        <w:rPr>
          <w:color w:val="646464"/>
          <w:sz w:val="24"/>
          <w:szCs w:val="24"/>
        </w:rPr>
        <w:drawing>
          <wp:inline>
            <wp:extent cx="3377424" cy="15240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stretch>
                      <a:fillRect/>
                    </a:stretch>
                  </pic:blipFill>
                  <pic:spPr>
                    <a:xfrm>
                      <a:off x="0" y="0"/>
                      <a:ext cx="3377424" cy="1524000"/>
                    </a:xfrm>
                    <a:prstGeom prst="rect">
                      <a:avLst/>
                    </a:prstGeom>
                  </pic:spPr>
                </pic:pic>
              </a:graphicData>
            </a:graphic>
          </wp:inline>
        </w:drawing>
      </w:r>
      <w:r>
        <w:rPr>
          <w:color w:val="646464"/>
          <w:sz w:val="24"/>
          <w:szCs w:val="24"/>
        </w:rPr>
        <w:t xml:space="preserve"> </w:t>
      </w:r>
    </w:p>
    <w:p>
      <w:pPr>
        <w:pStyle w:val="h2title"/>
        <w:pageBreakBefore w:val="0"/>
        <w:spacing w:before="240" w:after="240" w:line="570" w:lineRule="atLeast"/>
        <w:ind w:left="0" w:right="0"/>
        <w:jc w:val="center"/>
        <w:outlineLvl w:val="1"/>
        <w:rPr>
          <w:b/>
          <w:bCs/>
          <w:caps w:val="0"/>
          <w:color w:val="202020"/>
          <w:sz w:val="48"/>
          <w:szCs w:val="48"/>
        </w:rPr>
      </w:pPr>
      <w:r>
        <w:rPr>
          <w:b/>
          <w:bCs/>
          <w:caps w:val="0"/>
          <w:color w:val="202020"/>
          <w:sz w:val="48"/>
          <w:szCs w:val="48"/>
        </w:rPr>
        <w:t>Assurance-vie pour protéger ses proches</w:t>
      </w:r>
    </w:p>
    <w:p>
      <w:pPr>
        <w:pStyle w:val="updated-at"/>
        <w:spacing w:before="0" w:after="300" w:line="360" w:lineRule="atLeast"/>
        <w:ind w:left="0" w:right="0"/>
        <w:rPr>
          <w:color w:val="646464"/>
          <w:sz w:val="27"/>
          <w:szCs w:val="27"/>
        </w:rPr>
      </w:pPr>
      <w:r>
        <w:rPr>
          <w:color w:val="646464"/>
          <w:sz w:val="27"/>
          <w:szCs w:val="27"/>
        </w:rPr>
        <w:t>Mis à jour le 2 janv. 2023</w:t>
      </w:r>
    </w:p>
    <w:tbl>
      <w:tblPr>
        <w:tblStyle w:val="figuretabletable"/>
        <w:tblW w:w="5000" w:type="pct"/>
        <w:tblInd w:w="16" w:type="dxa"/>
        <w:shd w:val="clear" w:color="auto" w:fill="FFFFFF"/>
        <w:tblCellMar>
          <w:top w:w="0" w:type="dxa"/>
          <w:left w:w="0" w:type="dxa"/>
          <w:bottom w:w="0" w:type="dxa"/>
          <w:right w:w="0" w:type="dxa"/>
        </w:tblCellMar>
        <w:tblLook w:val="05E0"/>
      </w:tblPr>
      <w:tblGrid>
        <w:gridCol w:w="5436"/>
        <w:gridCol w:w="5435"/>
      </w:tblGrid>
      <w:tr>
        <w:tblPrEx>
          <w:tblW w:w="5000" w:type="pct"/>
          <w:tblInd w:w="16" w:type="dxa"/>
          <w:shd w:val="clear" w:color="auto" w:fill="FFFFFF"/>
          <w:tblCellMar>
            <w:top w:w="0" w:type="dxa"/>
            <w:left w:w="0" w:type="dxa"/>
            <w:bottom w:w="0" w:type="dxa"/>
            <w:right w:w="0" w:type="dxa"/>
          </w:tblCellMar>
          <w:tblLook w:val="05E0"/>
        </w:tblPrEx>
        <w:trPr>
          <w:tblHeader/>
        </w:trPr>
        <w:tc>
          <w:tcPr>
            <w:tcW w:w="2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Objectif</w:t>
            </w:r>
          </w:p>
        </w:tc>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Réponses apportées</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p"/>
              <w:spacing w:before="0" w:after="180" w:line="300" w:lineRule="atLeast"/>
              <w:ind w:left="0" w:right="0"/>
              <w:rPr>
                <w:color w:val="646464"/>
                <w:sz w:val="21"/>
                <w:szCs w:val="21"/>
              </w:rPr>
            </w:pPr>
            <w:r>
              <w:rPr>
                <w:color w:val="646464"/>
                <w:sz w:val="21"/>
                <w:szCs w:val="21"/>
                <w:u w:val="single" w:color="646464"/>
              </w:rPr>
              <w:t>Protéger ses proches</w:t>
            </w:r>
            <w:r>
              <w:rPr>
                <w:color w:val="646464"/>
                <w:sz w:val="21"/>
                <w:szCs w:val="21"/>
              </w:rPr>
              <w:t xml:space="preserve"> :</w:t>
            </w:r>
          </w:p>
          <w:p>
            <w:pPr>
              <w:pStyle w:val="linotnth-last-child1"/>
              <w:numPr>
                <w:ilvl w:val="0"/>
                <w:numId w:val="29"/>
              </w:numPr>
              <w:spacing w:before="240" w:after="240" w:line="300" w:lineRule="atLeast"/>
              <w:ind w:left="720" w:right="0" w:hanging="360"/>
              <w:jc w:val="left"/>
              <w:rPr>
                <w:color w:val="646464"/>
                <w:sz w:val="21"/>
                <w:szCs w:val="21"/>
              </w:rPr>
            </w:pPr>
            <w:r>
              <w:rPr>
                <w:color w:val="646464"/>
                <w:sz w:val="21"/>
                <w:szCs w:val="21"/>
              </w:rPr>
              <w:t>Pallier les conséquences financières qu’un décès pourrait occasionner,</w:t>
            </w:r>
          </w:p>
          <w:p>
            <w:pPr>
              <w:pStyle w:val="linotnth-last-child1"/>
              <w:numPr>
                <w:ilvl w:val="0"/>
                <w:numId w:val="29"/>
              </w:numPr>
              <w:spacing w:after="240" w:line="300" w:lineRule="atLeast"/>
              <w:ind w:left="720" w:right="0" w:hanging="360"/>
              <w:jc w:val="left"/>
              <w:rPr>
                <w:color w:val="646464"/>
                <w:sz w:val="21"/>
                <w:szCs w:val="21"/>
              </w:rPr>
            </w:pPr>
            <w:r>
              <w:rPr>
                <w:color w:val="646464"/>
                <w:sz w:val="21"/>
                <w:szCs w:val="21"/>
              </w:rPr>
              <w:t>Améliorer les droits du conjoint survivant et maintenir son niveau de vie,</w:t>
            </w:r>
          </w:p>
          <w:p>
            <w:pPr>
              <w:pStyle w:val="linotnth-last-child1"/>
              <w:numPr>
                <w:ilvl w:val="0"/>
                <w:numId w:val="29"/>
              </w:numPr>
              <w:spacing w:after="240" w:line="300" w:lineRule="atLeast"/>
              <w:ind w:left="720" w:right="0" w:hanging="360"/>
              <w:jc w:val="left"/>
              <w:rPr>
                <w:color w:val="646464"/>
                <w:sz w:val="21"/>
                <w:szCs w:val="21"/>
              </w:rPr>
            </w:pPr>
            <w:r>
              <w:rPr>
                <w:color w:val="646464"/>
                <w:sz w:val="21"/>
                <w:szCs w:val="21"/>
              </w:rPr>
              <w:t>Favoriser son partenaire pacsé, son concubin ou toute autre personne non héritière,</w:t>
            </w:r>
          </w:p>
          <w:p>
            <w:pPr>
              <w:numPr>
                <w:ilvl w:val="0"/>
                <w:numId w:val="29"/>
              </w:numPr>
              <w:spacing w:after="240" w:line="300" w:lineRule="atLeast"/>
              <w:ind w:left="720" w:right="0" w:hanging="360"/>
              <w:jc w:val="left"/>
              <w:rPr>
                <w:color w:val="646464"/>
                <w:sz w:val="21"/>
                <w:szCs w:val="21"/>
              </w:rPr>
            </w:pPr>
            <w:r>
              <w:rPr>
                <w:color w:val="646464"/>
                <w:sz w:val="21"/>
                <w:szCs w:val="21"/>
              </w:rPr>
              <w:t>Assurer l’avenir et la sécurité financière  de ses enfants ou d’une personne vulnérable.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p"/>
              <w:spacing w:before="0" w:after="180" w:line="300" w:lineRule="atLeast"/>
              <w:ind w:left="0" w:right="0"/>
              <w:rPr>
                <w:color w:val="646464"/>
                <w:sz w:val="21"/>
                <w:szCs w:val="21"/>
              </w:rPr>
            </w:pPr>
            <w:r>
              <w:rPr>
                <w:color w:val="646464"/>
                <w:sz w:val="21"/>
                <w:szCs w:val="21"/>
                <w:u w:val="single" w:color="646464"/>
              </w:rPr>
              <w:t>L'assurance-vie permet</w:t>
            </w:r>
            <w:r>
              <w:rPr>
                <w:color w:val="646464"/>
                <w:sz w:val="21"/>
                <w:szCs w:val="21"/>
              </w:rPr>
              <w:t xml:space="preserve"> :</w:t>
            </w:r>
          </w:p>
          <w:p>
            <w:pPr>
              <w:pStyle w:val="linotnth-last-child1"/>
              <w:numPr>
                <w:ilvl w:val="0"/>
                <w:numId w:val="30"/>
              </w:numPr>
              <w:spacing w:before="240" w:after="240" w:line="300" w:lineRule="atLeast"/>
              <w:ind w:left="720" w:right="0" w:hanging="360"/>
              <w:jc w:val="left"/>
              <w:rPr>
                <w:color w:val="646464"/>
                <w:sz w:val="21"/>
                <w:szCs w:val="21"/>
              </w:rPr>
            </w:pPr>
            <w:r>
              <w:rPr>
                <w:color w:val="646464"/>
                <w:sz w:val="21"/>
                <w:szCs w:val="21"/>
              </w:rPr>
              <w:t>La transmission d’un capital ou d’une rente au bénéficiaire de son choix, en dehors de la succession,</w:t>
            </w:r>
          </w:p>
          <w:p>
            <w:pPr>
              <w:numPr>
                <w:ilvl w:val="0"/>
                <w:numId w:val="30"/>
              </w:numPr>
              <w:spacing w:after="240" w:line="300" w:lineRule="atLeast"/>
              <w:ind w:left="720" w:right="0" w:hanging="360"/>
              <w:jc w:val="left"/>
              <w:rPr>
                <w:color w:val="646464"/>
                <w:sz w:val="21"/>
                <w:szCs w:val="21"/>
              </w:rPr>
            </w:pPr>
            <w:r>
              <w:rPr>
                <w:color w:val="646464"/>
                <w:sz w:val="21"/>
                <w:szCs w:val="21"/>
              </w:rPr>
              <w:t>Le bénéfice d’une fiscalité au décès avantageuse, voire nulle si la transmission a lieu au profit du conjoint ou du partenaire pacsé.</w:t>
            </w:r>
          </w:p>
        </w:tc>
      </w:tr>
    </w:tbl>
    <w:p>
      <w:pPr>
        <w:pStyle w:val="p"/>
        <w:spacing w:before="0" w:after="180" w:line="360" w:lineRule="atLeast"/>
        <w:ind w:left="0" w:right="0"/>
        <w:rPr>
          <w:color w:val="646464"/>
          <w:sz w:val="27"/>
          <w:szCs w:val="27"/>
        </w:rPr>
      </w:pPr>
      <w:r>
        <w:rPr>
          <w:color w:val="646464"/>
          <w:sz w:val="27"/>
          <w:szCs w:val="27"/>
        </w:rPr>
        <w:t xml:space="preserve">L’assurance-vie est un instrument privilégié pour </w:t>
      </w:r>
      <w:r>
        <w:rPr>
          <w:color w:val="646464"/>
          <w:sz w:val="27"/>
          <w:szCs w:val="27"/>
          <w:u w:val="single" w:color="646464"/>
        </w:rPr>
        <w:t>protéger ses proches et pallier les conséquences financières pouvant être occasionnées par un décès</w:t>
      </w:r>
      <w:r>
        <w:rPr>
          <w:color w:val="646464"/>
          <w:sz w:val="27"/>
          <w:szCs w:val="27"/>
        </w:rPr>
        <w:t>, en permettant la transmission d’un capital ou d’une rente à la personne de son choix en dehors de la succession.</w:t>
      </w:r>
    </w:p>
    <w:p>
      <w:pPr>
        <w:pStyle w:val="p"/>
        <w:spacing w:before="0" w:after="180" w:line="360" w:lineRule="atLeast"/>
        <w:ind w:left="0" w:right="0"/>
        <w:rPr>
          <w:color w:val="646464"/>
          <w:sz w:val="27"/>
          <w:szCs w:val="27"/>
        </w:rPr>
      </w:pPr>
      <w:r>
        <w:rPr>
          <w:color w:val="646464"/>
          <w:sz w:val="27"/>
          <w:szCs w:val="27"/>
        </w:rPr>
        <w:t>Les sommes ainsi transmises bénéficient d’</w:t>
      </w:r>
      <w:r>
        <w:rPr>
          <w:color w:val="646464"/>
          <w:sz w:val="27"/>
          <w:szCs w:val="27"/>
          <w:u w:val="single" w:color="646464"/>
        </w:rPr>
        <w:t>un cadre fiscal privilégié</w:t>
      </w:r>
      <w:r>
        <w:rPr>
          <w:color w:val="646464"/>
          <w:sz w:val="27"/>
          <w:szCs w:val="27"/>
        </w:rPr>
        <w:t>, même si la transmission a lieu au profit de personnes qui ne sont pas héritières.</w:t>
      </w:r>
    </w:p>
    <w:p>
      <w:pPr>
        <w:pStyle w:val="p"/>
        <w:spacing w:before="0" w:after="180" w:line="360" w:lineRule="atLeast"/>
        <w:ind w:left="0" w:right="0"/>
        <w:rPr>
          <w:color w:val="646464"/>
          <w:sz w:val="27"/>
          <w:szCs w:val="27"/>
        </w:rPr>
      </w:pPr>
      <w:r>
        <w:rPr>
          <w:color w:val="646464"/>
          <w:sz w:val="27"/>
          <w:szCs w:val="27"/>
        </w:rPr>
        <w:t>S’agissant des capitaux transmis au conjoint ou au partenaire de PACS (ainsi qu’aux frères et sœurs sous certaines conditions liées à l’âge et à l’invalidité) ceux-ci ne supportent aucune taxation, quel que soit le montant versé ou l’âge du souscripteur lors du versement des primes.</w:t>
      </w:r>
    </w:p>
    <w:p>
      <w:pPr>
        <w:pStyle w:val="p"/>
        <w:spacing w:before="0" w:after="480" w:line="360" w:lineRule="atLeast"/>
        <w:ind w:left="0" w:right="0"/>
        <w:rPr>
          <w:color w:val="646464"/>
          <w:sz w:val="27"/>
          <w:szCs w:val="27"/>
        </w:rPr>
      </w:pPr>
      <w:r>
        <w:rPr>
          <w:color w:val="646464"/>
          <w:sz w:val="27"/>
          <w:szCs w:val="27"/>
          <w:u w:val="single" w:color="646464"/>
        </w:rPr>
        <w:t>D’une grande souplesse et dotée d’un formalisme très simple</w:t>
      </w:r>
      <w:r>
        <w:rPr>
          <w:color w:val="646464"/>
          <w:sz w:val="27"/>
          <w:szCs w:val="27"/>
        </w:rPr>
        <w:t>, le souscripteur garde la maîtrise de ses capitaux et a la possibilité de faire évoluer la clause bénéficiaire en fonction de sa situation.</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1.</w:t>
      </w:r>
      <w:r>
        <w:rPr>
          <w:b/>
          <w:bCs/>
          <w:caps w:val="0"/>
          <w:color w:val="202020"/>
          <w:sz w:val="27"/>
          <w:szCs w:val="27"/>
        </w:rPr>
        <w:t xml:space="preserve"> Avantages et inconvénients</w:t>
      </w:r>
    </w:p>
    <w:p>
      <w:pPr>
        <w:pStyle w:val="Heading3"/>
        <w:pageBreakBefore w:val="0"/>
        <w:spacing w:before="240" w:after="240" w:line="330" w:lineRule="atLeast"/>
        <w:ind w:left="0" w:right="0"/>
        <w:rPr>
          <w:b/>
          <w:bCs/>
          <w:color w:val="202020"/>
          <w:sz w:val="28"/>
          <w:szCs w:val="24"/>
        </w:rPr>
      </w:pPr>
      <w:r>
        <w:rPr>
          <w:b/>
          <w:bCs/>
          <w:color w:val="202020"/>
          <w:sz w:val="24"/>
          <w:szCs w:val="24"/>
        </w:rPr>
        <w:t>1.1.</w:t>
      </w:r>
      <w:r>
        <w:rPr>
          <w:b/>
          <w:bCs/>
          <w:color w:val="202020"/>
          <w:sz w:val="24"/>
          <w:szCs w:val="24"/>
        </w:rPr>
        <w:t xml:space="preserve"> D'un point de vue économique et juridique</w:t>
      </w:r>
    </w:p>
    <w:tbl>
      <w:tblPr>
        <w:tblStyle w:val="table"/>
        <w:tblW w:w="5000" w:type="pct"/>
        <w:tblInd w:w="16" w:type="dxa"/>
        <w:shd w:val="clear" w:color="auto" w:fill="FFFFFF"/>
        <w:tblCellMar>
          <w:top w:w="0" w:type="dxa"/>
          <w:left w:w="0" w:type="dxa"/>
          <w:bottom w:w="0" w:type="dxa"/>
          <w:right w:w="0" w:type="dxa"/>
        </w:tblCellMar>
        <w:tblLook w:val="05E0"/>
      </w:tblPr>
      <w:tblGrid>
        <w:gridCol w:w="5436"/>
        <w:gridCol w:w="5435"/>
      </w:tblGrid>
      <w:tr>
        <w:tblPrEx>
          <w:tblW w:w="5000" w:type="pct"/>
          <w:tblInd w:w="16" w:type="dxa"/>
          <w:shd w:val="clear" w:color="auto" w:fill="FFFFFF"/>
          <w:tblCellMar>
            <w:top w:w="0" w:type="dxa"/>
            <w:left w:w="0" w:type="dxa"/>
            <w:bottom w:w="0" w:type="dxa"/>
            <w:right w:w="0" w:type="dxa"/>
          </w:tblCellMar>
          <w:tblLook w:val="05E0"/>
        </w:tblPrEx>
        <w:trPr>
          <w:tblHeader/>
        </w:trPr>
        <w:tc>
          <w:tcPr>
            <w:tcW w:w="2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Avantages</w:t>
            </w:r>
          </w:p>
        </w:tc>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Inconvénients</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Transmission au(x) bénéficiaire(s) de son choix en dehors du cadre de la succession.</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Les bénéficiaires peuvent être contraints de rapporter à la succession du souscripteur-assuré si les primes versées ont été manifestement exagérées.</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Possibilité de désigner plusieurs bénéficiaires dans différentes proportions.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Contrat intransmissible du vivant du souscripteur.</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Possibilité de démembrer la clause bénéficiaire en désignant un bénéficiaire en usufruit et un autre en nue-propriété.</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Éventuelle récupération des aides sociales à concurrence des primes versées après 70 ans.</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Formalisme restreint : libre désignation des bénéficiaires, selon toutes formes (lettre, avenant, testament), à tout moment.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Les contrats non dénoués, alimentés avec des fonds communs, constituent des actifs de communauté dont il faudra tenir compte dans l’actif successoral sur le plan civil</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Maîtrise des capitaux jusqu’au décès et possibilité de modifier le bénéficiaire à tout moment.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 </w:t>
            </w:r>
          </w:p>
        </w:tc>
      </w:tr>
    </w:tbl>
    <w:p>
      <w:pPr>
        <w:pStyle w:val="Heading3"/>
        <w:pageBreakBefore w:val="0"/>
        <w:spacing w:before="0" w:after="240" w:line="330" w:lineRule="atLeast"/>
        <w:ind w:left="0" w:right="0"/>
        <w:rPr>
          <w:b/>
          <w:bCs/>
          <w:color w:val="202020"/>
          <w:sz w:val="28"/>
          <w:szCs w:val="24"/>
        </w:rPr>
      </w:pPr>
      <w:r>
        <w:rPr>
          <w:b/>
          <w:bCs/>
          <w:color w:val="202020"/>
          <w:sz w:val="24"/>
          <w:szCs w:val="24"/>
        </w:rPr>
        <w:t>1.2.</w:t>
      </w:r>
      <w:r>
        <w:rPr>
          <w:b/>
          <w:bCs/>
          <w:color w:val="202020"/>
          <w:sz w:val="24"/>
          <w:szCs w:val="24"/>
        </w:rPr>
        <w:t xml:space="preserve"> D'un point de vue fiscal</w:t>
      </w:r>
    </w:p>
    <w:tbl>
      <w:tblPr>
        <w:tblStyle w:val="table"/>
        <w:tblW w:w="5000" w:type="pct"/>
        <w:tblInd w:w="16" w:type="dxa"/>
        <w:shd w:val="clear" w:color="auto" w:fill="FFFFFF"/>
        <w:tblCellMar>
          <w:top w:w="0" w:type="dxa"/>
          <w:left w:w="0" w:type="dxa"/>
          <w:bottom w:w="0" w:type="dxa"/>
          <w:right w:w="0" w:type="dxa"/>
        </w:tblCellMar>
        <w:tblLook w:val="05E0"/>
      </w:tblPr>
      <w:tblGrid>
        <w:gridCol w:w="5436"/>
        <w:gridCol w:w="5435"/>
      </w:tblGrid>
      <w:tr>
        <w:tblPrEx>
          <w:tblW w:w="5000" w:type="pct"/>
          <w:tblInd w:w="16" w:type="dxa"/>
          <w:shd w:val="clear" w:color="auto" w:fill="FFFFFF"/>
          <w:tblCellMar>
            <w:top w:w="0" w:type="dxa"/>
            <w:left w:w="0" w:type="dxa"/>
            <w:bottom w:w="0" w:type="dxa"/>
            <w:right w:w="0" w:type="dxa"/>
          </w:tblCellMar>
          <w:tblLook w:val="05E0"/>
        </w:tblPrEx>
        <w:trPr>
          <w:tblHeader/>
        </w:trPr>
        <w:tc>
          <w:tcPr>
            <w:tcW w:w="25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Avantages</w:t>
            </w:r>
          </w:p>
        </w:tc>
        <w:tc>
          <w:tcPr>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Inconvénients</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Transmission d’un capital au décès avec une fiscalité moins lourde que les droits de succession.</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Pas de représentation fiscale.</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Possibilité de démembrer la clause bénéficiaire et de faire naître un quasi-usufruit : la reconstitution de la pleine propriété entre les mains du nu-propriétaire se fera en franchise d’impôt.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Les capitaux décès ne sont pas compris dans l’assiette des émoluments du notaire (sauf si application de l’article 757B), ni ne supportent le droit de partage.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 </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Fiscalité privilégiée en cours de vie du contrat.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 </w:t>
            </w:r>
          </w:p>
        </w:tc>
      </w:tr>
    </w:tbl>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2.</w:t>
      </w:r>
      <w:r>
        <w:rPr>
          <w:b/>
          <w:bCs/>
          <w:caps w:val="0"/>
          <w:color w:val="202020"/>
          <w:sz w:val="27"/>
          <w:szCs w:val="27"/>
        </w:rPr>
        <w:t xml:space="preserve"> La souscription du contrat et la protection de ses proches</w:t>
      </w:r>
    </w:p>
    <w:p>
      <w:pPr>
        <w:pStyle w:val="Heading3"/>
        <w:pageBreakBefore w:val="0"/>
        <w:spacing w:before="240" w:after="240" w:line="330" w:lineRule="atLeast"/>
        <w:ind w:left="0" w:right="0"/>
        <w:rPr>
          <w:b/>
          <w:bCs/>
          <w:color w:val="202020"/>
          <w:sz w:val="28"/>
          <w:szCs w:val="24"/>
        </w:rPr>
      </w:pPr>
      <w:r>
        <w:rPr>
          <w:b/>
          <w:bCs/>
          <w:color w:val="202020"/>
          <w:sz w:val="24"/>
          <w:szCs w:val="24"/>
        </w:rPr>
        <w:t>2.1.</w:t>
      </w:r>
      <w:r>
        <w:rPr>
          <w:b/>
          <w:bCs/>
          <w:color w:val="202020"/>
          <w:sz w:val="24"/>
          <w:szCs w:val="24"/>
        </w:rPr>
        <w:t xml:space="preserve"> Quelles sont les conditions requises pour la souscription d'un contrat d'assurance-vie ?</w:t>
      </w:r>
    </w:p>
    <w:p>
      <w:pPr>
        <w:pStyle w:val="p"/>
        <w:spacing w:before="0" w:after="180" w:line="330" w:lineRule="atLeast"/>
        <w:ind w:left="0" w:right="0"/>
        <w:rPr>
          <w:color w:val="646464"/>
          <w:sz w:val="24"/>
          <w:szCs w:val="24"/>
        </w:rPr>
      </w:pPr>
      <w:r>
        <w:rPr>
          <w:color w:val="646464"/>
          <w:sz w:val="24"/>
          <w:szCs w:val="24"/>
          <w:u w:val="single" w:color="646464"/>
        </w:rPr>
        <w:t>Aucune restriction</w:t>
      </w:r>
      <w:r>
        <w:rPr>
          <w:color w:val="646464"/>
          <w:sz w:val="24"/>
          <w:szCs w:val="24"/>
        </w:rPr>
        <w:t xml:space="preserve"> : Toute personne juridiquement capable peut souscrire un contrat d’assurance-vie. Il n’y a pas de condition d’âge.</w:t>
      </w:r>
    </w:p>
    <w:p>
      <w:pPr>
        <w:pStyle w:val="p"/>
        <w:spacing w:before="0" w:after="180" w:line="330" w:lineRule="atLeast"/>
        <w:ind w:left="0" w:right="0"/>
        <w:rPr>
          <w:color w:val="646464"/>
          <w:sz w:val="24"/>
          <w:szCs w:val="24"/>
        </w:rPr>
      </w:pPr>
      <w:r>
        <w:rPr>
          <w:color w:val="646464"/>
          <w:sz w:val="24"/>
          <w:szCs w:val="24"/>
        </w:rPr>
        <w:t>Un époux peut valablement souscrire seul un contrat d’assurance-vie, quel que soit son régime matrimonial et quel que soit le montant et l’origine des primes versées.</w:t>
      </w:r>
      <w:r>
        <w:rPr>
          <w:color w:val="646464"/>
          <w:sz w:val="24"/>
          <w:szCs w:val="24"/>
        </w:rPr>
        <w:br/>
      </w:r>
      <w:r>
        <w:rPr>
          <w:color w:val="646464"/>
          <w:sz w:val="24"/>
          <w:szCs w:val="24"/>
        </w:rPr>
        <w:t>C’est lui qui exercera seul l’ensemble des prérogatives du souscripteur à savoir : désignation des bénéficiaires, rachat(s), demande d’avance, arbitrages, etc.)</w:t>
      </w:r>
    </w:p>
    <w:p>
      <w:pPr>
        <w:pStyle w:val="fd-document-box-redfd-document-box-title"/>
        <w:pageBreakBefore w:val="0"/>
        <w:pBdr>
          <w:top w:val="single" w:sz="6" w:space="12" w:color="D6D6D6"/>
          <w:left w:val="single" w:sz="24" w:space="24" w:color="FF6E6E"/>
          <w:bottom w:val="single" w:sz="6" w:space="12" w:color="D6D6D6"/>
          <w:right w:val="single" w:sz="6" w:space="24" w:color="D6D6D6"/>
        </w:pBdr>
        <w:shd w:val="clear" w:color="auto" w:fill="F5F5F5"/>
        <w:spacing w:before="0" w:after="240" w:line="240" w:lineRule="atLeast"/>
        <w:ind w:left="540" w:right="495"/>
        <w:outlineLvl w:val="4"/>
        <w:rPr>
          <w:b/>
          <w:bCs/>
          <w:color w:val="FF6E6E"/>
          <w:sz w:val="18"/>
          <w:szCs w:val="18"/>
        </w:rPr>
      </w:pPr>
      <w:r>
        <w:rPr>
          <w:b/>
          <w:bCs/>
          <w:color w:val="FF6E6E"/>
          <w:sz w:val="18"/>
          <w:szCs w:val="18"/>
        </w:rPr>
        <w:t>Point d’alerte : le défaut d’aléa </w:t>
      </w:r>
    </w:p>
    <w:p>
      <w:pPr>
        <w:pStyle w:val="fd-document-box-redfd-document-box-descriptionpnth-last-child1"/>
        <w:pBdr>
          <w:top w:val="single" w:sz="6" w:space="12" w:color="D6D6D6"/>
          <w:left w:val="single" w:sz="24" w:space="24" w:color="FF6E6E"/>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Si la personne assurée est très âgée ou malade, le défaut d’aléa quant à la date de son décès peut entraîner la requalification du contrat en pure opération de capitalisation, entraînant ainsi la perte des avantages civils et fiscaux du contrat d’assurance-vie.</w:t>
      </w:r>
    </w:p>
    <w:p>
      <w:pPr>
        <w:pStyle w:val="fd-document-box-blackfd-document-box-title"/>
        <w:pageBreakBefore w:val="0"/>
        <w:pBdr>
          <w:top w:val="none" w:sz="0" w:space="12" w:color="auto"/>
          <w:left w:val="none" w:sz="0" w:space="24" w:color="auto"/>
          <w:bottom w:val="none" w:sz="0" w:space="0" w:color="auto"/>
          <w:right w:val="none" w:sz="0" w:space="24" w:color="auto"/>
        </w:pBdr>
        <w:shd w:val="clear" w:color="auto" w:fill="F5F5F5"/>
        <w:spacing w:before="0" w:after="240" w:line="240" w:lineRule="atLeast"/>
        <w:ind w:left="540" w:right="495"/>
        <w:outlineLvl w:val="4"/>
        <w:rPr>
          <w:b/>
          <w:bCs/>
          <w:color w:val="202020"/>
          <w:sz w:val="18"/>
          <w:szCs w:val="18"/>
        </w:rPr>
      </w:pPr>
      <w:r>
        <w:rPr>
          <w:b/>
          <w:bCs/>
          <w:color w:val="202020"/>
          <w:sz w:val="18"/>
          <w:szCs w:val="18"/>
        </w:rPr>
        <w:t>Focus :</w:t>
      </w:r>
    </w:p>
    <w:p>
      <w:pPr>
        <w:shd w:val="clear" w:color="auto" w:fill="F5F5F5"/>
        <w:spacing w:line="300" w:lineRule="atLeast"/>
        <w:ind w:left="60" w:right="15"/>
        <w:rPr>
          <w:color w:val="646464"/>
          <w:sz w:val="21"/>
          <w:szCs w:val="21"/>
        </w:rPr>
      </w:pPr>
      <w:r>
        <w:rPr>
          <w:rStyle w:val="fd-document-box-blackfd-document-box-descriptionany"/>
          <w:color w:val="646464"/>
          <w:sz w:val="21"/>
          <w:szCs w:val="21"/>
          <w:u w:val="single" w:color="646464"/>
        </w:rPr>
        <w:t>La souscription pour le compte d’un enfant mineur</w:t>
      </w:r>
      <w:r>
        <w:rPr>
          <w:color w:val="646464"/>
          <w:sz w:val="21"/>
          <w:szCs w:val="21"/>
        </w:rPr>
        <w:t xml:space="preserve"> </w:t>
      </w:r>
    </w:p>
    <w:p>
      <w:pPr>
        <w:pStyle w:val="fd-document-box-blackfd-document-box-descriptionanyParagraph"/>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La souscription d'un contrat d'assurance-vie pour le compte d’un enfant mineur constitue un acte de disposition : la signature des deux parents est nécessaire. En cas de désaccord entre les deux parents, il faudra l’autorisation du juge des Tutelles.</w:t>
      </w:r>
    </w:p>
    <w:p>
      <w:pPr>
        <w:pStyle w:val="fd-document-box-blackfd-document-box-descriptionanyParagraph"/>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u w:val="single" w:color="646464"/>
        </w:rPr>
        <w:t>À noter</w:t>
      </w:r>
      <w:r>
        <w:rPr>
          <w:color w:val="646464"/>
          <w:sz w:val="21"/>
          <w:szCs w:val="21"/>
        </w:rPr>
        <w:t xml:space="preserve"> :</w:t>
      </w:r>
      <w:r>
        <w:rPr>
          <w:i/>
          <w:iCs/>
          <w:color w:val="646464"/>
          <w:sz w:val="21"/>
          <w:szCs w:val="21"/>
        </w:rPr>
        <w:t xml:space="preserve"> </w:t>
      </w:r>
      <w:r>
        <w:rPr>
          <w:color w:val="646464"/>
          <w:sz w:val="21"/>
          <w:szCs w:val="21"/>
        </w:rPr>
        <w:t>si la souscription d'un contrat d'assurance-vie pour le compte d'un enfant mineur n'est pas expressément visée par l'article 387-1 du code civil qui donne la liste des actes de disposition nécessitant l'autorisation du Juge des tutelles, à notre sens, la souscription d'un contrat multi-supports devrait nécessiter l'obtention de l'autorisation du Juge des tutelles, comme constituant indirectement un acte portant sur des valeurs mobilières ou des instruments financier au sens de l'article L211-1 du code monétaire et financier C. Civ. art. 387-1 8°).</w:t>
      </w:r>
    </w:p>
    <w:p>
      <w:pPr>
        <w:pStyle w:val="fd-document-box-blackfd-document-box-descriptionanyParagraph"/>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Ces mêmes règles s’appliqueront pour l’exercice d’un rachat pour la désignation ou la modification du bénéficiaire.</w:t>
      </w:r>
    </w:p>
    <w:p>
      <w:pPr>
        <w:pStyle w:val="fd-document-box-blackfd-document-box-descriptionanyParagraph"/>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Pour une demande d’avance l’autorisation du juge des tutelles est toujours nécessaire, même si les deux parents sont d’accord, car il s’agit d’un emprunt effectué auprès de la compagnie</w:t>
      </w:r>
      <w:r>
        <w:rPr>
          <w:color w:val="646464"/>
          <w:sz w:val="21"/>
          <w:szCs w:val="21"/>
        </w:rPr>
        <w:br/>
      </w:r>
      <w:r>
        <w:rPr>
          <w:color w:val="646464"/>
          <w:sz w:val="21"/>
          <w:szCs w:val="21"/>
        </w:rPr>
        <w:br/>
      </w:r>
      <w:r>
        <w:rPr>
          <w:color w:val="646464"/>
          <w:sz w:val="21"/>
          <w:szCs w:val="21"/>
        </w:rPr>
        <w:br/>
      </w:r>
      <w:r>
        <w:rPr>
          <w:color w:val="646464"/>
          <w:sz w:val="21"/>
          <w:szCs w:val="21"/>
          <w:u w:val="single" w:color="646464"/>
        </w:rPr>
        <w:t>La souscription pour le compte d’un majeur protégé</w:t>
      </w:r>
    </w:p>
    <w:p>
      <w:pPr>
        <w:pStyle w:val="linotnth-last-child1"/>
        <w:numPr>
          <w:ilvl w:val="0"/>
          <w:numId w:val="31"/>
        </w:numPr>
        <w:shd w:val="clear" w:color="auto" w:fill="F5F5F5"/>
        <w:spacing w:before="240" w:after="240" w:line="300" w:lineRule="atLeast"/>
        <w:ind w:left="540" w:right="495" w:hanging="360"/>
        <w:jc w:val="left"/>
        <w:rPr>
          <w:color w:val="646464"/>
          <w:sz w:val="21"/>
          <w:szCs w:val="21"/>
        </w:rPr>
      </w:pPr>
      <w:r>
        <w:rPr>
          <w:color w:val="646464"/>
          <w:sz w:val="21"/>
          <w:szCs w:val="21"/>
        </w:rPr>
        <w:t>Le majeur sous curatelle peut souscrire un contrat avec l’assistance de son curateur</w:t>
      </w:r>
    </w:p>
    <w:p>
      <w:pPr>
        <w:numPr>
          <w:ilvl w:val="0"/>
          <w:numId w:val="31"/>
        </w:numPr>
        <w:shd w:val="clear" w:color="auto" w:fill="F5F5F5"/>
        <w:spacing w:after="600" w:line="300" w:lineRule="atLeast"/>
        <w:ind w:left="540" w:right="495" w:hanging="360"/>
        <w:jc w:val="left"/>
        <w:rPr>
          <w:color w:val="646464"/>
          <w:sz w:val="21"/>
          <w:szCs w:val="21"/>
        </w:rPr>
      </w:pPr>
      <w:r>
        <w:rPr>
          <w:color w:val="646464"/>
          <w:sz w:val="21"/>
          <w:szCs w:val="21"/>
        </w:rPr>
        <w:t>Pour les majeurs sous tutelle, le tuteur ne pourra souscrire un contrat d’assurance-vie qu’avec l’autorisation du juge des tutelles</w:t>
      </w:r>
    </w:p>
    <w:p>
      <w:pPr>
        <w:pStyle w:val="Heading3"/>
        <w:pageBreakBefore w:val="0"/>
        <w:spacing w:before="0" w:after="240" w:line="330" w:lineRule="atLeast"/>
        <w:ind w:left="0" w:right="0"/>
        <w:rPr>
          <w:b/>
          <w:bCs/>
          <w:color w:val="202020"/>
          <w:sz w:val="28"/>
          <w:szCs w:val="24"/>
        </w:rPr>
      </w:pPr>
      <w:r>
        <w:rPr>
          <w:b/>
          <w:bCs/>
          <w:color w:val="202020"/>
          <w:sz w:val="24"/>
          <w:szCs w:val="24"/>
        </w:rPr>
        <w:t>2.2.</w:t>
      </w:r>
      <w:r>
        <w:rPr>
          <w:b/>
          <w:bCs/>
          <w:color w:val="202020"/>
          <w:sz w:val="24"/>
          <w:szCs w:val="24"/>
        </w:rPr>
        <w:t xml:space="preserve"> Peut-on utiliser la co-souscription pour protéger son conjoint ?</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Rappel des différents types de souscription possibles :</w:t>
      </w:r>
    </w:p>
    <w:p>
      <w:pPr>
        <w:pStyle w:val="p"/>
        <w:spacing w:before="0" w:after="180" w:line="330" w:lineRule="atLeast"/>
        <w:ind w:left="0" w:right="0"/>
        <w:rPr>
          <w:color w:val="646464"/>
          <w:sz w:val="24"/>
          <w:szCs w:val="24"/>
        </w:rPr>
      </w:pPr>
      <w:r>
        <w:rPr>
          <w:color w:val="646464"/>
          <w:sz w:val="24"/>
          <w:szCs w:val="24"/>
          <w:u w:val="single" w:color="646464"/>
        </w:rPr>
        <w:t>Plusieurs types de souscriptions sont envisageables</w:t>
      </w:r>
      <w:r>
        <w:rPr>
          <w:color w:val="646464"/>
          <w:sz w:val="24"/>
          <w:szCs w:val="24"/>
        </w:rPr>
        <w:t xml:space="preserve"> :</w:t>
      </w:r>
    </w:p>
    <w:p>
      <w:pPr>
        <w:pStyle w:val="linotnth-last-child1"/>
        <w:numPr>
          <w:ilvl w:val="0"/>
          <w:numId w:val="32"/>
        </w:numPr>
        <w:spacing w:before="240" w:after="240" w:line="330" w:lineRule="atLeast"/>
        <w:ind w:left="720" w:right="0" w:hanging="360"/>
        <w:jc w:val="left"/>
        <w:rPr>
          <w:color w:val="646464"/>
          <w:sz w:val="24"/>
          <w:szCs w:val="24"/>
        </w:rPr>
      </w:pPr>
      <w:r>
        <w:rPr>
          <w:color w:val="646464"/>
          <w:sz w:val="24"/>
          <w:szCs w:val="24"/>
        </w:rPr>
        <w:t>adhésion simple = un seul souscripteur, un seul assuré</w:t>
      </w:r>
    </w:p>
    <w:p>
      <w:pPr>
        <w:pStyle w:val="linotnth-last-child1"/>
        <w:numPr>
          <w:ilvl w:val="0"/>
          <w:numId w:val="32"/>
        </w:numPr>
        <w:spacing w:after="240" w:line="330" w:lineRule="atLeast"/>
        <w:ind w:left="720" w:right="0" w:hanging="360"/>
        <w:jc w:val="left"/>
        <w:rPr>
          <w:color w:val="646464"/>
          <w:sz w:val="24"/>
          <w:szCs w:val="24"/>
        </w:rPr>
      </w:pPr>
      <w:r>
        <w:rPr>
          <w:color w:val="646464"/>
          <w:sz w:val="24"/>
          <w:szCs w:val="24"/>
        </w:rPr>
        <w:t>adhésion réciproque = co-souscription avec dénouement au premier décès</w:t>
      </w:r>
    </w:p>
    <w:p>
      <w:pPr>
        <w:pStyle w:val="linotnth-last-child1"/>
        <w:numPr>
          <w:ilvl w:val="0"/>
          <w:numId w:val="32"/>
        </w:numPr>
        <w:spacing w:after="240" w:line="330" w:lineRule="atLeast"/>
        <w:ind w:left="720" w:right="0" w:hanging="360"/>
        <w:jc w:val="left"/>
        <w:rPr>
          <w:color w:val="646464"/>
          <w:sz w:val="24"/>
          <w:szCs w:val="24"/>
        </w:rPr>
      </w:pPr>
      <w:r>
        <w:rPr>
          <w:color w:val="646464"/>
          <w:sz w:val="24"/>
          <w:szCs w:val="24"/>
        </w:rPr>
        <w:t>adhésion conjointe = co-souscription avec dénouement au second décès</w:t>
      </w:r>
    </w:p>
    <w:p>
      <w:pPr>
        <w:numPr>
          <w:ilvl w:val="0"/>
          <w:numId w:val="32"/>
        </w:numPr>
        <w:spacing w:after="240" w:line="330" w:lineRule="atLeast"/>
        <w:ind w:left="720" w:right="0" w:hanging="360"/>
        <w:jc w:val="left"/>
        <w:rPr>
          <w:color w:val="646464"/>
          <w:sz w:val="24"/>
          <w:szCs w:val="24"/>
        </w:rPr>
      </w:pPr>
      <w:r>
        <w:rPr>
          <w:color w:val="646464"/>
          <w:sz w:val="24"/>
          <w:szCs w:val="24"/>
        </w:rPr>
        <w:t>adhésion en démembrement = usufruitier et nu-propriétaire souscripteur, nu-propriétaire assuré.</w:t>
      </w:r>
    </w:p>
    <w:p>
      <w:pPr>
        <w:pStyle w:val="p"/>
        <w:spacing w:before="0" w:after="240" w:line="330" w:lineRule="atLeast"/>
        <w:ind w:left="0" w:right="0"/>
        <w:rPr>
          <w:color w:val="646464"/>
          <w:sz w:val="24"/>
          <w:szCs w:val="24"/>
        </w:rPr>
      </w:pPr>
      <w:r>
        <w:rPr>
          <w:color w:val="646464"/>
          <w:sz w:val="24"/>
          <w:szCs w:val="24"/>
          <w:u w:val="single" w:color="646464"/>
        </w:rPr>
        <w:t>Il peut être tentant d’envisager une co-souscription avec la personne que l’on souhaite protéger mais ce type d’adhésion n’est accepté que pour des époux mariés sous un régime communautaire</w:t>
      </w:r>
      <w:r>
        <w:rPr>
          <w:color w:val="646464"/>
          <w:sz w:val="24"/>
          <w:szCs w:val="24"/>
        </w:rPr>
        <w:t xml:space="preserve">. Dans </w:t>
      </w:r>
      <w:r>
        <w:rPr>
          <w:color w:val="646464"/>
          <w:sz w:val="24"/>
          <w:szCs w:val="24"/>
          <w:u w:val="single" w:color="646464"/>
        </w:rPr>
        <w:t>tous les autres cas</w:t>
      </w:r>
      <w:r>
        <w:rPr>
          <w:color w:val="646464"/>
          <w:sz w:val="24"/>
          <w:szCs w:val="24"/>
        </w:rPr>
        <w:t xml:space="preserve"> l’opération constitue une </w:t>
      </w:r>
      <w:r>
        <w:rPr>
          <w:color w:val="646464"/>
          <w:sz w:val="24"/>
          <w:szCs w:val="24"/>
          <w:u w:val="single" w:color="646464"/>
        </w:rPr>
        <w:t>donation indirecte</w:t>
      </w:r>
      <w:r>
        <w:rPr>
          <w:color w:val="646464"/>
          <w:sz w:val="24"/>
          <w:szCs w:val="24"/>
        </w:rPr>
        <w:t>.</w:t>
      </w:r>
      <w:r>
        <w:rPr>
          <w:color w:val="646464"/>
          <w:sz w:val="24"/>
          <w:szCs w:val="24"/>
        </w:rPr>
        <w:br/>
      </w:r>
      <w:r>
        <w:rPr>
          <w:color w:val="646464"/>
          <w:sz w:val="24"/>
          <w:szCs w:val="24"/>
        </w:rPr>
        <w:br/>
      </w:r>
      <w:r>
        <w:rPr>
          <w:color w:val="646464"/>
          <w:sz w:val="24"/>
          <w:szCs w:val="24"/>
          <w:u w:val="single" w:color="646464"/>
        </w:rPr>
        <w:t>Rappel des restrictions du fait de la situation matrimoniale en cas d’adhésion par un couple</w:t>
      </w:r>
      <w:r>
        <w:rPr>
          <w:color w:val="646464"/>
          <w:sz w:val="24"/>
          <w:szCs w:val="24"/>
        </w:rPr>
        <w:t xml:space="preserve"> :</w:t>
      </w:r>
    </w:p>
    <w:tbl>
      <w:tblPr>
        <w:tblStyle w:val="table"/>
        <w:tblW w:w="5000" w:type="pct"/>
        <w:tblInd w:w="16" w:type="dxa"/>
        <w:tblBorders>
          <w:top w:val="outset" w:sz="6" w:space="0" w:color="808080"/>
          <w:left w:val="outset" w:sz="6" w:space="0" w:color="808080"/>
          <w:bottom w:val="outset" w:sz="6" w:space="0" w:color="808080"/>
          <w:right w:val="outset" w:sz="6" w:space="0" w:color="808080"/>
        </w:tblBorders>
        <w:shd w:val="clear" w:color="auto" w:fill="FFFFFF"/>
        <w:tblCellMar>
          <w:top w:w="0" w:type="dxa"/>
          <w:left w:w="0" w:type="dxa"/>
          <w:bottom w:w="0" w:type="dxa"/>
          <w:right w:w="0" w:type="dxa"/>
        </w:tblCellMar>
        <w:tblLook w:val="05E0"/>
      </w:tblPr>
      <w:tblGrid>
        <w:gridCol w:w="3261"/>
        <w:gridCol w:w="7610"/>
      </w:tblGrid>
      <w:tr>
        <w:tblPrEx>
          <w:tblW w:w="5000" w:type="pct"/>
          <w:tblInd w:w="16" w:type="dxa"/>
          <w:tblBorders>
            <w:top w:val="outset" w:sz="6" w:space="0" w:color="808080"/>
            <w:left w:val="outset" w:sz="6" w:space="0" w:color="808080"/>
            <w:bottom w:val="outset" w:sz="6" w:space="0" w:color="808080"/>
            <w:right w:val="outset" w:sz="6" w:space="0" w:color="808080"/>
          </w:tblBorders>
          <w:shd w:val="clear" w:color="auto" w:fill="FFFFFF"/>
          <w:tblCellMar>
            <w:top w:w="0" w:type="dxa"/>
            <w:left w:w="0" w:type="dxa"/>
            <w:bottom w:w="0" w:type="dxa"/>
            <w:right w:w="0" w:type="dxa"/>
          </w:tblCellMar>
          <w:tblLook w:val="05E0"/>
        </w:tblPrEx>
        <w:trPr>
          <w:tblHeader/>
        </w:trPr>
        <w:tc>
          <w:tcPr>
            <w:tcW w:w="1500" w:type="pct"/>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b/>
                <w:bCs/>
                <w:color w:val="202020"/>
                <w:sz w:val="21"/>
                <w:szCs w:val="21"/>
              </w:rPr>
            </w:pPr>
            <w:r>
              <w:rPr>
                <w:b/>
                <w:bCs/>
                <w:color w:val="202020"/>
                <w:sz w:val="21"/>
                <w:szCs w:val="21"/>
              </w:rPr>
              <w:t>Régime de la séparation de biens, concubinage ou PACS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Seule l’adhésion simple est possible.</w:t>
            </w:r>
            <w:r>
              <w:rPr>
                <w:b w:val="0"/>
                <w:bCs w:val="0"/>
                <w:color w:val="646464"/>
                <w:sz w:val="21"/>
                <w:szCs w:val="21"/>
              </w:rPr>
              <w:br/>
            </w:r>
            <w:r>
              <w:rPr>
                <w:b w:val="0"/>
                <w:bCs w:val="0"/>
                <w:color w:val="646464"/>
                <w:sz w:val="21"/>
                <w:szCs w:val="21"/>
              </w:rPr>
              <w:t xml:space="preserve">L’administration fiscale considère qu’il y a </w:t>
            </w:r>
            <w:r>
              <w:rPr>
                <w:b w:val="0"/>
                <w:bCs w:val="0"/>
                <w:color w:val="646464"/>
                <w:sz w:val="21"/>
                <w:szCs w:val="21"/>
                <w:u w:val="single" w:color="646464"/>
              </w:rPr>
              <w:t>donation indirecte</w:t>
            </w:r>
            <w:r>
              <w:rPr>
                <w:b w:val="0"/>
                <w:bCs w:val="0"/>
                <w:color w:val="646464"/>
                <w:sz w:val="21"/>
                <w:szCs w:val="21"/>
              </w:rPr>
              <w:t xml:space="preserve"> quand des époux séparés de biens choisissent une souscription conjointe avec dénouement au second décès</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Communauté légale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33"/>
              </w:numPr>
              <w:spacing w:before="240" w:after="240" w:line="300" w:lineRule="atLeast"/>
              <w:ind w:left="720" w:right="0" w:hanging="360"/>
              <w:jc w:val="left"/>
              <w:rPr>
                <w:color w:val="646464"/>
                <w:sz w:val="21"/>
                <w:szCs w:val="21"/>
              </w:rPr>
            </w:pPr>
            <w:r>
              <w:rPr>
                <w:color w:val="646464"/>
                <w:sz w:val="21"/>
                <w:szCs w:val="21"/>
              </w:rPr>
              <w:t>Si les capitaux sont propres : adhésion simple avec déclaration d’emploi ou de remploi</w:t>
            </w:r>
          </w:p>
          <w:p>
            <w:pPr>
              <w:numPr>
                <w:ilvl w:val="0"/>
                <w:numId w:val="33"/>
              </w:numPr>
              <w:spacing w:after="240" w:line="300" w:lineRule="atLeast"/>
              <w:ind w:left="720" w:right="0" w:hanging="360"/>
              <w:jc w:val="left"/>
              <w:rPr>
                <w:color w:val="646464"/>
                <w:sz w:val="21"/>
                <w:szCs w:val="21"/>
              </w:rPr>
            </w:pPr>
            <w:r>
              <w:rPr>
                <w:color w:val="646464"/>
                <w:sz w:val="21"/>
                <w:szCs w:val="21"/>
              </w:rPr>
              <w:t>Si les capitaux sont communs : choix possible entre les trois types de souscription</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Communauté universelle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Choix possible entre les trois types de souscription</w:t>
            </w:r>
          </w:p>
        </w:tc>
      </w:tr>
    </w:tbl>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À noter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Ces restrictions résultent des pratiques des compagnies d’assurance, principalement pour des raisons fiscales ; il n’existe pas de prohibition légale)</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Points d'alerte </w:t>
      </w:r>
    </w:p>
    <w:p>
      <w:pPr>
        <w:pStyle w:val="fd-chevron-lvl2"/>
        <w:pBdr>
          <w:left w:val="none" w:sz="0" w:space="18" w:color="auto"/>
        </w:pBdr>
        <w:spacing w:before="0" w:after="180" w:line="330" w:lineRule="atLeast"/>
        <w:ind w:left="360" w:right="0"/>
        <w:rPr>
          <w:b w:val="0"/>
          <w:bCs w:val="0"/>
          <w:color w:val="202020"/>
          <w:sz w:val="24"/>
          <w:szCs w:val="24"/>
        </w:rPr>
      </w:pPr>
      <w:r>
        <w:rPr>
          <w:b w:val="0"/>
          <w:bCs w:val="0"/>
          <w:color w:val="202020"/>
          <w:sz w:val="24"/>
          <w:szCs w:val="24"/>
        </w:rPr>
        <w:t>Quels sont les conséquences d’une co-souscription pendant le fonctionnement du contrat ?</w:t>
      </w:r>
    </w:p>
    <w:p>
      <w:pPr>
        <w:pStyle w:val="p"/>
        <w:spacing w:before="0" w:after="180" w:line="330" w:lineRule="atLeast"/>
        <w:ind w:left="0" w:right="0"/>
        <w:rPr>
          <w:color w:val="646464"/>
          <w:sz w:val="24"/>
          <w:szCs w:val="24"/>
        </w:rPr>
      </w:pPr>
      <w:r>
        <w:rPr>
          <w:color w:val="646464"/>
          <w:sz w:val="24"/>
          <w:szCs w:val="24"/>
        </w:rPr>
        <w:t>Un contrat en co-adhésion ne peut fonctionner que sous la double signature des co-souscripteurs, qu’il s’agisse d’effectuer à un rachat ou de procéder à un simple arbitrage.</w:t>
      </w:r>
      <w:r>
        <w:rPr>
          <w:color w:val="646464"/>
          <w:sz w:val="24"/>
          <w:szCs w:val="24"/>
        </w:rPr>
        <w:br/>
      </w:r>
      <w:r>
        <w:rPr>
          <w:color w:val="646464"/>
          <w:sz w:val="24"/>
          <w:szCs w:val="24"/>
        </w:rPr>
        <w:t>Attention donc aux futures situations de blocages.</w:t>
      </w:r>
    </w:p>
    <w:p>
      <w:pPr>
        <w:pStyle w:val="fd-chevron-lvl2"/>
        <w:pBdr>
          <w:left w:val="none" w:sz="0" w:space="18" w:color="auto"/>
        </w:pBdr>
        <w:spacing w:before="0" w:after="180" w:line="330" w:lineRule="atLeast"/>
        <w:ind w:left="360" w:right="0"/>
        <w:rPr>
          <w:b w:val="0"/>
          <w:bCs w:val="0"/>
          <w:color w:val="202020"/>
          <w:sz w:val="24"/>
          <w:szCs w:val="24"/>
        </w:rPr>
      </w:pPr>
      <w:r>
        <w:rPr>
          <w:b w:val="0"/>
          <w:bCs w:val="0"/>
          <w:color w:val="202020"/>
          <w:sz w:val="24"/>
          <w:szCs w:val="24"/>
        </w:rPr>
        <w:t>Pourquoi la co-souscription avec dénouement au 1</w:t>
      </w:r>
      <w:r>
        <w:rPr>
          <w:b w:val="0"/>
          <w:bCs w:val="0"/>
          <w:color w:val="202020"/>
          <w:sz w:val="24"/>
          <w:szCs w:val="24"/>
          <w:vertAlign w:val="superscript"/>
        </w:rPr>
        <w:t>er</w:t>
      </w:r>
      <w:r>
        <w:rPr>
          <w:b w:val="0"/>
          <w:bCs w:val="0"/>
          <w:color w:val="202020"/>
          <w:sz w:val="24"/>
          <w:szCs w:val="24"/>
        </w:rPr>
        <w:t xml:space="preserve"> décès est-elle une fausse bonne idée ?</w:t>
      </w:r>
    </w:p>
    <w:p>
      <w:pPr>
        <w:pStyle w:val="p"/>
        <w:spacing w:before="0" w:after="240" w:line="330" w:lineRule="atLeast"/>
        <w:ind w:left="0" w:right="0"/>
        <w:rPr>
          <w:color w:val="646464"/>
          <w:sz w:val="24"/>
          <w:szCs w:val="24"/>
        </w:rPr>
      </w:pPr>
      <w:r>
        <w:rPr>
          <w:color w:val="646464"/>
          <w:sz w:val="24"/>
          <w:szCs w:val="24"/>
        </w:rPr>
        <w:t>On peut penser que la souscription en co-adhésion par des époux communs en biens avec dénouement au 1</w:t>
      </w:r>
      <w:r>
        <w:rPr>
          <w:color w:val="646464"/>
          <w:sz w:val="24"/>
          <w:szCs w:val="24"/>
          <w:vertAlign w:val="superscript"/>
        </w:rPr>
        <w:t>er</w:t>
      </w:r>
      <w:r>
        <w:rPr>
          <w:color w:val="646464"/>
          <w:sz w:val="24"/>
          <w:szCs w:val="24"/>
        </w:rPr>
        <w:t xml:space="preserve"> décès constitue une alternative intéressante à la souscription simple avec préciput (voir infra) : pas de formalisme particulier ni coût attaché, pas de droit de partage, pas d’action en retranchement.</w:t>
      </w:r>
      <w:r>
        <w:rPr>
          <w:color w:val="646464"/>
          <w:sz w:val="24"/>
          <w:szCs w:val="24"/>
        </w:rPr>
        <w:br/>
      </w:r>
      <w:r>
        <w:rPr>
          <w:color w:val="646464"/>
          <w:sz w:val="24"/>
          <w:szCs w:val="24"/>
        </w:rPr>
        <w:t>Mais attention : une co-souscription avec dénouement au 1</w:t>
      </w:r>
      <w:r>
        <w:rPr>
          <w:color w:val="646464"/>
          <w:sz w:val="24"/>
          <w:szCs w:val="24"/>
          <w:vertAlign w:val="superscript"/>
        </w:rPr>
        <w:t>er</w:t>
      </w:r>
      <w:r>
        <w:rPr>
          <w:color w:val="646464"/>
          <w:sz w:val="24"/>
          <w:szCs w:val="24"/>
        </w:rPr>
        <w:t xml:space="preserve"> décès est une solution contre-nature car on devient bénéficiaire de soi-même, avec les conséquences fiscales que cela emporte : taxation d’une somme que l’époux survivant possédait déjà, perte d’un abattement au titre de l'article 990 I ou 757 B du CGI.</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3.</w:t>
      </w:r>
      <w:r>
        <w:rPr>
          <w:b/>
          <w:bCs/>
          <w:caps w:val="0"/>
          <w:color w:val="202020"/>
          <w:sz w:val="27"/>
          <w:szCs w:val="27"/>
        </w:rPr>
        <w:t xml:space="preserve"> La souscription d'un contrat au profit de son conjoint</w:t>
      </w:r>
    </w:p>
    <w:p>
      <w:pPr>
        <w:pStyle w:val="Heading3"/>
        <w:pageBreakBefore w:val="0"/>
        <w:spacing w:before="240" w:after="240" w:line="330" w:lineRule="atLeast"/>
        <w:ind w:left="0" w:right="0"/>
        <w:rPr>
          <w:b/>
          <w:bCs/>
          <w:color w:val="202020"/>
          <w:sz w:val="28"/>
          <w:szCs w:val="24"/>
        </w:rPr>
      </w:pPr>
      <w:r>
        <w:rPr>
          <w:b/>
          <w:bCs/>
          <w:color w:val="202020"/>
          <w:sz w:val="24"/>
          <w:szCs w:val="24"/>
        </w:rPr>
        <w:t>3.1.</w:t>
      </w:r>
      <w:r>
        <w:rPr>
          <w:b/>
          <w:bCs/>
          <w:color w:val="202020"/>
          <w:sz w:val="24"/>
          <w:szCs w:val="24"/>
        </w:rPr>
        <w:t xml:space="preserve"> Objectifs</w:t>
      </w:r>
    </w:p>
    <w:p>
      <w:pPr>
        <w:pStyle w:val="p"/>
        <w:spacing w:before="0" w:after="180" w:line="330" w:lineRule="atLeast"/>
        <w:ind w:left="0" w:right="0"/>
        <w:rPr>
          <w:color w:val="646464"/>
          <w:sz w:val="24"/>
          <w:szCs w:val="24"/>
        </w:rPr>
      </w:pPr>
      <w:r>
        <w:rPr>
          <w:color w:val="646464"/>
          <w:sz w:val="24"/>
          <w:szCs w:val="24"/>
        </w:rPr>
        <w:t>La souscription d’un contrat d’assurance vie au profit de son conjoint va permettre d’améliorer la situation de ce dernier lors du décès de l’époux souscripteur. En effet, il  touchera alors des capitaux ou une rente en plus de ses droits successoraux, et ce en totale franchise d’impôt (voir infra section "Une fiscalité spécifique au décès").</w:t>
      </w:r>
    </w:p>
    <w:p>
      <w:pPr>
        <w:pStyle w:val="p"/>
        <w:spacing w:before="0" w:after="240" w:line="330" w:lineRule="atLeast"/>
        <w:ind w:left="0" w:right="0"/>
        <w:rPr>
          <w:color w:val="646464"/>
          <w:sz w:val="24"/>
          <w:szCs w:val="24"/>
        </w:rPr>
      </w:pPr>
      <w:r>
        <w:rPr>
          <w:color w:val="646464"/>
          <w:sz w:val="24"/>
          <w:szCs w:val="24"/>
          <w:u w:val="single" w:color="646464"/>
        </w:rPr>
        <w:t>En présence d’enfants, il est ainsi possible de transmettre à son conjoint au-delà de ce que peut permettre une donation au dernier vivant</w:t>
      </w:r>
      <w:r>
        <w:rPr>
          <w:color w:val="646464"/>
          <w:sz w:val="24"/>
          <w:szCs w:val="24"/>
        </w:rPr>
        <w:t>.</w:t>
      </w:r>
    </w:p>
    <w:p>
      <w:pPr>
        <w:pStyle w:val="Heading3"/>
        <w:pageBreakBefore w:val="0"/>
        <w:spacing w:before="0" w:after="240" w:line="330" w:lineRule="atLeast"/>
        <w:ind w:left="0" w:right="0"/>
        <w:rPr>
          <w:b/>
          <w:bCs/>
          <w:color w:val="202020"/>
          <w:sz w:val="28"/>
          <w:szCs w:val="24"/>
        </w:rPr>
      </w:pPr>
      <w:r>
        <w:rPr>
          <w:b/>
          <w:bCs/>
          <w:color w:val="202020"/>
          <w:sz w:val="24"/>
          <w:szCs w:val="24"/>
        </w:rPr>
        <w:t>3.2.</w:t>
      </w:r>
      <w:r>
        <w:rPr>
          <w:b/>
          <w:bCs/>
          <w:color w:val="202020"/>
          <w:sz w:val="24"/>
          <w:szCs w:val="24"/>
        </w:rPr>
        <w:t xml:space="preserve"> Quelles sont les incidences du régime matrimonial lors de la souscription du contrat ?</w:t>
      </w:r>
    </w:p>
    <w:p>
      <w:pPr>
        <w:pStyle w:val="p"/>
        <w:spacing w:before="0" w:after="180" w:line="330" w:lineRule="atLeast"/>
        <w:ind w:left="0" w:right="0"/>
        <w:rPr>
          <w:color w:val="646464"/>
          <w:sz w:val="24"/>
          <w:szCs w:val="24"/>
        </w:rPr>
      </w:pPr>
      <w:r>
        <w:rPr>
          <w:color w:val="646464"/>
          <w:sz w:val="24"/>
          <w:szCs w:val="24"/>
          <w:u w:val="single" w:color="646464"/>
        </w:rPr>
        <w:t>Un époux peut souscrire, gérer et disposer seul un contrat d’assurance-vie et ce quel que soit le régime matrimonial auquel il est soumis</w:t>
      </w:r>
      <w:r>
        <w:rPr>
          <w:color w:val="646464"/>
          <w:sz w:val="24"/>
          <w:szCs w:val="24"/>
        </w:rPr>
        <w:t>.</w:t>
      </w:r>
    </w:p>
    <w:p>
      <w:pPr>
        <w:pStyle w:val="fd-document-box-redfd-document-box-title"/>
        <w:pageBreakBefore w:val="0"/>
        <w:pBdr>
          <w:top w:val="single" w:sz="6" w:space="12" w:color="D6D6D6"/>
          <w:left w:val="single" w:sz="24" w:space="24" w:color="FF6E6E"/>
          <w:bottom w:val="single" w:sz="6" w:space="12" w:color="D6D6D6"/>
          <w:right w:val="single" w:sz="6" w:space="24" w:color="D6D6D6"/>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 :</w:t>
      </w:r>
    </w:p>
    <w:p>
      <w:pPr>
        <w:pStyle w:val="fd-document-box-redfd-document-box-descriptionpnth-last-child1"/>
        <w:pBdr>
          <w:top w:val="single" w:sz="6" w:space="12" w:color="D6D6D6"/>
          <w:left w:val="single" w:sz="24" w:space="24" w:color="FF6E6E"/>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Tout contrat d’assurance-vie souscrit par un époux commun en biens pendant le mariage est réputé constituer un acquêt de communauté et ce principe emporte diverses conséquences au moment du décès de l’un des époux.</w:t>
      </w:r>
    </w:p>
    <w:p>
      <w:pPr>
        <w:pStyle w:val="fd-chevron-lvl1"/>
        <w:pBdr>
          <w:left w:val="none" w:sz="0" w:space="15" w:color="auto"/>
        </w:pBdr>
        <w:spacing w:before="0" w:after="240" w:line="330" w:lineRule="atLeast"/>
        <w:ind w:left="300" w:right="0"/>
        <w:rPr>
          <w:b w:val="0"/>
          <w:bCs w:val="0"/>
          <w:color w:val="202020"/>
          <w:sz w:val="24"/>
          <w:szCs w:val="24"/>
        </w:rPr>
      </w:pPr>
      <w:r>
        <w:rPr>
          <w:b w:val="0"/>
          <w:bCs w:val="0"/>
          <w:color w:val="202020"/>
          <w:sz w:val="24"/>
          <w:szCs w:val="24"/>
        </w:rPr>
        <w:t>Que se passe t’il si les primes versées par un époux communs en biens proviennent de fonds propres ?</w:t>
      </w:r>
    </w:p>
    <w:tbl>
      <w:tblPr>
        <w:tblStyle w:val="table"/>
        <w:tblW w:w="5000" w:type="pct"/>
        <w:tblInd w:w="16" w:type="dxa"/>
        <w:tblBorders>
          <w:top w:val="outset" w:sz="6" w:space="0" w:color="808080"/>
          <w:left w:val="outset" w:sz="6" w:space="0" w:color="808080"/>
          <w:bottom w:val="outset" w:sz="6" w:space="0" w:color="808080"/>
          <w:right w:val="outset" w:sz="6" w:space="0" w:color="808080"/>
        </w:tblBorders>
        <w:shd w:val="clear" w:color="auto" w:fill="FFFFFF"/>
        <w:tblCellMar>
          <w:top w:w="0" w:type="dxa"/>
          <w:left w:w="0" w:type="dxa"/>
          <w:bottom w:w="0" w:type="dxa"/>
          <w:right w:w="0" w:type="dxa"/>
        </w:tblCellMar>
        <w:tblLook w:val="05E0"/>
      </w:tblPr>
      <w:tblGrid>
        <w:gridCol w:w="3261"/>
        <w:gridCol w:w="7610"/>
      </w:tblGrid>
      <w:tr>
        <w:tblPrEx>
          <w:tblW w:w="5000" w:type="pct"/>
          <w:tblInd w:w="16" w:type="dxa"/>
          <w:tblBorders>
            <w:top w:val="outset" w:sz="6" w:space="0" w:color="808080"/>
            <w:left w:val="outset" w:sz="6" w:space="0" w:color="808080"/>
            <w:bottom w:val="outset" w:sz="6" w:space="0" w:color="808080"/>
            <w:right w:val="outset" w:sz="6" w:space="0" w:color="808080"/>
          </w:tblBorders>
          <w:shd w:val="clear" w:color="auto" w:fill="FFFFFF"/>
          <w:tblCellMar>
            <w:top w:w="0" w:type="dxa"/>
            <w:left w:w="0" w:type="dxa"/>
            <w:bottom w:w="0" w:type="dxa"/>
            <w:right w:w="0" w:type="dxa"/>
          </w:tblCellMar>
          <w:tblLook w:val="05E0"/>
        </w:tblPrEx>
        <w:trPr>
          <w:tblHeader/>
        </w:trPr>
        <w:tc>
          <w:tcPr>
            <w:tcW w:w="1500" w:type="pct"/>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b/>
                <w:bCs/>
                <w:color w:val="202020"/>
                <w:sz w:val="21"/>
                <w:szCs w:val="21"/>
              </w:rPr>
            </w:pPr>
            <w:r>
              <w:rPr>
                <w:b/>
                <w:bCs/>
                <w:color w:val="202020"/>
                <w:sz w:val="21"/>
                <w:szCs w:val="21"/>
                <w:u w:val="single" w:color="202020"/>
              </w:rPr>
              <w:t xml:space="preserve">Souscription d’un nouveau contrat </w:t>
            </w:r>
            <w:r>
              <w:rPr>
                <w:b/>
                <w:bCs/>
                <w:color w:val="202020"/>
                <w:sz w:val="21"/>
                <w:szCs w:val="21"/>
                <w:u w:val="single" w:color="202020"/>
              </w:rPr>
              <w:br/>
            </w:r>
            <w:r>
              <w:rPr>
                <w:b/>
                <w:bCs/>
                <w:color w:val="202020"/>
                <w:sz w:val="21"/>
                <w:szCs w:val="21"/>
              </w:rPr>
              <w:t>avec des fonds propres</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u w:val="single" w:color="646464"/>
              </w:rPr>
              <w:t>Pour que ce contrat constitue un bien propre, il faut faire une déclaration d’emploi ou de remploi lors de la souscription du contrat</w:t>
            </w:r>
            <w:r>
              <w:rPr>
                <w:b w:val="0"/>
                <w:bCs w:val="0"/>
                <w:color w:val="646464"/>
                <w:sz w:val="21"/>
                <w:szCs w:val="21"/>
              </w:rPr>
              <w:t xml:space="preserve"> conformément aux dispositions de l’article 1434 et suivants du Code civil.</w:t>
            </w:r>
            <w:r>
              <w:rPr>
                <w:b w:val="0"/>
                <w:bCs w:val="0"/>
                <w:color w:val="646464"/>
                <w:sz w:val="21"/>
                <w:szCs w:val="21"/>
              </w:rPr>
              <w:br/>
            </w:r>
            <w:r>
              <w:rPr>
                <w:b w:val="0"/>
                <w:bCs w:val="0"/>
                <w:color w:val="646464"/>
                <w:sz w:val="21"/>
                <w:szCs w:val="21"/>
              </w:rPr>
              <w:t> A défaut, le contrat sera commun, à charge de récompense au profit du patrimoine souscripteur.</w:t>
            </w:r>
            <w:r>
              <w:rPr>
                <w:b w:val="0"/>
                <w:bCs w:val="0"/>
                <w:color w:val="646464"/>
                <w:sz w:val="21"/>
                <w:szCs w:val="21"/>
              </w:rPr>
              <w:br/>
            </w:r>
            <w:r>
              <w:rPr>
                <w:b w:val="0"/>
                <w:bCs w:val="0"/>
                <w:color w:val="646464"/>
                <w:sz w:val="21"/>
                <w:szCs w:val="21"/>
              </w:rPr>
              <w:br/>
            </w:r>
            <w:hyperlink r:id="rId6" w:tgtFrame="_blank" w:history="1">
              <w:r>
                <w:rPr>
                  <w:rStyle w:val="a"/>
                  <w:b w:val="0"/>
                  <w:bCs w:val="0"/>
                  <w:color w:val="4623EB"/>
                  <w:sz w:val="21"/>
                  <w:szCs w:val="21"/>
                </w:rPr>
                <w:t>Modèles - Assurance-vie</w:t>
              </w:r>
            </w:hyperlink>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 xml:space="preserve">Versement de fonds propres </w:t>
            </w:r>
            <w:r>
              <w:rPr>
                <w:color w:val="000000"/>
                <w:sz w:val="21"/>
                <w:szCs w:val="21"/>
                <w:u w:val="single" w:color="000000"/>
                <w:shd w:val="clear" w:color="auto" w:fill="D0E4EC"/>
              </w:rPr>
              <w:t>sur un contrat commun déjà existant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u w:val="single" w:color="646464"/>
              </w:rPr>
              <w:t>Une récompense</w:t>
            </w:r>
            <w:r>
              <w:rPr>
                <w:color w:val="646464"/>
                <w:sz w:val="21"/>
                <w:szCs w:val="21"/>
              </w:rPr>
              <w:t xml:space="preserve"> sera due par la communauté au profit de l’époux qui a apporté des fonds propres ou de sa succession.</w:t>
            </w:r>
            <w:r>
              <w:rPr>
                <w:color w:val="646464"/>
                <w:sz w:val="21"/>
                <w:szCs w:val="21"/>
              </w:rPr>
              <w:br/>
            </w:r>
            <w:r>
              <w:rPr>
                <w:color w:val="646464"/>
                <w:sz w:val="21"/>
                <w:szCs w:val="21"/>
              </w:rPr>
              <w:t>Le montant de cette récompense sera égal au montant versé augmenté des produits générés par cette somme.</w:t>
            </w:r>
          </w:p>
        </w:tc>
      </w:tr>
    </w:tbl>
    <w:p>
      <w:pPr>
        <w:pStyle w:val="Heading3"/>
        <w:pageBreakBefore w:val="0"/>
        <w:spacing w:before="0" w:after="240" w:line="330" w:lineRule="atLeast"/>
        <w:ind w:left="0" w:right="0"/>
        <w:rPr>
          <w:b/>
          <w:bCs/>
          <w:color w:val="202020"/>
          <w:sz w:val="28"/>
          <w:szCs w:val="24"/>
        </w:rPr>
      </w:pPr>
      <w:r>
        <w:rPr>
          <w:b/>
          <w:bCs/>
          <w:color w:val="202020"/>
          <w:sz w:val="24"/>
          <w:szCs w:val="24"/>
        </w:rPr>
        <w:t>3.3.</w:t>
      </w:r>
      <w:r>
        <w:rPr>
          <w:b/>
          <w:bCs/>
          <w:color w:val="202020"/>
          <w:sz w:val="24"/>
          <w:szCs w:val="24"/>
        </w:rPr>
        <w:t xml:space="preserve"> Que se passe-t'il au décès de l'un des époux communs en biens ?</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Au décès de l'époux souscripteur assuré ?</w:t>
      </w:r>
    </w:p>
    <w:p>
      <w:pPr>
        <w:pStyle w:val="p"/>
        <w:spacing w:before="0" w:after="180" w:line="330" w:lineRule="atLeast"/>
        <w:ind w:left="0" w:right="0"/>
        <w:rPr>
          <w:color w:val="646464"/>
          <w:sz w:val="24"/>
          <w:szCs w:val="24"/>
        </w:rPr>
      </w:pPr>
      <w:r>
        <w:rPr>
          <w:color w:val="646464"/>
          <w:sz w:val="24"/>
          <w:szCs w:val="24"/>
        </w:rPr>
        <w:t xml:space="preserve">Le bénéfice du contrat constitue </w:t>
      </w:r>
      <w:r>
        <w:rPr>
          <w:rStyle w:val="pspannotpucenotfd-update"/>
          <w:color w:val="646464"/>
          <w:sz w:val="24"/>
          <w:szCs w:val="24"/>
          <w:u w:val="single" w:color="646464"/>
        </w:rPr>
        <w:t>un bien propre</w:t>
      </w:r>
      <w:r>
        <w:rPr>
          <w:color w:val="646464"/>
          <w:sz w:val="24"/>
          <w:szCs w:val="24"/>
        </w:rPr>
        <w:t xml:space="preserve"> pour le conjoint survivant, quelle que soit l’origine des fonds qui ont servi à l’alimenter. Aucune récompense n’est due, sauf en cas de primes manifestement exagérées (voir infra).</w:t>
      </w:r>
    </w:p>
    <w:p>
      <w:pPr>
        <w:pStyle w:val="fd-document-box-redfd-document-box-title"/>
        <w:pageBreakBefore w:val="0"/>
        <w:pBdr>
          <w:top w:val="single" w:sz="6" w:space="12" w:color="D6D6D6"/>
          <w:left w:val="single" w:sz="24" w:space="24" w:color="FF6E6E"/>
          <w:bottom w:val="single" w:sz="6" w:space="12" w:color="D6D6D6"/>
          <w:right w:val="single" w:sz="6" w:space="24" w:color="D6D6D6"/>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 :</w:t>
      </w:r>
    </w:p>
    <w:p>
      <w:pPr>
        <w:pStyle w:val="fd-document-box-redfd-document-box-descriptionpnth-last-child1"/>
        <w:pBdr>
          <w:top w:val="single" w:sz="6" w:space="12" w:color="D6D6D6"/>
          <w:left w:val="single" w:sz="24" w:space="24" w:color="FF6E6E"/>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En cas de clause bénéficiaire démembrée, une récompense sera due au patrimoine souscripteur pour le montant des primes à concurrence de la nue-propriété.</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En cas de prédécès de l'époux bénéficiaire ?</w:t>
      </w:r>
    </w:p>
    <w:p>
      <w:pPr>
        <w:pStyle w:val="p"/>
        <w:spacing w:before="0" w:after="180" w:line="330" w:lineRule="atLeast"/>
        <w:ind w:left="0" w:right="0"/>
        <w:rPr>
          <w:color w:val="646464"/>
          <w:sz w:val="24"/>
          <w:szCs w:val="24"/>
        </w:rPr>
      </w:pPr>
      <w:r>
        <w:rPr>
          <w:color w:val="646464"/>
          <w:sz w:val="24"/>
          <w:szCs w:val="24"/>
        </w:rPr>
        <w:t xml:space="preserve">Si le contrat a été alimenté au moyen de fonds communs, le contrat d’assurance-vie constitue </w:t>
      </w:r>
      <w:r>
        <w:rPr>
          <w:rStyle w:val="pspannotpucenotfd-update"/>
          <w:color w:val="646464"/>
          <w:sz w:val="24"/>
          <w:szCs w:val="24"/>
          <w:u w:val="single" w:color="646464"/>
        </w:rPr>
        <w:t>un acquêt</w:t>
      </w:r>
      <w:r>
        <w:rPr>
          <w:color w:val="646464"/>
          <w:sz w:val="24"/>
          <w:szCs w:val="24"/>
        </w:rPr>
        <w:t xml:space="preserve"> et la valeur de rachat doit être intégrée dans l’actif de communauté (arrêt Praslicka).</w:t>
      </w:r>
    </w:p>
    <w:p>
      <w:pPr>
        <w:pStyle w:val="p"/>
        <w:spacing w:before="0" w:after="180" w:line="330" w:lineRule="atLeast"/>
        <w:ind w:left="0" w:right="0"/>
        <w:rPr>
          <w:color w:val="646464"/>
          <w:sz w:val="24"/>
          <w:szCs w:val="24"/>
        </w:rPr>
      </w:pPr>
      <w:r>
        <w:rPr>
          <w:color w:val="646464"/>
          <w:sz w:val="24"/>
          <w:szCs w:val="24"/>
        </w:rPr>
        <w:t xml:space="preserve">Ainsi, en cas de prédécès du conjoint du souscripteur, </w:t>
      </w:r>
      <w:r>
        <w:rPr>
          <w:rStyle w:val="pspannotpucenotfd-update"/>
          <w:color w:val="646464"/>
          <w:sz w:val="24"/>
          <w:szCs w:val="24"/>
          <w:u w:val="single" w:color="646464"/>
        </w:rPr>
        <w:t xml:space="preserve">la valeur de rachat fera partie pour moitié de l’actif successoral sur le plan civil. </w:t>
      </w:r>
    </w:p>
    <w:p>
      <w:pPr>
        <w:pStyle w:val="fd-document-box-bluefd-document-box-title"/>
        <w:pageBreakBefore w:val="0"/>
        <w:pBdr>
          <w:top w:val="single" w:sz="6" w:space="12" w:color="D6D6D6"/>
          <w:left w:val="single" w:sz="24" w:space="24" w:color="4623EB"/>
          <w:bottom w:val="single" w:sz="6" w:space="12" w:color="D6D6D6"/>
          <w:right w:val="single" w:sz="6" w:space="24" w:color="D6D6D6"/>
        </w:pBdr>
        <w:shd w:val="clear" w:color="auto" w:fill="F5F5F5"/>
        <w:spacing w:before="0" w:after="240" w:line="240" w:lineRule="atLeast"/>
        <w:ind w:left="540" w:right="495"/>
        <w:outlineLvl w:val="4"/>
        <w:rPr>
          <w:b/>
          <w:bCs/>
          <w:color w:val="4623EB"/>
          <w:sz w:val="18"/>
          <w:szCs w:val="18"/>
        </w:rPr>
      </w:pPr>
      <w:r>
        <w:rPr>
          <w:b/>
          <w:bCs/>
          <w:color w:val="4623EB"/>
          <w:sz w:val="18"/>
          <w:szCs w:val="18"/>
        </w:rPr>
        <w:t>Rappel :</w:t>
      </w:r>
    </w:p>
    <w:p>
      <w:pPr>
        <w:pStyle w:val="fd-document-box-bluefd-document-box-descriptionpnth-last-child1"/>
        <w:pBdr>
          <w:top w:val="single" w:sz="6" w:space="12" w:color="D6D6D6"/>
          <w:left w:val="single" w:sz="24" w:space="24" w:color="4623EB"/>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Sur le plan fiscal, cette réintégration est sans influence sur le calcul des droits (RM Ciot).</w:t>
      </w:r>
    </w:p>
    <w:p>
      <w:pPr>
        <w:pStyle w:val="p"/>
        <w:spacing w:before="0" w:after="180" w:line="330" w:lineRule="atLeast"/>
        <w:ind w:left="0" w:right="0"/>
        <w:rPr>
          <w:color w:val="646464"/>
          <w:sz w:val="24"/>
          <w:szCs w:val="24"/>
        </w:rPr>
      </w:pPr>
      <w:r>
        <w:rPr>
          <w:rStyle w:val="pspannotpucenotfd-update"/>
          <w:color w:val="646464"/>
          <w:sz w:val="24"/>
          <w:szCs w:val="24"/>
          <w:u w:val="single" w:color="646464"/>
        </w:rPr>
        <w:t>Quelles solutions peuvent être préconisées</w:t>
      </w:r>
      <w:r>
        <w:rPr>
          <w:color w:val="646464"/>
          <w:sz w:val="24"/>
          <w:szCs w:val="24"/>
        </w:rPr>
        <w:t xml:space="preserve"> ?</w:t>
      </w:r>
    </w:p>
    <w:p>
      <w:pPr>
        <w:pStyle w:val="linotnth-last-child1"/>
        <w:numPr>
          <w:ilvl w:val="0"/>
          <w:numId w:val="34"/>
        </w:numPr>
        <w:spacing w:before="240" w:after="240" w:line="330" w:lineRule="atLeast"/>
        <w:ind w:left="720" w:right="0" w:hanging="360"/>
        <w:jc w:val="left"/>
        <w:rPr>
          <w:color w:val="646464"/>
          <w:sz w:val="24"/>
          <w:szCs w:val="24"/>
        </w:rPr>
      </w:pPr>
      <w:r>
        <w:rPr>
          <w:color w:val="646464"/>
          <w:sz w:val="24"/>
          <w:szCs w:val="24"/>
        </w:rPr>
        <w:t xml:space="preserve">Un </w:t>
      </w:r>
      <w:r>
        <w:rPr>
          <w:color w:val="646464"/>
          <w:sz w:val="24"/>
          <w:szCs w:val="24"/>
          <w:u w:val="single" w:color="646464"/>
        </w:rPr>
        <w:t>aménagement du régime matrimonial</w:t>
      </w:r>
      <w:r>
        <w:rPr>
          <w:color w:val="646464"/>
          <w:sz w:val="24"/>
          <w:szCs w:val="24"/>
        </w:rPr>
        <w:t xml:space="preserve"> : clause de préciput portant sur le contrat, attribution intégrale de communauté, etc.</w:t>
      </w:r>
      <w:r>
        <w:rPr>
          <w:color w:val="646464"/>
          <w:sz w:val="24"/>
          <w:szCs w:val="24"/>
        </w:rPr>
        <w:br/>
      </w:r>
      <w:r>
        <w:rPr>
          <w:color w:val="646464"/>
          <w:sz w:val="24"/>
          <w:szCs w:val="24"/>
          <w:u w:val="single" w:color="646464"/>
        </w:rPr>
        <w:t>Contraintes</w:t>
      </w:r>
      <w:r>
        <w:rPr>
          <w:color w:val="646464"/>
          <w:sz w:val="24"/>
          <w:szCs w:val="24"/>
        </w:rPr>
        <w:t xml:space="preserve"> : coût de la mise en place variable selon la situation familiale, droit de partage à 2,5 % lors du prélèvement, cas des familles recomposées avec l’action en retranchement dont bénéficient les enfants du premier lit.</w:t>
      </w:r>
    </w:p>
    <w:p>
      <w:pPr>
        <w:numPr>
          <w:ilvl w:val="0"/>
          <w:numId w:val="34"/>
        </w:numPr>
        <w:spacing w:after="240" w:line="330" w:lineRule="atLeast"/>
        <w:ind w:left="720" w:right="0" w:hanging="360"/>
        <w:jc w:val="left"/>
        <w:rPr>
          <w:color w:val="646464"/>
          <w:sz w:val="24"/>
          <w:szCs w:val="24"/>
        </w:rPr>
      </w:pPr>
      <w:r>
        <w:rPr>
          <w:color w:val="646464"/>
          <w:sz w:val="24"/>
          <w:szCs w:val="24"/>
        </w:rPr>
        <w:t xml:space="preserve">Une </w:t>
      </w:r>
      <w:r>
        <w:rPr>
          <w:color w:val="646464"/>
          <w:sz w:val="24"/>
          <w:szCs w:val="24"/>
          <w:u w:val="single" w:color="646464"/>
        </w:rPr>
        <w:t>donation entre époux</w:t>
      </w:r>
      <w:r>
        <w:rPr>
          <w:color w:val="646464"/>
          <w:sz w:val="24"/>
          <w:szCs w:val="24"/>
        </w:rPr>
        <w:t xml:space="preserve"> pour permettre au conjoint de cantonner ses droits sur les actifs de son choix.</w:t>
      </w:r>
    </w:p>
    <w:p>
      <w:pPr>
        <w:pStyle w:val="Heading3"/>
        <w:pageBreakBefore w:val="0"/>
        <w:spacing w:before="0" w:after="240" w:line="330" w:lineRule="atLeast"/>
        <w:ind w:left="0" w:right="0"/>
        <w:rPr>
          <w:b/>
          <w:bCs/>
          <w:color w:val="202020"/>
          <w:sz w:val="28"/>
          <w:szCs w:val="24"/>
        </w:rPr>
      </w:pPr>
      <w:r>
        <w:rPr>
          <w:b/>
          <w:bCs/>
          <w:color w:val="202020"/>
          <w:sz w:val="24"/>
          <w:szCs w:val="24"/>
        </w:rPr>
        <w:t>3.4.</w:t>
      </w:r>
      <w:r>
        <w:rPr>
          <w:b/>
          <w:bCs/>
          <w:color w:val="202020"/>
          <w:sz w:val="24"/>
          <w:szCs w:val="24"/>
        </w:rPr>
        <w:t xml:space="preserve"> Que se passe-t'il en cas de divorce ?</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Les effets de la clause bénéficiaire :</w:t>
      </w:r>
    </w:p>
    <w:p>
      <w:pPr>
        <w:pStyle w:val="p"/>
        <w:spacing w:before="0" w:after="180" w:line="330" w:lineRule="atLeast"/>
        <w:ind w:left="0" w:right="0"/>
        <w:rPr>
          <w:color w:val="646464"/>
          <w:sz w:val="24"/>
          <w:szCs w:val="24"/>
        </w:rPr>
      </w:pPr>
      <w:r>
        <w:rPr>
          <w:color w:val="646464"/>
          <w:sz w:val="24"/>
          <w:szCs w:val="24"/>
        </w:rPr>
        <w:t xml:space="preserve">Si l’époux souscripteur divorcé ne modifie pas la clause bénéficiaire avant son décès, alors le contrat d’assurance vie souscrit au profit de « </w:t>
      </w:r>
      <w:r>
        <w:rPr>
          <w:i/>
          <w:iCs/>
          <w:color w:val="646464"/>
          <w:sz w:val="24"/>
          <w:szCs w:val="24"/>
        </w:rPr>
        <w:t>mon conjoint</w:t>
      </w:r>
      <w:r>
        <w:rPr>
          <w:color w:val="646464"/>
          <w:sz w:val="24"/>
          <w:szCs w:val="24"/>
        </w:rPr>
        <w:t xml:space="preserve"> » bénéficiera à la personne qui aura cette qualité au jour du décès de l’assuré.</w:t>
      </w:r>
    </w:p>
    <w:p>
      <w:pPr>
        <w:pStyle w:val="p"/>
        <w:spacing w:before="0" w:after="180" w:line="330" w:lineRule="atLeast"/>
        <w:ind w:left="0" w:right="0"/>
        <w:rPr>
          <w:color w:val="646464"/>
          <w:sz w:val="24"/>
          <w:szCs w:val="24"/>
        </w:rPr>
      </w:pPr>
      <w:r>
        <w:rPr>
          <w:rStyle w:val="pspannotpucenotfd-update"/>
          <w:color w:val="646464"/>
          <w:sz w:val="24"/>
          <w:szCs w:val="24"/>
          <w:u w:val="single" w:color="646464"/>
        </w:rPr>
        <w:t>Ainsi :</w:t>
      </w:r>
    </w:p>
    <w:p>
      <w:pPr>
        <w:pStyle w:val="linotnth-last-child1"/>
        <w:numPr>
          <w:ilvl w:val="0"/>
          <w:numId w:val="35"/>
        </w:numPr>
        <w:spacing w:before="240" w:after="240" w:line="330" w:lineRule="atLeast"/>
        <w:ind w:left="720" w:right="0" w:hanging="360"/>
        <w:jc w:val="left"/>
        <w:rPr>
          <w:color w:val="646464"/>
          <w:sz w:val="24"/>
          <w:szCs w:val="24"/>
        </w:rPr>
      </w:pPr>
      <w:r>
        <w:rPr>
          <w:color w:val="646464"/>
          <w:sz w:val="24"/>
          <w:szCs w:val="24"/>
        </w:rPr>
        <w:t>si l’époux souscripteur se remarie, c’est le nouveau conjoint qui sera bénéficiaire en cas de décès ;</w:t>
      </w:r>
    </w:p>
    <w:p>
      <w:pPr>
        <w:numPr>
          <w:ilvl w:val="0"/>
          <w:numId w:val="35"/>
        </w:numPr>
        <w:spacing w:after="240" w:line="330" w:lineRule="atLeast"/>
        <w:ind w:left="720" w:right="0" w:hanging="360"/>
        <w:jc w:val="left"/>
        <w:rPr>
          <w:color w:val="646464"/>
          <w:sz w:val="24"/>
          <w:szCs w:val="24"/>
        </w:rPr>
      </w:pPr>
      <w:r>
        <w:rPr>
          <w:color w:val="646464"/>
          <w:sz w:val="24"/>
          <w:szCs w:val="24"/>
        </w:rPr>
        <w:t>si l’époux souscripteur ne se remarie pas, les capitaux seront transmis aux bénéficiaires de second rang</w:t>
      </w:r>
    </w:p>
    <w:p>
      <w:pPr>
        <w:pStyle w:val="fd-document-box-redfd-document-box-title"/>
        <w:pageBreakBefore w:val="0"/>
        <w:pBdr>
          <w:top w:val="single" w:sz="6" w:space="12" w:color="D6D6D6"/>
          <w:left w:val="single" w:sz="24" w:space="24" w:color="FF6E6E"/>
          <w:bottom w:val="single" w:sz="6" w:space="12" w:color="D6D6D6"/>
          <w:right w:val="single" w:sz="6" w:space="24" w:color="D6D6D6"/>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 :</w:t>
      </w:r>
    </w:p>
    <w:p>
      <w:pPr>
        <w:pStyle w:val="fd-document-box-redfd-document-box-descriptionpnth-last-child1"/>
        <w:pBdr>
          <w:top w:val="single" w:sz="6" w:space="12" w:color="D6D6D6"/>
          <w:left w:val="single" w:sz="24" w:space="24" w:color="FF6E6E"/>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Si le conjoint est désigné comme bénéficiaire par son nom, le divorce ne l’écarte pas du bénéfice du contrat.</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Le partage de la valeur de rachat :</w:t>
      </w:r>
    </w:p>
    <w:p>
      <w:pPr>
        <w:pStyle w:val="p"/>
        <w:spacing w:before="0" w:after="240" w:line="330" w:lineRule="atLeast"/>
        <w:ind w:left="0" w:right="0"/>
        <w:rPr>
          <w:color w:val="646464"/>
          <w:sz w:val="24"/>
          <w:szCs w:val="24"/>
        </w:rPr>
      </w:pPr>
      <w:r>
        <w:rPr>
          <w:color w:val="646464"/>
          <w:sz w:val="24"/>
          <w:szCs w:val="24"/>
        </w:rPr>
        <w:t>Si le contrat a été alimenté au moyen de fonds communs, il constitue un acquêt et la valeur de rachat doit être intégrée dans l’actif de communauté à partager (arrêt Praslicka).</w:t>
      </w:r>
    </w:p>
    <w:p>
      <w:pPr>
        <w:pStyle w:val="Heading3"/>
        <w:pageBreakBefore w:val="0"/>
        <w:spacing w:before="0" w:after="240" w:line="330" w:lineRule="atLeast"/>
        <w:ind w:left="0" w:right="0"/>
        <w:rPr>
          <w:b/>
          <w:bCs/>
          <w:color w:val="202020"/>
          <w:sz w:val="28"/>
          <w:szCs w:val="24"/>
        </w:rPr>
      </w:pPr>
      <w:r>
        <w:rPr>
          <w:b/>
          <w:bCs/>
          <w:color w:val="202020"/>
          <w:sz w:val="24"/>
          <w:szCs w:val="24"/>
        </w:rPr>
        <w:t>3.5.</w:t>
      </w:r>
      <w:r>
        <w:rPr>
          <w:b/>
          <w:bCs/>
          <w:color w:val="202020"/>
          <w:sz w:val="24"/>
          <w:szCs w:val="24"/>
        </w:rPr>
        <w:t xml:space="preserve"> Focus : contrat d'assurance-vie et participation aux acquêts</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Rappel des principes régissant le régime de la participation aux acquêts</w:t>
      </w:r>
    </w:p>
    <w:p>
      <w:pPr>
        <w:pStyle w:val="fd-chevron-lvl2"/>
        <w:pBdr>
          <w:left w:val="none" w:sz="0" w:space="18" w:color="auto"/>
        </w:pBdr>
        <w:spacing w:before="0" w:after="180" w:line="330" w:lineRule="atLeast"/>
        <w:ind w:left="360" w:right="0"/>
        <w:rPr>
          <w:b w:val="0"/>
          <w:bCs w:val="0"/>
          <w:color w:val="202020"/>
          <w:sz w:val="24"/>
          <w:szCs w:val="24"/>
        </w:rPr>
      </w:pPr>
      <w:r>
        <w:rPr>
          <w:b w:val="0"/>
          <w:bCs w:val="0"/>
          <w:color w:val="202020"/>
          <w:sz w:val="24"/>
          <w:szCs w:val="24"/>
        </w:rPr>
        <w:t>Pendant le mariage</w:t>
      </w:r>
    </w:p>
    <w:p>
      <w:pPr>
        <w:pStyle w:val="p"/>
        <w:spacing w:before="0" w:after="180" w:line="330" w:lineRule="atLeast"/>
        <w:ind w:left="0" w:right="0"/>
        <w:rPr>
          <w:color w:val="646464"/>
          <w:sz w:val="24"/>
          <w:szCs w:val="24"/>
        </w:rPr>
      </w:pPr>
      <w:r>
        <w:rPr>
          <w:color w:val="646464"/>
          <w:sz w:val="24"/>
          <w:szCs w:val="24"/>
        </w:rPr>
        <w:t>Les époux sont considérés comme étant séparés de biens.</w:t>
      </w:r>
    </w:p>
    <w:p>
      <w:pPr>
        <w:pStyle w:val="fd-chevron-lvl2"/>
        <w:pBdr>
          <w:left w:val="none" w:sz="0" w:space="18" w:color="auto"/>
        </w:pBdr>
        <w:spacing w:before="0" w:after="180" w:line="330" w:lineRule="atLeast"/>
        <w:ind w:left="360" w:right="0"/>
        <w:rPr>
          <w:b w:val="0"/>
          <w:bCs w:val="0"/>
          <w:color w:val="202020"/>
          <w:sz w:val="24"/>
          <w:szCs w:val="24"/>
        </w:rPr>
      </w:pPr>
      <w:r>
        <w:rPr>
          <w:b w:val="0"/>
          <w:bCs w:val="0"/>
          <w:color w:val="202020"/>
          <w:sz w:val="24"/>
          <w:szCs w:val="24"/>
        </w:rPr>
        <w:t>Lors de la liquidation du régime par divorce ou par décès</w:t>
      </w:r>
    </w:p>
    <w:p>
      <w:pPr>
        <w:pStyle w:val="p"/>
        <w:spacing w:before="0" w:after="180" w:line="330" w:lineRule="atLeast"/>
        <w:ind w:left="0" w:right="0"/>
        <w:rPr>
          <w:color w:val="646464"/>
          <w:sz w:val="24"/>
          <w:szCs w:val="24"/>
        </w:rPr>
      </w:pPr>
      <w:r>
        <w:rPr>
          <w:color w:val="646464"/>
          <w:sz w:val="24"/>
          <w:szCs w:val="24"/>
        </w:rPr>
        <w:t>Chacun des époux a droit de participer pour moitié en valeur aux acquêts effectués par son conjoint, lesquels sont mesurés par la différence entre le patrimoine originaire et le patrimoine final.</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Le sort du contrat d'assurance-vie lors de la liquidation du régime</w:t>
      </w:r>
    </w:p>
    <w:p>
      <w:pPr>
        <w:pStyle w:val="p"/>
        <w:spacing w:before="0" w:after="180" w:line="330" w:lineRule="atLeast"/>
        <w:ind w:left="0" w:right="0"/>
        <w:rPr>
          <w:color w:val="646464"/>
          <w:sz w:val="24"/>
          <w:szCs w:val="24"/>
        </w:rPr>
      </w:pPr>
      <w:r>
        <w:rPr>
          <w:color w:val="646464"/>
          <w:sz w:val="24"/>
          <w:szCs w:val="24"/>
        </w:rPr>
        <w:t>Le contrat d’assurance vie souscrit au cours du mariage relèvera du patrimoine final de l’époux souscripteur et fera partie de son enrichissement sauf :</w:t>
      </w:r>
    </w:p>
    <w:p>
      <w:pPr>
        <w:pStyle w:val="linotnth-last-child1"/>
        <w:numPr>
          <w:ilvl w:val="0"/>
          <w:numId w:val="36"/>
        </w:numPr>
        <w:spacing w:before="240" w:after="240" w:line="330" w:lineRule="atLeast"/>
        <w:ind w:left="720" w:right="0" w:hanging="360"/>
        <w:jc w:val="left"/>
        <w:rPr>
          <w:color w:val="646464"/>
          <w:sz w:val="24"/>
          <w:szCs w:val="24"/>
        </w:rPr>
      </w:pPr>
      <w:r>
        <w:rPr>
          <w:color w:val="646464"/>
          <w:sz w:val="24"/>
          <w:szCs w:val="24"/>
        </w:rPr>
        <w:t>si l’époux justifie que le contrat fait partie de son patrimoine originaire grâce à une clause de remploi de fonds lui appartenant avant le mariage ou lui provenant d’une succession ou d’une donation</w:t>
      </w:r>
    </w:p>
    <w:p>
      <w:pPr>
        <w:numPr>
          <w:ilvl w:val="0"/>
          <w:numId w:val="36"/>
        </w:numPr>
        <w:spacing w:after="240" w:line="330" w:lineRule="atLeast"/>
        <w:ind w:left="720" w:right="0" w:hanging="360"/>
        <w:jc w:val="left"/>
        <w:rPr>
          <w:color w:val="646464"/>
          <w:sz w:val="24"/>
          <w:szCs w:val="24"/>
        </w:rPr>
      </w:pPr>
      <w:r>
        <w:rPr>
          <w:color w:val="646464"/>
          <w:sz w:val="24"/>
          <w:szCs w:val="24"/>
        </w:rPr>
        <w:t>si le contrat de mariage stipule que les contrats d’assurance-vie souscrits par les époux sont considérés comme faisant partie de leur patrimoine originaire, quelle que soit l’origine des fonds.</w:t>
      </w:r>
    </w:p>
    <w:p>
      <w:pPr>
        <w:pStyle w:val="p"/>
        <w:spacing w:before="0" w:after="180" w:line="330" w:lineRule="atLeast"/>
        <w:ind w:left="0" w:right="0"/>
        <w:rPr>
          <w:color w:val="646464"/>
          <w:sz w:val="24"/>
          <w:szCs w:val="24"/>
        </w:rPr>
      </w:pPr>
      <w:r>
        <w:rPr>
          <w:rStyle w:val="pspannotpucenotfd-update"/>
          <w:color w:val="646464"/>
          <w:sz w:val="24"/>
          <w:szCs w:val="24"/>
          <w:u w:val="single" w:color="646464"/>
        </w:rPr>
        <w:t>Ainsi</w:t>
      </w:r>
      <w:r>
        <w:rPr>
          <w:color w:val="646464"/>
          <w:sz w:val="24"/>
          <w:szCs w:val="24"/>
        </w:rPr>
        <w:t xml:space="preserve"> :</w:t>
      </w:r>
    </w:p>
    <w:p>
      <w:pPr>
        <w:pStyle w:val="linotnth-last-child1"/>
        <w:numPr>
          <w:ilvl w:val="0"/>
          <w:numId w:val="37"/>
        </w:numPr>
        <w:spacing w:before="240" w:after="240" w:line="330" w:lineRule="atLeast"/>
        <w:ind w:left="720" w:right="0" w:hanging="360"/>
        <w:jc w:val="left"/>
        <w:rPr>
          <w:color w:val="646464"/>
          <w:sz w:val="24"/>
          <w:szCs w:val="24"/>
        </w:rPr>
      </w:pPr>
      <w:r>
        <w:rPr>
          <w:color w:val="646464"/>
          <w:sz w:val="24"/>
          <w:szCs w:val="24"/>
        </w:rPr>
        <w:t>en cas de décès de l’époux souscripteur : si le conjoint survivant est bénéficiaire, le contrat n’a pas à figurer dans la liquidation ;</w:t>
      </w:r>
    </w:p>
    <w:p>
      <w:pPr>
        <w:numPr>
          <w:ilvl w:val="0"/>
          <w:numId w:val="37"/>
        </w:numPr>
        <w:spacing w:after="240" w:line="330" w:lineRule="atLeast"/>
        <w:ind w:left="720" w:right="0" w:hanging="360"/>
        <w:jc w:val="left"/>
        <w:rPr>
          <w:color w:val="646464"/>
          <w:sz w:val="24"/>
          <w:szCs w:val="24"/>
        </w:rPr>
      </w:pPr>
      <w:r>
        <w:rPr>
          <w:color w:val="646464"/>
          <w:sz w:val="24"/>
          <w:szCs w:val="24"/>
        </w:rPr>
        <w:t>en cas de prédécès de l’époux bénéficiaire : la valeur de rachat du contrat non dénoué doit figurer dans le patrimoine final du défunt si celui a été souscrit ou alimenté au moyen de deniers-acquêts (transposition de la jurisprudence Praslicka)</w:t>
      </w:r>
    </w:p>
    <w:p>
      <w:pPr>
        <w:pStyle w:val="Heading3"/>
        <w:pageBreakBefore w:val="0"/>
        <w:spacing w:before="0" w:after="240" w:line="330" w:lineRule="atLeast"/>
        <w:ind w:left="0" w:right="0"/>
        <w:rPr>
          <w:b/>
          <w:bCs/>
          <w:color w:val="202020"/>
          <w:sz w:val="28"/>
          <w:szCs w:val="24"/>
        </w:rPr>
      </w:pPr>
      <w:r>
        <w:rPr>
          <w:b/>
          <w:bCs/>
          <w:color w:val="202020"/>
          <w:sz w:val="24"/>
          <w:szCs w:val="24"/>
        </w:rPr>
        <w:t>3.6.</w:t>
      </w:r>
      <w:r>
        <w:rPr>
          <w:b/>
          <w:bCs/>
          <w:color w:val="202020"/>
          <w:sz w:val="24"/>
          <w:szCs w:val="24"/>
        </w:rPr>
        <w:t xml:space="preserve"> Point d'alerte : attention au recel</w:t>
      </w:r>
    </w:p>
    <w:p>
      <w:pPr>
        <w:pStyle w:val="p"/>
        <w:spacing w:before="0" w:after="180" w:line="330" w:lineRule="atLeast"/>
        <w:ind w:left="0" w:right="0"/>
        <w:rPr>
          <w:color w:val="646464"/>
          <w:sz w:val="24"/>
          <w:szCs w:val="24"/>
        </w:rPr>
      </w:pPr>
      <w:r>
        <w:rPr>
          <w:color w:val="646464"/>
          <w:sz w:val="24"/>
          <w:szCs w:val="24"/>
        </w:rPr>
        <w:t>L’époux qui dissimule l’existence d’un contrat d’assurance-vie au moment du divorce ou du décès de son conjoint est susceptible de commettre un recel.</w:t>
      </w:r>
    </w:p>
    <w:p>
      <w:pPr>
        <w:pStyle w:val="p"/>
        <w:spacing w:before="0" w:after="180" w:line="330" w:lineRule="atLeast"/>
        <w:ind w:left="0" w:right="0"/>
        <w:rPr>
          <w:color w:val="646464"/>
          <w:sz w:val="24"/>
          <w:szCs w:val="24"/>
        </w:rPr>
      </w:pPr>
      <w:r>
        <w:rPr>
          <w:rStyle w:val="pspannotpucenotfd-update"/>
          <w:color w:val="646464"/>
          <w:sz w:val="24"/>
          <w:szCs w:val="24"/>
          <w:u w:val="single" w:color="646464"/>
        </w:rPr>
        <w:t>Conséquences d'un recel</w:t>
      </w:r>
      <w:r>
        <w:rPr>
          <w:color w:val="646464"/>
          <w:sz w:val="24"/>
          <w:szCs w:val="24"/>
        </w:rPr>
        <w:t xml:space="preserve"> :</w:t>
      </w:r>
    </w:p>
    <w:p>
      <w:pPr>
        <w:pStyle w:val="p"/>
        <w:spacing w:before="0" w:after="180" w:line="330" w:lineRule="atLeast"/>
        <w:ind w:left="0" w:right="0"/>
        <w:rPr>
          <w:color w:val="646464"/>
          <w:sz w:val="24"/>
          <w:szCs w:val="24"/>
        </w:rPr>
      </w:pPr>
      <w:r>
        <w:rPr>
          <w:color w:val="646464"/>
          <w:sz w:val="24"/>
          <w:szCs w:val="24"/>
        </w:rPr>
        <w:t>L’époux ou le conjoint survivant coupable de recel :</w:t>
      </w:r>
    </w:p>
    <w:p>
      <w:pPr>
        <w:pStyle w:val="linotnth-last-child1"/>
        <w:numPr>
          <w:ilvl w:val="0"/>
          <w:numId w:val="38"/>
        </w:numPr>
        <w:spacing w:before="240" w:after="240" w:line="330" w:lineRule="atLeast"/>
        <w:ind w:left="720" w:right="0" w:hanging="360"/>
        <w:jc w:val="left"/>
        <w:rPr>
          <w:color w:val="646464"/>
          <w:sz w:val="24"/>
          <w:szCs w:val="24"/>
        </w:rPr>
      </w:pPr>
      <w:r>
        <w:rPr>
          <w:color w:val="646464"/>
          <w:sz w:val="24"/>
          <w:szCs w:val="24"/>
        </w:rPr>
        <w:t>ne peut prétendre à aucune part dans le bien recelé ;</w:t>
      </w:r>
    </w:p>
    <w:p>
      <w:pPr>
        <w:pStyle w:val="linotnth-last-child1"/>
        <w:numPr>
          <w:ilvl w:val="0"/>
          <w:numId w:val="38"/>
        </w:numPr>
        <w:spacing w:after="240" w:line="330" w:lineRule="atLeast"/>
        <w:ind w:left="720" w:right="0" w:hanging="360"/>
        <w:jc w:val="left"/>
        <w:rPr>
          <w:color w:val="646464"/>
          <w:sz w:val="24"/>
          <w:szCs w:val="24"/>
        </w:rPr>
      </w:pPr>
      <w:r>
        <w:rPr>
          <w:color w:val="646464"/>
          <w:sz w:val="24"/>
          <w:szCs w:val="24"/>
        </w:rPr>
        <w:t>est réputé avoir accepté purement et simplement la succession ;</w:t>
      </w:r>
    </w:p>
    <w:p>
      <w:pPr>
        <w:numPr>
          <w:ilvl w:val="0"/>
          <w:numId w:val="38"/>
        </w:numPr>
        <w:spacing w:after="240" w:line="330" w:lineRule="atLeast"/>
        <w:ind w:left="720" w:right="0" w:hanging="360"/>
        <w:jc w:val="left"/>
        <w:rPr>
          <w:color w:val="646464"/>
          <w:sz w:val="24"/>
          <w:szCs w:val="24"/>
        </w:rPr>
      </w:pPr>
      <w:r>
        <w:rPr>
          <w:color w:val="646464"/>
          <w:sz w:val="24"/>
          <w:szCs w:val="24"/>
        </w:rPr>
        <w:t>doit restituer tous les revenus produits par les biens recelés dont il a eu la jouissance depuis la liquidation de la communauté.</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4.</w:t>
      </w:r>
      <w:r>
        <w:rPr>
          <w:b/>
          <w:bCs/>
          <w:caps w:val="0"/>
          <w:color w:val="202020"/>
          <w:sz w:val="27"/>
          <w:szCs w:val="27"/>
        </w:rPr>
        <w:t xml:space="preserve"> Une protection en marge des règles successorales</w:t>
      </w:r>
    </w:p>
    <w:p>
      <w:pPr>
        <w:pStyle w:val="p"/>
        <w:spacing w:before="0" w:after="240" w:line="330" w:lineRule="atLeast"/>
        <w:ind w:left="0" w:right="0"/>
        <w:rPr>
          <w:color w:val="646464"/>
          <w:sz w:val="24"/>
          <w:szCs w:val="24"/>
        </w:rPr>
      </w:pPr>
      <w:r>
        <w:rPr>
          <w:color w:val="646464"/>
          <w:sz w:val="24"/>
          <w:szCs w:val="24"/>
        </w:rPr>
        <w:t xml:space="preserve">Un des atouts majeurs de l’assurance-vie réside dans la faculté qu’a le souscripteur de désigner le(s) bénéficiaire(s) de son choix et de lui </w:t>
      </w:r>
      <w:r>
        <w:rPr>
          <w:color w:val="646464"/>
          <w:sz w:val="24"/>
          <w:szCs w:val="24"/>
          <w:u w:val="single" w:color="646464"/>
        </w:rPr>
        <w:t>transmettre un capital ou une rente en dehors du cadre de la succession</w:t>
      </w:r>
      <w:r>
        <w:rPr>
          <w:color w:val="646464"/>
          <w:sz w:val="24"/>
          <w:szCs w:val="24"/>
        </w:rPr>
        <w:t>, donc sans avoir à respecter les règles du droit civil (sous réserve que les primes ne soient pas manifestement exagérées).</w:t>
      </w:r>
    </w:p>
    <w:p>
      <w:pPr>
        <w:pStyle w:val="Heading3"/>
        <w:pageBreakBefore w:val="0"/>
        <w:spacing w:before="0" w:after="240" w:line="330" w:lineRule="atLeast"/>
        <w:ind w:left="0" w:right="0"/>
        <w:rPr>
          <w:b/>
          <w:bCs/>
          <w:color w:val="202020"/>
          <w:sz w:val="28"/>
          <w:szCs w:val="24"/>
        </w:rPr>
      </w:pPr>
      <w:r>
        <w:rPr>
          <w:b/>
          <w:bCs/>
          <w:color w:val="202020"/>
          <w:sz w:val="24"/>
          <w:szCs w:val="24"/>
        </w:rPr>
        <w:t>4.1.</w:t>
      </w:r>
      <w:r>
        <w:rPr>
          <w:b/>
          <w:bCs/>
          <w:color w:val="202020"/>
          <w:sz w:val="24"/>
          <w:szCs w:val="24"/>
        </w:rPr>
        <w:t xml:space="preserve"> Principe : les sommes reçues par le bénéficiaire n'ont pas été réintégrées dans la succession</w:t>
      </w:r>
    </w:p>
    <w:p>
      <w:pPr>
        <w:pStyle w:val="p"/>
        <w:spacing w:before="0" w:after="180" w:line="330" w:lineRule="atLeast"/>
        <w:ind w:left="0" w:right="0"/>
        <w:rPr>
          <w:color w:val="646464"/>
          <w:sz w:val="24"/>
          <w:szCs w:val="24"/>
        </w:rPr>
      </w:pPr>
      <w:r>
        <w:rPr>
          <w:color w:val="646464"/>
          <w:sz w:val="24"/>
          <w:szCs w:val="24"/>
          <w:u w:val="single" w:color="646464"/>
        </w:rPr>
        <w:t>Les sommes reçues par le bénéficiaire au titre d’un contrat d’assurance-vie ne font pas partie de la succession de l’assuré</w:t>
      </w:r>
      <w:r>
        <w:rPr>
          <w:color w:val="646464"/>
          <w:sz w:val="24"/>
          <w:szCs w:val="24"/>
        </w:rPr>
        <w:t>.</w:t>
      </w:r>
    </w:p>
    <w:p>
      <w:pPr>
        <w:pStyle w:val="p"/>
        <w:spacing w:before="0" w:after="180" w:line="330" w:lineRule="atLeast"/>
        <w:ind w:left="0" w:right="0"/>
        <w:rPr>
          <w:color w:val="646464"/>
          <w:sz w:val="24"/>
          <w:szCs w:val="24"/>
        </w:rPr>
      </w:pPr>
      <w:r>
        <w:rPr>
          <w:color w:val="646464"/>
          <w:sz w:val="24"/>
          <w:szCs w:val="24"/>
          <w:u w:val="single" w:color="646464"/>
        </w:rPr>
        <w:t xml:space="preserve">Ainsi </w:t>
      </w:r>
      <w:r>
        <w:rPr>
          <w:color w:val="646464"/>
          <w:sz w:val="24"/>
          <w:szCs w:val="24"/>
        </w:rPr>
        <w:t>:</w:t>
      </w:r>
    </w:p>
    <w:p>
      <w:pPr>
        <w:pStyle w:val="linotnth-last-child1"/>
        <w:numPr>
          <w:ilvl w:val="0"/>
          <w:numId w:val="39"/>
        </w:numPr>
        <w:spacing w:before="240" w:after="240" w:line="330" w:lineRule="atLeast"/>
        <w:ind w:left="720" w:right="0" w:hanging="360"/>
        <w:jc w:val="left"/>
        <w:rPr>
          <w:color w:val="646464"/>
          <w:sz w:val="24"/>
          <w:szCs w:val="24"/>
        </w:rPr>
      </w:pPr>
      <w:r>
        <w:rPr>
          <w:color w:val="646464"/>
          <w:sz w:val="24"/>
          <w:szCs w:val="24"/>
        </w:rPr>
        <w:t xml:space="preserve">À la différence des libéralités classiques, le capital décès issu d’un contrat d’assurance-vie n’est </w:t>
      </w:r>
      <w:r>
        <w:rPr>
          <w:color w:val="646464"/>
          <w:sz w:val="24"/>
          <w:szCs w:val="24"/>
          <w:u w:val="single" w:color="646464"/>
        </w:rPr>
        <w:t>pas rapportable</w:t>
      </w:r>
      <w:r>
        <w:rPr>
          <w:color w:val="646464"/>
          <w:sz w:val="24"/>
          <w:szCs w:val="24"/>
        </w:rPr>
        <w:t> à la succession ni soumis à réduction pour atteinte à la réserve.</w:t>
      </w:r>
    </w:p>
    <w:p>
      <w:pPr>
        <w:numPr>
          <w:ilvl w:val="0"/>
          <w:numId w:val="39"/>
        </w:numPr>
        <w:spacing w:after="240" w:line="330" w:lineRule="atLeast"/>
        <w:ind w:left="720" w:right="0" w:hanging="360"/>
        <w:jc w:val="left"/>
        <w:rPr>
          <w:color w:val="646464"/>
          <w:sz w:val="24"/>
          <w:szCs w:val="24"/>
        </w:rPr>
      </w:pPr>
      <w:r>
        <w:rPr>
          <w:color w:val="646464"/>
          <w:sz w:val="24"/>
          <w:szCs w:val="24"/>
        </w:rPr>
        <w:t xml:space="preserve">Le bénéficiaire reçoit le capital ou la rente </w:t>
      </w:r>
      <w:r>
        <w:rPr>
          <w:color w:val="646464"/>
          <w:sz w:val="24"/>
          <w:szCs w:val="24"/>
          <w:u w:val="single" w:color="646464"/>
        </w:rPr>
        <w:t>indépendamment de sa part successorale</w:t>
      </w:r>
      <w:r>
        <w:rPr>
          <w:color w:val="646464"/>
          <w:sz w:val="24"/>
          <w:szCs w:val="24"/>
        </w:rPr>
        <w:t>.</w:t>
      </w:r>
    </w:p>
    <w:p>
      <w:pPr>
        <w:pStyle w:val="p"/>
        <w:spacing w:before="0" w:after="180" w:line="330" w:lineRule="atLeast"/>
        <w:ind w:left="0" w:right="0"/>
        <w:rPr>
          <w:color w:val="646464"/>
          <w:sz w:val="24"/>
          <w:szCs w:val="24"/>
        </w:rPr>
      </w:pPr>
      <w:r>
        <w:rPr>
          <w:color w:val="646464"/>
          <w:sz w:val="24"/>
          <w:szCs w:val="24"/>
        </w:rPr>
        <w:t xml:space="preserve">Néanmoins, </w:t>
      </w:r>
      <w:r>
        <w:rPr>
          <w:rStyle w:val="pspannotpucenotfd-update"/>
          <w:color w:val="646464"/>
          <w:sz w:val="24"/>
          <w:szCs w:val="24"/>
          <w:u w:val="single" w:color="646464"/>
        </w:rPr>
        <w:t>si les primes versées par le souscripteur sur le contrat ont été manifestement exagérées</w:t>
      </w:r>
      <w:r>
        <w:rPr>
          <w:color w:val="646464"/>
          <w:sz w:val="24"/>
          <w:szCs w:val="24"/>
        </w:rPr>
        <w:t>, elles seront soumises aux règles du rapport et de la réduction.</w:t>
      </w:r>
      <w:r>
        <w:rPr>
          <w:color w:val="646464"/>
          <w:sz w:val="24"/>
          <w:szCs w:val="24"/>
        </w:rPr>
        <w:br/>
      </w:r>
      <w:r>
        <w:rPr>
          <w:color w:val="646464"/>
          <w:sz w:val="24"/>
          <w:szCs w:val="24"/>
        </w:rPr>
        <w:t xml:space="preserve">Les héritiers peuvent également demander </w:t>
      </w:r>
      <w:r>
        <w:rPr>
          <w:rStyle w:val="pspannotpucenotfd-update"/>
          <w:color w:val="646464"/>
          <w:sz w:val="24"/>
          <w:szCs w:val="24"/>
          <w:u w:val="single" w:color="646464"/>
        </w:rPr>
        <w:t>une requalification du contrat en donation indirecte</w:t>
      </w:r>
      <w:r>
        <w:rPr>
          <w:color w:val="646464"/>
          <w:sz w:val="24"/>
          <w:szCs w:val="24"/>
        </w:rPr>
        <w:t>.</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Le montant des primes versées est-il manifestement exagéré ?</w:t>
      </w:r>
    </w:p>
    <w:p>
      <w:pPr>
        <w:pStyle w:val="fd-chevron-lvl2"/>
        <w:pBdr>
          <w:left w:val="none" w:sz="0" w:space="18" w:color="auto"/>
        </w:pBdr>
        <w:spacing w:before="0" w:after="180" w:line="330" w:lineRule="atLeast"/>
        <w:ind w:left="360" w:right="0"/>
        <w:rPr>
          <w:b w:val="0"/>
          <w:bCs w:val="0"/>
          <w:color w:val="202020"/>
          <w:sz w:val="24"/>
          <w:szCs w:val="24"/>
        </w:rPr>
      </w:pPr>
      <w:r>
        <w:rPr>
          <w:b w:val="0"/>
          <w:bCs w:val="0"/>
          <w:color w:val="202020"/>
          <w:sz w:val="24"/>
          <w:szCs w:val="24"/>
        </w:rPr>
        <w:t>Critères retenus par la jurisprudence :</w:t>
      </w:r>
    </w:p>
    <w:p>
      <w:pPr>
        <w:pStyle w:val="p"/>
        <w:spacing w:before="0" w:after="180" w:line="330" w:lineRule="atLeast"/>
        <w:ind w:left="0" w:right="0"/>
        <w:rPr>
          <w:color w:val="646464"/>
          <w:sz w:val="24"/>
          <w:szCs w:val="24"/>
        </w:rPr>
      </w:pPr>
      <w:r>
        <w:rPr>
          <w:color w:val="646464"/>
          <w:sz w:val="24"/>
          <w:szCs w:val="24"/>
        </w:rPr>
        <w:t>Le caractère manifestement exagéré eût égard aux facultés du souscripteur s'apprécie au moment du versement, au regard de :</w:t>
      </w:r>
    </w:p>
    <w:p>
      <w:pPr>
        <w:pStyle w:val="linotnth-last-child1"/>
        <w:numPr>
          <w:ilvl w:val="0"/>
          <w:numId w:val="40"/>
        </w:numPr>
        <w:spacing w:before="240" w:after="240" w:line="330" w:lineRule="atLeast"/>
        <w:ind w:left="720" w:right="0" w:hanging="360"/>
        <w:jc w:val="left"/>
        <w:rPr>
          <w:color w:val="646464"/>
          <w:sz w:val="24"/>
          <w:szCs w:val="24"/>
        </w:rPr>
      </w:pPr>
      <w:r>
        <w:rPr>
          <w:color w:val="646464"/>
          <w:sz w:val="24"/>
          <w:szCs w:val="24"/>
        </w:rPr>
        <w:t>son âge ;</w:t>
      </w:r>
    </w:p>
    <w:p>
      <w:pPr>
        <w:pStyle w:val="linotnth-last-child1"/>
        <w:numPr>
          <w:ilvl w:val="0"/>
          <w:numId w:val="40"/>
        </w:numPr>
        <w:spacing w:after="240" w:line="330" w:lineRule="atLeast"/>
        <w:ind w:left="720" w:right="0" w:hanging="360"/>
        <w:jc w:val="left"/>
        <w:rPr>
          <w:color w:val="646464"/>
          <w:sz w:val="24"/>
          <w:szCs w:val="24"/>
        </w:rPr>
      </w:pPr>
      <w:r>
        <w:rPr>
          <w:color w:val="646464"/>
          <w:sz w:val="24"/>
          <w:szCs w:val="24"/>
        </w:rPr>
        <w:t>sa situation patrimoniale ;</w:t>
      </w:r>
    </w:p>
    <w:p>
      <w:pPr>
        <w:pStyle w:val="linotnth-last-child1"/>
        <w:numPr>
          <w:ilvl w:val="0"/>
          <w:numId w:val="40"/>
        </w:numPr>
        <w:spacing w:after="240" w:line="330" w:lineRule="atLeast"/>
        <w:ind w:left="720" w:right="0" w:hanging="360"/>
        <w:jc w:val="left"/>
        <w:rPr>
          <w:color w:val="646464"/>
          <w:sz w:val="24"/>
          <w:szCs w:val="24"/>
        </w:rPr>
      </w:pPr>
      <w:r>
        <w:rPr>
          <w:color w:val="646464"/>
          <w:sz w:val="24"/>
          <w:szCs w:val="24"/>
        </w:rPr>
        <w:t>sa situation familiale ;</w:t>
      </w:r>
    </w:p>
    <w:p>
      <w:pPr>
        <w:numPr>
          <w:ilvl w:val="0"/>
          <w:numId w:val="40"/>
        </w:numPr>
        <w:spacing w:after="240" w:line="330" w:lineRule="atLeast"/>
        <w:ind w:left="720" w:right="0" w:hanging="360"/>
        <w:jc w:val="left"/>
        <w:rPr>
          <w:color w:val="646464"/>
          <w:sz w:val="24"/>
          <w:szCs w:val="24"/>
        </w:rPr>
      </w:pPr>
      <w:r>
        <w:rPr>
          <w:color w:val="646464"/>
          <w:sz w:val="24"/>
          <w:szCs w:val="24"/>
        </w:rPr>
        <w:t>l'utilité du contrat pour lui (épargne disponible, régime fiscal avantageux, complément de revenus).</w:t>
      </w:r>
    </w:p>
    <w:p>
      <w:pPr>
        <w:pStyle w:val="fd-document-box-purplefd-document-box-title"/>
        <w:pageBreakBefore w:val="0"/>
        <w:pBdr>
          <w:top w:val="single" w:sz="6" w:space="12" w:color="D6D6D6"/>
          <w:left w:val="single" w:sz="24" w:space="24" w:color="C882FF"/>
          <w:bottom w:val="single" w:sz="6" w:space="0"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Remarques :</w:t>
      </w:r>
    </w:p>
    <w:p>
      <w:pPr>
        <w:pStyle w:val="fd-document-box-purpleulli"/>
        <w:pBdr>
          <w:top w:val="single" w:sz="6" w:space="12" w:color="D6D6D6"/>
          <w:left w:val="single" w:sz="24" w:space="24" w:color="C882FF"/>
          <w:bottom w:val="single" w:sz="6" w:space="0" w:color="D6D6D6"/>
          <w:right w:val="single" w:sz="6" w:space="0" w:color="D6D6D6"/>
        </w:pBdr>
        <w:shd w:val="clear" w:color="auto" w:fill="F5F5F5"/>
        <w:spacing w:before="240" w:after="0" w:line="300" w:lineRule="atLeast"/>
        <w:ind w:left="1050" w:right="525"/>
        <w:jc w:val="left"/>
        <w:rPr>
          <w:color w:val="646464"/>
          <w:sz w:val="21"/>
          <w:szCs w:val="21"/>
        </w:rPr>
      </w:pPr>
      <w:r>
        <w:rPr>
          <w:color w:val="646464"/>
          <w:sz w:val="21"/>
          <w:szCs w:val="21"/>
        </w:rPr>
        <w:t>Ces critères sont cumulatifs.</w:t>
      </w:r>
    </w:p>
    <w:p>
      <w:pPr>
        <w:pStyle w:val="fd-document-box-purpleulli"/>
        <w:pBdr>
          <w:top w:val="single" w:sz="6" w:space="12" w:color="D6D6D6"/>
          <w:left w:val="single" w:sz="24" w:space="24" w:color="C882FF"/>
          <w:bottom w:val="single" w:sz="6" w:space="0" w:color="D6D6D6"/>
          <w:right w:val="single" w:sz="6" w:space="0" w:color="D6D6D6"/>
        </w:pBdr>
        <w:shd w:val="clear" w:color="auto" w:fill="F5F5F5"/>
        <w:spacing w:after="600" w:line="300" w:lineRule="atLeast"/>
        <w:ind w:left="1050" w:right="525"/>
        <w:jc w:val="left"/>
        <w:rPr>
          <w:color w:val="646464"/>
          <w:sz w:val="21"/>
          <w:szCs w:val="21"/>
        </w:rPr>
      </w:pPr>
      <w:r>
        <w:rPr>
          <w:color w:val="646464"/>
          <w:sz w:val="21"/>
          <w:szCs w:val="21"/>
        </w:rPr>
        <w:t>L’appréciation se fait prime par prime.</w:t>
      </w:r>
    </w:p>
    <w:p>
      <w:pPr>
        <w:pStyle w:val="fd-chevron-lvl2"/>
        <w:pBdr>
          <w:left w:val="none" w:sz="0" w:space="18" w:color="auto"/>
        </w:pBdr>
        <w:spacing w:before="0" w:after="240" w:line="330" w:lineRule="atLeast"/>
        <w:ind w:left="360" w:right="0"/>
        <w:rPr>
          <w:b w:val="0"/>
          <w:bCs w:val="0"/>
          <w:color w:val="202020"/>
          <w:sz w:val="24"/>
          <w:szCs w:val="24"/>
        </w:rPr>
      </w:pPr>
      <w:r>
        <w:rPr>
          <w:b w:val="0"/>
          <w:bCs w:val="0"/>
          <w:color w:val="202020"/>
          <w:sz w:val="24"/>
          <w:szCs w:val="24"/>
        </w:rPr>
        <w:t>Les conséquences du caractère manifestement exagéré des primes :</w:t>
      </w:r>
    </w:p>
    <w:tbl>
      <w:tblPr>
        <w:tblStyle w:val="table"/>
        <w:tblW w:w="5000" w:type="pct"/>
        <w:tblInd w:w="16" w:type="dxa"/>
        <w:shd w:val="clear" w:color="auto" w:fill="FFFFFF"/>
        <w:tblCellMar>
          <w:top w:w="0" w:type="dxa"/>
          <w:left w:w="0" w:type="dxa"/>
          <w:bottom w:w="0" w:type="dxa"/>
          <w:right w:w="0" w:type="dxa"/>
        </w:tblCellMar>
        <w:tblLook w:val="05E0"/>
      </w:tblPr>
      <w:tblGrid>
        <w:gridCol w:w="3261"/>
        <w:gridCol w:w="7610"/>
      </w:tblGrid>
      <w:tr>
        <w:tblPrEx>
          <w:tblW w:w="5000" w:type="pct"/>
          <w:tblInd w:w="16" w:type="dxa"/>
          <w:shd w:val="clear" w:color="auto" w:fill="FFFFFF"/>
          <w:tblCellMar>
            <w:top w:w="0" w:type="dxa"/>
            <w:left w:w="0" w:type="dxa"/>
            <w:bottom w:w="0" w:type="dxa"/>
            <w:right w:w="0" w:type="dxa"/>
          </w:tblCellMar>
          <w:tblLook w:val="05E0"/>
        </w:tblPrEx>
        <w:trPr>
          <w:tblHeader/>
        </w:trPr>
        <w:tc>
          <w:tcPr>
            <w:tcW w:w="1500" w:type="pct"/>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b/>
                <w:bCs/>
                <w:color w:val="202020"/>
                <w:sz w:val="21"/>
                <w:szCs w:val="21"/>
              </w:rPr>
            </w:pPr>
            <w:r>
              <w:rPr>
                <w:b/>
                <w:bCs/>
                <w:color w:val="202020"/>
                <w:sz w:val="21"/>
                <w:szCs w:val="21"/>
              </w:rPr>
              <w:t>Si le bénéficiaire n’est pas un héritier soumis au rapport</w:t>
            </w:r>
            <w:r>
              <w:rPr>
                <w:b/>
                <w:bCs/>
                <w:color w:val="202020"/>
                <w:sz w:val="21"/>
                <w:szCs w:val="21"/>
              </w:rPr>
              <w:br/>
            </w:r>
            <w:r>
              <w:rPr>
                <w:b/>
                <w:bCs/>
                <w:i/>
                <w:iCs/>
                <w:color w:val="202020"/>
                <w:sz w:val="21"/>
                <w:szCs w:val="21"/>
              </w:rPr>
              <w:t>(parce qu’il est non héritier ou parce qu’il a renoncé à la succession)</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41"/>
              </w:numPr>
              <w:spacing w:before="240" w:after="240" w:line="300" w:lineRule="atLeast"/>
              <w:ind w:left="720" w:right="0" w:hanging="360"/>
              <w:jc w:val="left"/>
              <w:rPr>
                <w:b w:val="0"/>
                <w:bCs w:val="0"/>
                <w:color w:val="646464"/>
                <w:sz w:val="21"/>
                <w:szCs w:val="21"/>
              </w:rPr>
            </w:pPr>
            <w:r>
              <w:rPr>
                <w:b w:val="0"/>
                <w:bCs w:val="0"/>
                <w:color w:val="646464"/>
                <w:sz w:val="21"/>
                <w:szCs w:val="21"/>
              </w:rPr>
              <w:t>La prime excessive n’est pas rapportable.</w:t>
            </w:r>
          </w:p>
          <w:p>
            <w:pPr>
              <w:numPr>
                <w:ilvl w:val="0"/>
                <w:numId w:val="41"/>
              </w:numPr>
              <w:spacing w:after="240" w:line="300" w:lineRule="atLeast"/>
              <w:ind w:left="720" w:right="0" w:hanging="360"/>
              <w:jc w:val="left"/>
              <w:rPr>
                <w:b w:val="0"/>
                <w:bCs w:val="0"/>
                <w:color w:val="646464"/>
                <w:sz w:val="21"/>
                <w:szCs w:val="21"/>
              </w:rPr>
            </w:pPr>
            <w:r>
              <w:rPr>
                <w:b w:val="0"/>
                <w:bCs w:val="0"/>
                <w:color w:val="646464"/>
                <w:sz w:val="21"/>
                <w:szCs w:val="21"/>
              </w:rPr>
              <w:t>Elle sera réductible dans les conditions de droit commun en cas d’atteinte à la réserve.</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Si le bénéficiaire est un héritier soumis au rapport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42"/>
              </w:numPr>
              <w:spacing w:before="240" w:after="240" w:line="300" w:lineRule="atLeast"/>
              <w:ind w:left="720" w:right="0" w:hanging="360"/>
              <w:jc w:val="left"/>
              <w:rPr>
                <w:b w:val="0"/>
                <w:bCs w:val="0"/>
                <w:color w:val="646464"/>
                <w:sz w:val="21"/>
                <w:szCs w:val="21"/>
              </w:rPr>
            </w:pPr>
            <w:r>
              <w:rPr>
                <w:b w:val="0"/>
                <w:bCs w:val="0"/>
                <w:color w:val="646464"/>
                <w:sz w:val="21"/>
                <w:szCs w:val="21"/>
              </w:rPr>
              <w:t>Il sera tenu au rapport de l’intégralité des  primes manifestement exagérées.</w:t>
            </w:r>
          </w:p>
          <w:p>
            <w:pPr>
              <w:numPr>
                <w:ilvl w:val="0"/>
                <w:numId w:val="42"/>
              </w:numPr>
              <w:spacing w:after="240" w:line="300" w:lineRule="atLeast"/>
              <w:ind w:left="720" w:right="0" w:hanging="360"/>
              <w:jc w:val="left"/>
              <w:rPr>
                <w:b w:val="0"/>
                <w:bCs w:val="0"/>
                <w:color w:val="646464"/>
                <w:sz w:val="21"/>
                <w:szCs w:val="21"/>
              </w:rPr>
            </w:pPr>
            <w:r>
              <w:rPr>
                <w:b w:val="0"/>
                <w:bCs w:val="0"/>
                <w:color w:val="646464"/>
                <w:sz w:val="21"/>
                <w:szCs w:val="21"/>
              </w:rPr>
              <w:t>La prime excessive sera réductible dans les conditions de droit commun en cas d’atteinte à la réserve.</w:t>
            </w:r>
          </w:p>
        </w:tc>
      </w:tr>
    </w:tbl>
    <w:p>
      <w:pPr>
        <w:pStyle w:val="fd-document-box-redfd-document-box-title"/>
        <w:pageBreakBefore w:val="0"/>
        <w:pBdr>
          <w:top w:val="single" w:sz="6" w:space="12" w:color="D6D6D6"/>
          <w:left w:val="single" w:sz="24" w:space="24" w:color="FF6E6E"/>
          <w:bottom w:val="single" w:sz="6" w:space="12" w:color="D6D6D6"/>
          <w:right w:val="single" w:sz="6" w:space="24" w:color="D6D6D6"/>
        </w:pBdr>
        <w:shd w:val="clear" w:color="auto" w:fill="F5F5F5"/>
        <w:spacing w:before="0" w:after="240" w:line="240" w:lineRule="atLeast"/>
        <w:ind w:left="540" w:right="495"/>
        <w:outlineLvl w:val="4"/>
        <w:rPr>
          <w:b/>
          <w:bCs/>
          <w:color w:val="FF6E6E"/>
          <w:sz w:val="18"/>
          <w:szCs w:val="18"/>
        </w:rPr>
      </w:pPr>
      <w:r>
        <w:rPr>
          <w:b/>
          <w:bCs/>
          <w:color w:val="FF6E6E"/>
          <w:sz w:val="18"/>
          <w:szCs w:val="18"/>
        </w:rPr>
        <w:t>Point d'alerte : attention au recel successoral </w:t>
      </w:r>
    </w:p>
    <w:p>
      <w:pPr>
        <w:pStyle w:val="fd-document-box-redfd-document-box-descriptionpnth-last-child1"/>
        <w:pBdr>
          <w:top w:val="single" w:sz="6" w:space="12" w:color="D6D6D6"/>
          <w:left w:val="single" w:sz="24" w:space="24" w:color="FF6E6E"/>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 xml:space="preserve">L’héritier qui dissimule un contrat d’assurance-vie dont il est bénéficiaire est susceptible de commettre </w:t>
      </w:r>
      <w:r>
        <w:rPr>
          <w:color w:val="646464"/>
          <w:sz w:val="21"/>
          <w:szCs w:val="21"/>
          <w:u w:val="single" w:color="646464"/>
        </w:rPr>
        <w:t>un recel successoral</w:t>
      </w:r>
      <w:r>
        <w:rPr>
          <w:color w:val="646464"/>
          <w:sz w:val="21"/>
          <w:szCs w:val="21"/>
        </w:rPr>
        <w:t xml:space="preserve"> si les primes sont manifestement exagérées, et ce même s’il n’y a pas d’atteinte à la réserve (voir supra sur les conséquences du recel).</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Quels sont les risques de requalification en donation indirecte ?</w:t>
      </w:r>
    </w:p>
    <w:p>
      <w:pPr>
        <w:pStyle w:val="p"/>
        <w:spacing w:before="0" w:after="180" w:line="330" w:lineRule="atLeast"/>
        <w:ind w:left="0" w:right="0"/>
        <w:rPr>
          <w:color w:val="646464"/>
          <w:sz w:val="24"/>
          <w:szCs w:val="24"/>
        </w:rPr>
      </w:pPr>
      <w:r>
        <w:rPr>
          <w:color w:val="646464"/>
          <w:sz w:val="24"/>
          <w:szCs w:val="24"/>
        </w:rPr>
        <w:t>En principe, le bénéfice de capitaux décès ne constitue pas une libéralité : la faculté de rachat fait obstacle au dépouillement irrévocable au profit du bénéficiaire nécessaire pour caractériser une libéralité. Néanmoins, dans certaines hypothèses, il est encouru un risque de requalification en donation indirecte.</w:t>
      </w:r>
    </w:p>
    <w:p>
      <w:pPr>
        <w:pStyle w:val="fd-chevron-lvl2"/>
        <w:pBdr>
          <w:left w:val="none" w:sz="0" w:space="18" w:color="auto"/>
        </w:pBdr>
        <w:spacing w:before="0" w:after="180" w:line="330" w:lineRule="atLeast"/>
        <w:ind w:left="360" w:right="0"/>
        <w:rPr>
          <w:b w:val="0"/>
          <w:bCs w:val="0"/>
          <w:color w:val="202020"/>
          <w:sz w:val="24"/>
          <w:szCs w:val="24"/>
        </w:rPr>
      </w:pPr>
      <w:r>
        <w:rPr>
          <w:b w:val="0"/>
          <w:bCs w:val="0"/>
          <w:color w:val="202020"/>
          <w:sz w:val="24"/>
          <w:szCs w:val="24"/>
        </w:rPr>
        <w:t>Critère de requalification :</w:t>
      </w:r>
    </w:p>
    <w:p>
      <w:pPr>
        <w:pStyle w:val="p"/>
        <w:spacing w:before="0" w:after="180" w:line="330" w:lineRule="atLeast"/>
        <w:ind w:left="0" w:right="0"/>
        <w:rPr>
          <w:color w:val="646464"/>
          <w:sz w:val="24"/>
          <w:szCs w:val="24"/>
        </w:rPr>
      </w:pPr>
      <w:r>
        <w:rPr>
          <w:color w:val="646464"/>
          <w:sz w:val="24"/>
          <w:szCs w:val="24"/>
        </w:rPr>
        <w:t xml:space="preserve">Il y a </w:t>
      </w:r>
      <w:r>
        <w:rPr>
          <w:rStyle w:val="pspannotpucenotfd-update"/>
          <w:color w:val="646464"/>
          <w:sz w:val="24"/>
          <w:szCs w:val="24"/>
          <w:u w:val="single" w:color="646464"/>
        </w:rPr>
        <w:t>risque de requalification en cas absence d’aléa quant à la date de décès du souscripteur</w:t>
      </w:r>
      <w:r>
        <w:rPr>
          <w:color w:val="646464"/>
          <w:sz w:val="24"/>
          <w:szCs w:val="24"/>
        </w:rPr>
        <w:t> (personne gravement malade), avec volonté de ce dernier de se dépouiller de manière irrévocable au profit du bénéficiaire.</w:t>
      </w:r>
    </w:p>
    <w:p>
      <w:pPr>
        <w:pStyle w:val="fd-chevron-lvl2"/>
        <w:pBdr>
          <w:left w:val="none" w:sz="0" w:space="18" w:color="auto"/>
        </w:pBdr>
        <w:spacing w:before="0" w:after="180" w:line="330" w:lineRule="atLeast"/>
        <w:ind w:left="360" w:right="0"/>
        <w:rPr>
          <w:b w:val="0"/>
          <w:bCs w:val="0"/>
          <w:color w:val="202020"/>
          <w:sz w:val="24"/>
          <w:szCs w:val="24"/>
        </w:rPr>
      </w:pPr>
      <w:r>
        <w:rPr>
          <w:b w:val="0"/>
          <w:bCs w:val="0"/>
          <w:color w:val="202020"/>
          <w:sz w:val="24"/>
          <w:szCs w:val="24"/>
        </w:rPr>
        <w:t>Conséquences d'une requalification en donation indirecte :</w:t>
      </w:r>
    </w:p>
    <w:p>
      <w:pPr>
        <w:pStyle w:val="linotnth-last-child1"/>
        <w:numPr>
          <w:ilvl w:val="0"/>
          <w:numId w:val="43"/>
        </w:numPr>
        <w:spacing w:before="240" w:after="240" w:line="330" w:lineRule="atLeast"/>
        <w:ind w:left="720" w:right="0" w:hanging="360"/>
        <w:jc w:val="left"/>
        <w:rPr>
          <w:color w:val="646464"/>
          <w:sz w:val="24"/>
          <w:szCs w:val="24"/>
        </w:rPr>
      </w:pPr>
      <w:r>
        <w:rPr>
          <w:color w:val="646464"/>
          <w:sz w:val="24"/>
          <w:szCs w:val="24"/>
        </w:rPr>
        <w:t>Perte du caractère assurance-vie et taxation des capitaux aux droits de succession.</w:t>
      </w:r>
    </w:p>
    <w:p>
      <w:pPr>
        <w:numPr>
          <w:ilvl w:val="0"/>
          <w:numId w:val="43"/>
        </w:numPr>
        <w:spacing w:after="240" w:line="330" w:lineRule="atLeast"/>
        <w:ind w:left="720" w:right="0" w:hanging="360"/>
        <w:jc w:val="left"/>
        <w:rPr>
          <w:color w:val="646464"/>
          <w:sz w:val="24"/>
          <w:szCs w:val="24"/>
        </w:rPr>
      </w:pPr>
      <w:r>
        <w:rPr>
          <w:color w:val="646464"/>
          <w:sz w:val="24"/>
          <w:szCs w:val="24"/>
        </w:rPr>
        <w:t>Libéralité intégralement rapportable à la succession et réductible.</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Qui peut intenter une action ?</w:t>
      </w:r>
    </w:p>
    <w:p>
      <w:pPr>
        <w:pStyle w:val="linotnth-last-child1"/>
        <w:numPr>
          <w:ilvl w:val="0"/>
          <w:numId w:val="44"/>
        </w:numPr>
        <w:spacing w:before="240" w:after="240" w:line="330" w:lineRule="atLeast"/>
        <w:ind w:left="720" w:right="0" w:hanging="360"/>
        <w:jc w:val="left"/>
        <w:rPr>
          <w:color w:val="646464"/>
          <w:sz w:val="24"/>
          <w:szCs w:val="24"/>
        </w:rPr>
      </w:pPr>
      <w:r>
        <w:rPr>
          <w:color w:val="646464"/>
          <w:sz w:val="24"/>
          <w:szCs w:val="24"/>
        </w:rPr>
        <w:t>Les héritiers réservataires en cas d’atteinte à la réserve ;</w:t>
      </w:r>
    </w:p>
    <w:p>
      <w:pPr>
        <w:numPr>
          <w:ilvl w:val="0"/>
          <w:numId w:val="44"/>
        </w:numPr>
        <w:spacing w:after="240" w:line="330" w:lineRule="atLeast"/>
        <w:ind w:left="720" w:right="0" w:hanging="360"/>
        <w:jc w:val="left"/>
        <w:rPr>
          <w:color w:val="646464"/>
          <w:sz w:val="24"/>
          <w:szCs w:val="24"/>
        </w:rPr>
      </w:pPr>
      <w:r>
        <w:rPr>
          <w:color w:val="646464"/>
          <w:sz w:val="24"/>
          <w:szCs w:val="24"/>
        </w:rPr>
        <w:t>Certains créanciers en vue du remboursement de l’aide sociale accordée au défunt.</w:t>
      </w:r>
    </w:p>
    <w:p>
      <w:pPr>
        <w:pStyle w:val="Heading3"/>
        <w:pageBreakBefore w:val="0"/>
        <w:spacing w:before="0" w:after="240" w:line="330" w:lineRule="atLeast"/>
        <w:ind w:left="0" w:right="0"/>
        <w:rPr>
          <w:b/>
          <w:bCs/>
          <w:color w:val="202020"/>
          <w:sz w:val="28"/>
          <w:szCs w:val="24"/>
        </w:rPr>
      </w:pPr>
      <w:r>
        <w:rPr>
          <w:b/>
          <w:bCs/>
          <w:color w:val="202020"/>
          <w:sz w:val="24"/>
          <w:szCs w:val="24"/>
        </w:rPr>
        <w:t>4.2.</w:t>
      </w:r>
      <w:r>
        <w:rPr>
          <w:b/>
          <w:bCs/>
          <w:color w:val="202020"/>
          <w:sz w:val="24"/>
          <w:szCs w:val="24"/>
        </w:rPr>
        <w:t xml:space="preserve"> Quels sont les inconvénients d'une transmission "hors succession" ?</w:t>
      </w:r>
    </w:p>
    <w:p>
      <w:pPr>
        <w:pStyle w:val="p"/>
        <w:spacing w:before="0" w:after="180" w:line="330" w:lineRule="atLeast"/>
        <w:ind w:left="0" w:right="0"/>
        <w:rPr>
          <w:color w:val="646464"/>
          <w:sz w:val="24"/>
          <w:szCs w:val="24"/>
        </w:rPr>
      </w:pPr>
      <w:r>
        <w:rPr>
          <w:color w:val="646464"/>
          <w:sz w:val="24"/>
          <w:szCs w:val="24"/>
        </w:rPr>
        <w:t>Aucune transmission entre vifs n’est possible.</w:t>
      </w:r>
    </w:p>
    <w:p>
      <w:pPr>
        <w:pStyle w:val="p"/>
        <w:spacing w:before="0" w:after="240" w:line="330" w:lineRule="atLeast"/>
        <w:ind w:left="0" w:right="0"/>
        <w:rPr>
          <w:color w:val="646464"/>
          <w:sz w:val="24"/>
          <w:szCs w:val="24"/>
        </w:rPr>
      </w:pPr>
      <w:r>
        <w:rPr>
          <w:color w:val="646464"/>
          <w:sz w:val="24"/>
          <w:szCs w:val="24"/>
        </w:rPr>
        <w:t>Ce qui est hors succession reste hors succession sauf volonté contraire expresse du souscripteur : dans le cadre du partage successoral on ne peut pas attribuer l’assurance vie à un enfant et les biens compris dans la succession à un autre enfant. Il n’est pas possible de réintégrer l’assurance vie dans le partage successoral.</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5.</w:t>
      </w:r>
      <w:r>
        <w:rPr>
          <w:b/>
          <w:bCs/>
          <w:caps w:val="0"/>
          <w:color w:val="202020"/>
          <w:sz w:val="27"/>
          <w:szCs w:val="27"/>
        </w:rPr>
        <w:t xml:space="preserve"> Les précautions à prendre dans la désignation du bénéficiaire</w:t>
      </w:r>
    </w:p>
    <w:p>
      <w:pPr>
        <w:pStyle w:val="p"/>
        <w:spacing w:before="0" w:after="180" w:line="330" w:lineRule="atLeast"/>
        <w:ind w:left="0" w:right="0"/>
        <w:rPr>
          <w:color w:val="646464"/>
          <w:sz w:val="24"/>
          <w:szCs w:val="24"/>
        </w:rPr>
      </w:pPr>
      <w:r>
        <w:rPr>
          <w:color w:val="646464"/>
          <w:sz w:val="24"/>
          <w:szCs w:val="24"/>
        </w:rPr>
        <w:t xml:space="preserve">La clause bénéficiaire du contrat doit être </w:t>
      </w:r>
      <w:r>
        <w:rPr>
          <w:rStyle w:val="pspannotpucenotfd-update"/>
          <w:color w:val="646464"/>
          <w:sz w:val="24"/>
          <w:szCs w:val="24"/>
          <w:u w:val="single" w:color="646464"/>
        </w:rPr>
        <w:t>rédigée clairement et sans ambiguïté</w:t>
      </w:r>
      <w:r>
        <w:rPr>
          <w:color w:val="646464"/>
          <w:sz w:val="24"/>
          <w:szCs w:val="24"/>
        </w:rPr>
        <w:t>.</w:t>
      </w:r>
    </w:p>
    <w:p>
      <w:pPr>
        <w:pStyle w:val="p"/>
        <w:spacing w:before="0" w:after="180" w:line="330" w:lineRule="atLeast"/>
        <w:ind w:left="0" w:right="0"/>
        <w:rPr>
          <w:color w:val="646464"/>
          <w:sz w:val="24"/>
          <w:szCs w:val="24"/>
        </w:rPr>
      </w:pPr>
      <w:r>
        <w:rPr>
          <w:color w:val="646464"/>
          <w:sz w:val="24"/>
          <w:szCs w:val="24"/>
        </w:rPr>
        <w:t xml:space="preserve">Elle doit être </w:t>
      </w:r>
      <w:r>
        <w:rPr>
          <w:rStyle w:val="pspannotpucenotfd-update"/>
          <w:color w:val="646464"/>
          <w:sz w:val="24"/>
          <w:szCs w:val="24"/>
          <w:u w:val="single" w:color="646464"/>
        </w:rPr>
        <w:t>adaptée à la situation du client</w:t>
      </w:r>
      <w:r>
        <w:rPr>
          <w:color w:val="646464"/>
          <w:sz w:val="24"/>
          <w:szCs w:val="24"/>
        </w:rPr>
        <w:t>.</w:t>
      </w:r>
    </w:p>
    <w:p>
      <w:pPr>
        <w:pStyle w:val="p"/>
        <w:spacing w:before="0" w:after="180" w:line="330" w:lineRule="atLeast"/>
        <w:ind w:left="0" w:right="0"/>
        <w:rPr>
          <w:color w:val="646464"/>
          <w:sz w:val="24"/>
          <w:szCs w:val="24"/>
        </w:rPr>
      </w:pPr>
      <w:r>
        <w:rPr>
          <w:color w:val="646464"/>
          <w:sz w:val="24"/>
          <w:szCs w:val="24"/>
        </w:rPr>
        <w:t>Si le souscripteur ne désigne pas de bénéficiaire ou si les bénéficiaires ne sont pas suffisamment définis pour être identifiés au dénouement, alors les capitaux tomberont dans la succession du souscripteur et dans ce cas, la fiscalité de l’assurance-vie n’est pas applicable.</w:t>
      </w:r>
    </w:p>
    <w:p>
      <w:pPr>
        <w:pStyle w:val="fd-document-box-bluefd-document-box-title"/>
        <w:pageBreakBefore w:val="0"/>
        <w:pBdr>
          <w:top w:val="single" w:sz="6" w:space="12" w:color="D6D6D6"/>
          <w:left w:val="single" w:sz="24" w:space="24" w:color="4623EB"/>
          <w:bottom w:val="single" w:sz="6" w:space="12" w:color="D6D6D6"/>
          <w:right w:val="single" w:sz="6" w:space="24" w:color="D6D6D6"/>
        </w:pBdr>
        <w:shd w:val="clear" w:color="auto" w:fill="F5F5F5"/>
        <w:spacing w:before="0" w:after="240" w:line="240" w:lineRule="atLeast"/>
        <w:ind w:left="540" w:right="495"/>
        <w:outlineLvl w:val="4"/>
        <w:rPr>
          <w:b/>
          <w:bCs/>
          <w:color w:val="4623EB"/>
          <w:sz w:val="18"/>
          <w:szCs w:val="18"/>
        </w:rPr>
      </w:pPr>
      <w:r>
        <w:rPr>
          <w:b/>
          <w:bCs/>
          <w:color w:val="4623EB"/>
          <w:sz w:val="18"/>
          <w:szCs w:val="18"/>
        </w:rPr>
        <w:t>Rappel :</w:t>
      </w:r>
    </w:p>
    <w:p>
      <w:pPr>
        <w:pStyle w:val="fd-document-box-bluefd-document-box-descriptionpnth-last-child1"/>
        <w:pBdr>
          <w:top w:val="single" w:sz="6" w:space="12" w:color="D6D6D6"/>
          <w:left w:val="single" w:sz="24" w:space="24" w:color="4623EB"/>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Le droit des successions et le droit des assurances sont indépendants. Un héritier désigné bénéficiaire d’une assurance vie peut renoncer à la succession et accepter le bénéfice du contrat, et inversement.</w:t>
      </w:r>
    </w:p>
    <w:p>
      <w:pPr>
        <w:pStyle w:val="Heading3"/>
        <w:pageBreakBefore w:val="0"/>
        <w:spacing w:before="0" w:after="240" w:line="330" w:lineRule="atLeast"/>
        <w:ind w:left="0" w:right="0"/>
        <w:rPr>
          <w:b/>
          <w:bCs/>
          <w:color w:val="202020"/>
          <w:sz w:val="28"/>
          <w:szCs w:val="24"/>
        </w:rPr>
      </w:pPr>
      <w:r>
        <w:rPr>
          <w:b/>
          <w:bCs/>
          <w:color w:val="202020"/>
          <w:sz w:val="24"/>
          <w:szCs w:val="24"/>
        </w:rPr>
        <w:t>5.1.</w:t>
      </w:r>
      <w:r>
        <w:rPr>
          <w:b/>
          <w:bCs/>
          <w:color w:val="202020"/>
          <w:sz w:val="24"/>
          <w:szCs w:val="24"/>
        </w:rPr>
        <w:t xml:space="preserve"> Le choix du bénéficiaire est-il totalement libre ?</w:t>
      </w:r>
    </w:p>
    <w:p>
      <w:pPr>
        <w:pStyle w:val="p"/>
        <w:spacing w:before="0" w:after="180" w:line="330" w:lineRule="atLeast"/>
        <w:ind w:left="0" w:right="0"/>
        <w:rPr>
          <w:color w:val="646464"/>
          <w:sz w:val="24"/>
          <w:szCs w:val="24"/>
        </w:rPr>
      </w:pPr>
      <w:r>
        <w:rPr>
          <w:color w:val="646464"/>
          <w:sz w:val="24"/>
          <w:szCs w:val="24"/>
        </w:rPr>
        <w:t xml:space="preserve">La désignation ou la modification du bénéficiaire est </w:t>
      </w:r>
      <w:r>
        <w:rPr>
          <w:rStyle w:val="pspannotpucenotfd-update"/>
          <w:color w:val="646464"/>
          <w:sz w:val="24"/>
          <w:szCs w:val="24"/>
          <w:u w:val="single" w:color="646464"/>
        </w:rPr>
        <w:t>un droit personnel du souscripteur</w:t>
      </w:r>
      <w:r>
        <w:rPr>
          <w:color w:val="646464"/>
          <w:sz w:val="24"/>
          <w:szCs w:val="24"/>
        </w:rPr>
        <w:t>.</w:t>
      </w:r>
    </w:p>
    <w:p>
      <w:pPr>
        <w:pStyle w:val="p"/>
        <w:spacing w:before="0" w:after="180" w:line="330" w:lineRule="atLeast"/>
        <w:ind w:left="0" w:right="0"/>
        <w:rPr>
          <w:color w:val="646464"/>
          <w:sz w:val="24"/>
          <w:szCs w:val="24"/>
        </w:rPr>
      </w:pPr>
      <w:r>
        <w:rPr>
          <w:color w:val="646464"/>
          <w:sz w:val="24"/>
          <w:szCs w:val="24"/>
        </w:rPr>
        <w:t>Cependant :</w:t>
      </w:r>
    </w:p>
    <w:p>
      <w:pPr>
        <w:pStyle w:val="linotnth-last-child1"/>
        <w:numPr>
          <w:ilvl w:val="0"/>
          <w:numId w:val="45"/>
        </w:numPr>
        <w:spacing w:before="240" w:after="240" w:line="330" w:lineRule="atLeast"/>
        <w:ind w:left="720" w:right="0" w:hanging="360"/>
        <w:jc w:val="left"/>
        <w:rPr>
          <w:color w:val="646464"/>
          <w:sz w:val="24"/>
          <w:szCs w:val="24"/>
        </w:rPr>
      </w:pPr>
      <w:r>
        <w:rPr>
          <w:color w:val="646464"/>
          <w:sz w:val="24"/>
          <w:szCs w:val="24"/>
        </w:rPr>
        <w:t>Si l’assuré est différent du souscripteur, alors la désignation du bénéficiaire est subordonnée à l’accord de l’assuré.</w:t>
      </w:r>
    </w:p>
    <w:p>
      <w:pPr>
        <w:numPr>
          <w:ilvl w:val="0"/>
          <w:numId w:val="45"/>
        </w:numPr>
        <w:spacing w:after="240" w:line="330" w:lineRule="atLeast"/>
        <w:ind w:left="720" w:right="0" w:hanging="360"/>
        <w:jc w:val="left"/>
        <w:rPr>
          <w:color w:val="646464"/>
          <w:sz w:val="24"/>
          <w:szCs w:val="24"/>
        </w:rPr>
      </w:pPr>
      <w:r>
        <w:rPr>
          <w:color w:val="646464"/>
          <w:sz w:val="24"/>
          <w:szCs w:val="24"/>
        </w:rPr>
        <w:t>En présence d’une co-souscription : les deux adhérents doivent désigner ensemble les bénéficiaires.</w:t>
      </w:r>
    </w:p>
    <w:p>
      <w:pPr>
        <w:pStyle w:val="content"/>
        <w:spacing w:line="330" w:lineRule="atLeast"/>
        <w:rPr>
          <w:color w:val="646464"/>
          <w:sz w:val="24"/>
          <w:szCs w:val="24"/>
        </w:rPr>
      </w:pPr>
      <w:r>
        <w:rPr>
          <w:color w:val="646464"/>
          <w:sz w:val="24"/>
          <w:szCs w:val="24"/>
        </w:rPr>
        <w:t xml:space="preserve">  </w:t>
      </w:r>
    </w:p>
    <w:p>
      <w:pPr>
        <w:pStyle w:val="p"/>
        <w:spacing w:before="0" w:after="180" w:line="330" w:lineRule="atLeast"/>
        <w:ind w:left="0" w:right="0"/>
        <w:rPr>
          <w:color w:val="646464"/>
          <w:sz w:val="24"/>
          <w:szCs w:val="24"/>
        </w:rPr>
      </w:pPr>
      <w:r>
        <w:rPr>
          <w:rStyle w:val="pspannotpucenotfd-update"/>
          <w:color w:val="646464"/>
          <w:sz w:val="24"/>
          <w:szCs w:val="24"/>
          <w:u w:val="single" w:color="646464"/>
        </w:rPr>
        <w:t>Peu de restrictions</w:t>
      </w:r>
      <w:r>
        <w:rPr>
          <w:color w:val="646464"/>
          <w:sz w:val="24"/>
          <w:szCs w:val="24"/>
        </w:rPr>
        <w:t xml:space="preserve"> : La clause doit simplement respecter l’ordre public et les bonnes mœurs.</w:t>
      </w:r>
    </w:p>
    <w:p>
      <w:pPr>
        <w:pStyle w:val="linotnth-last-child1"/>
        <w:numPr>
          <w:ilvl w:val="0"/>
          <w:numId w:val="46"/>
        </w:numPr>
        <w:spacing w:before="240" w:after="240" w:line="330" w:lineRule="atLeast"/>
        <w:ind w:left="720" w:right="0" w:hanging="360"/>
        <w:jc w:val="left"/>
        <w:rPr>
          <w:color w:val="646464"/>
          <w:sz w:val="24"/>
          <w:szCs w:val="24"/>
        </w:rPr>
      </w:pPr>
      <w:r>
        <w:rPr>
          <w:color w:val="646464"/>
          <w:sz w:val="24"/>
          <w:szCs w:val="24"/>
        </w:rPr>
        <w:t>Personne physique</w:t>
      </w:r>
    </w:p>
    <w:p>
      <w:pPr>
        <w:numPr>
          <w:ilvl w:val="0"/>
          <w:numId w:val="46"/>
        </w:numPr>
        <w:spacing w:after="240" w:line="330" w:lineRule="atLeast"/>
        <w:ind w:left="720" w:right="0" w:hanging="360"/>
        <w:jc w:val="left"/>
        <w:rPr>
          <w:color w:val="646464"/>
          <w:sz w:val="24"/>
          <w:szCs w:val="24"/>
        </w:rPr>
      </w:pPr>
      <w:r>
        <w:rPr>
          <w:color w:val="646464"/>
          <w:sz w:val="24"/>
          <w:szCs w:val="24"/>
        </w:rPr>
        <w:t>Personne morale - Attention, le bénéfice du contrat va constituer un bénéfice exceptionnel qui doit être constaté en comptabilité.</w:t>
      </w:r>
    </w:p>
    <w:p>
      <w:pPr>
        <w:pStyle w:val="fd-document-box-redfd-document-box-title"/>
        <w:pageBreakBefore w:val="0"/>
        <w:pBdr>
          <w:top w:val="none" w:sz="0" w:space="12" w:color="auto"/>
          <w:left w:val="none" w:sz="0" w:space="24" w:color="auto"/>
          <w:bottom w:val="none" w:sz="0" w:space="0" w:color="auto"/>
          <w:right w:val="none" w:sz="0" w:space="24" w:color="auto"/>
        </w:pBdr>
        <w:shd w:val="clear" w:color="auto" w:fill="F5F5F5"/>
        <w:spacing w:before="0" w:after="240" w:line="240" w:lineRule="atLeast"/>
        <w:ind w:left="540" w:right="495"/>
        <w:outlineLvl w:val="4"/>
        <w:rPr>
          <w:b/>
          <w:bCs/>
          <w:color w:val="FF6E6E"/>
          <w:sz w:val="18"/>
          <w:szCs w:val="18"/>
        </w:rPr>
      </w:pPr>
      <w:r>
        <w:rPr>
          <w:b/>
          <w:bCs/>
          <w:color w:val="FF6E6E"/>
          <w:sz w:val="18"/>
          <w:szCs w:val="18"/>
        </w:rPr>
        <w:t>Point d'alerte : ne peuvent pas être désignés comme bénéficiaires</w:t>
      </w:r>
    </w:p>
    <w:p>
      <w:pPr>
        <w:pStyle w:val="linotnth-last-child1"/>
        <w:numPr>
          <w:ilvl w:val="0"/>
          <w:numId w:val="47"/>
        </w:numPr>
        <w:shd w:val="clear" w:color="auto" w:fill="F5F5F5"/>
        <w:spacing w:before="240" w:after="240" w:line="300" w:lineRule="atLeast"/>
        <w:ind w:left="540" w:right="495" w:hanging="360"/>
        <w:jc w:val="left"/>
        <w:rPr>
          <w:color w:val="646464"/>
          <w:sz w:val="21"/>
          <w:szCs w:val="21"/>
        </w:rPr>
      </w:pPr>
      <w:r>
        <w:rPr>
          <w:color w:val="646464"/>
          <w:sz w:val="21"/>
          <w:szCs w:val="21"/>
        </w:rPr>
        <w:t>docteurs en médecine ou  pharmaciens ayant traité le souscripteur pendant la maladie dont il décède, sauf cas de parenté de 4ème degré inclusivement ;</w:t>
      </w:r>
    </w:p>
    <w:p>
      <w:pPr>
        <w:pStyle w:val="linotnth-last-child1"/>
        <w:numPr>
          <w:ilvl w:val="0"/>
          <w:numId w:val="47"/>
        </w:numPr>
        <w:shd w:val="clear" w:color="auto" w:fill="F5F5F5"/>
        <w:spacing w:after="240" w:line="300" w:lineRule="atLeast"/>
        <w:ind w:left="540" w:right="495" w:hanging="360"/>
        <w:jc w:val="left"/>
        <w:rPr>
          <w:color w:val="646464"/>
          <w:sz w:val="21"/>
          <w:szCs w:val="21"/>
        </w:rPr>
      </w:pPr>
      <w:r>
        <w:rPr>
          <w:color w:val="646464"/>
          <w:sz w:val="21"/>
          <w:szCs w:val="21"/>
        </w:rPr>
        <w:t>ministres du culte du souscripteur ;</w:t>
      </w:r>
    </w:p>
    <w:p>
      <w:pPr>
        <w:numPr>
          <w:ilvl w:val="0"/>
          <w:numId w:val="47"/>
        </w:numPr>
        <w:shd w:val="clear" w:color="auto" w:fill="F5F5F5"/>
        <w:spacing w:after="240" w:line="300" w:lineRule="atLeast"/>
        <w:ind w:left="540" w:right="495" w:hanging="360"/>
        <w:jc w:val="left"/>
        <w:rPr>
          <w:color w:val="646464"/>
          <w:sz w:val="21"/>
          <w:szCs w:val="21"/>
        </w:rPr>
      </w:pPr>
      <w:r>
        <w:rPr>
          <w:color w:val="646464"/>
          <w:sz w:val="21"/>
          <w:szCs w:val="21"/>
        </w:rPr>
        <w:t>personnes physiques ou morales propriétaires, administrateurs ou employés des établissements hébergeant des mineurs, des personnes âgées, des personnes handicapées ou inadaptées ou en détresse, les bénévoles qui interviennent en leur sein et les associations auxquelles ces derniers adhèrent, quand le souscripteur est hébergé dans le ou les établissements dont il s’agit.</w:t>
      </w:r>
    </w:p>
    <w:p>
      <w:pPr>
        <w:pStyle w:val="fd-document-box-redfd-document-box-descriptionpnth-last-child1"/>
        <w:pBdr>
          <w:top w:val="none" w:sz="0" w:space="0" w:color="auto"/>
          <w:left w:val="none" w:sz="0" w:space="24" w:color="auto"/>
          <w:bottom w:val="none" w:sz="0" w:space="12" w:color="auto"/>
          <w:right w:val="none" w:sz="0" w:space="24" w:color="auto"/>
        </w:pBdr>
        <w:shd w:val="clear" w:color="auto" w:fill="F5F5F5"/>
        <w:spacing w:before="0" w:after="540" w:line="300" w:lineRule="atLeast"/>
        <w:ind w:left="540" w:right="495"/>
        <w:rPr>
          <w:color w:val="646464"/>
          <w:sz w:val="21"/>
          <w:szCs w:val="21"/>
        </w:rPr>
      </w:pPr>
      <w:r>
        <w:rPr>
          <w:color w:val="646464"/>
          <w:sz w:val="21"/>
          <w:szCs w:val="21"/>
        </w:rPr>
        <w:t>D’une manière générale, il convient de vérifier les éventuelles contraintes déontologiques professionnelles qui peuvent peser sur le bénéficiaire envisagé.</w:t>
      </w:r>
    </w:p>
    <w:p>
      <w:pPr>
        <w:pStyle w:val="fd-document-box-blackfd-document-box-title"/>
        <w:pageBreakBefore w:val="0"/>
        <w:pBdr>
          <w:top w:val="none" w:sz="0" w:space="12" w:color="auto"/>
          <w:left w:val="none" w:sz="0" w:space="24" w:color="auto"/>
          <w:bottom w:val="none" w:sz="0" w:space="0" w:color="auto"/>
          <w:right w:val="none" w:sz="0" w:space="24" w:color="auto"/>
        </w:pBdr>
        <w:shd w:val="clear" w:color="auto" w:fill="F5F5F5"/>
        <w:spacing w:before="0" w:after="240" w:line="240" w:lineRule="atLeast"/>
        <w:ind w:left="540" w:right="495"/>
        <w:outlineLvl w:val="4"/>
        <w:rPr>
          <w:b/>
          <w:bCs/>
          <w:color w:val="202020"/>
          <w:sz w:val="18"/>
          <w:szCs w:val="18"/>
        </w:rPr>
      </w:pPr>
      <w:r>
        <w:rPr>
          <w:b/>
          <w:bCs/>
          <w:color w:val="202020"/>
          <w:sz w:val="18"/>
          <w:szCs w:val="18"/>
        </w:rPr>
        <w:t>Focus : le cas particulier du contrat souscrit pour le compte d’un mineur</w:t>
      </w:r>
    </w:p>
    <w:p>
      <w:pPr>
        <w:pStyle w:val="fd-document-box-blackfd-document-box-descriptionanyParagraph"/>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rPr>
        <w:t>L'article L.132-3 du Code des assurances interdit de contracter une assurance en cas de décès sur la tête d'un mineur âgé de moins de douze ans. Cette interdiction ne s'applique cependant qu'aux contrats d'assurance individuels comportant une garantie en cas de décès et pas aux contrats d'assurance en cas de vie comportant une simple contre-assurance à titre accessoire.</w:t>
      </w:r>
    </w:p>
    <w:p>
      <w:pPr>
        <w:pStyle w:val="fd-document-box-blackfd-document-box-descriptionanyParagraph"/>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rStyle w:val="pspannotpucenotfd-update"/>
          <w:color w:val="646464"/>
          <w:sz w:val="21"/>
          <w:szCs w:val="21"/>
          <w:u w:val="single" w:color="646464"/>
        </w:rPr>
        <w:t>En présence d'un contrat d'assurance en cas de vie avec contre-assurance</w:t>
      </w:r>
      <w:r>
        <w:rPr>
          <w:color w:val="646464"/>
          <w:sz w:val="21"/>
          <w:szCs w:val="21"/>
        </w:rPr>
        <w:t xml:space="preserve"> :</w:t>
      </w:r>
    </w:p>
    <w:p>
      <w:pPr>
        <w:pStyle w:val="linotnth-last-child1"/>
        <w:numPr>
          <w:ilvl w:val="0"/>
          <w:numId w:val="48"/>
        </w:numPr>
        <w:shd w:val="clear" w:color="auto" w:fill="F5F5F5"/>
        <w:spacing w:before="240" w:after="240" w:line="300" w:lineRule="atLeast"/>
        <w:ind w:left="540" w:right="495" w:hanging="360"/>
        <w:jc w:val="left"/>
        <w:rPr>
          <w:color w:val="646464"/>
          <w:sz w:val="21"/>
          <w:szCs w:val="21"/>
        </w:rPr>
      </w:pPr>
      <w:r>
        <w:rPr>
          <w:color w:val="646464"/>
          <w:sz w:val="21"/>
          <w:szCs w:val="21"/>
        </w:rPr>
        <w:t>Jusqu'au douzième anniversaire de l’enfant : nécessité de ne pas désigner de bénéficiaire en cas de décès de l'enfant. Il pourra seulement être envisagé une clause neutre désignant les héritiers de l'assuré.</w:t>
      </w:r>
    </w:p>
    <w:p>
      <w:pPr>
        <w:numPr>
          <w:ilvl w:val="0"/>
          <w:numId w:val="48"/>
        </w:numPr>
        <w:shd w:val="clear" w:color="auto" w:fill="F5F5F5"/>
        <w:spacing w:after="600" w:line="300" w:lineRule="atLeast"/>
        <w:ind w:left="540" w:right="495" w:hanging="360"/>
        <w:jc w:val="left"/>
        <w:rPr>
          <w:color w:val="646464"/>
          <w:sz w:val="21"/>
          <w:szCs w:val="21"/>
        </w:rPr>
      </w:pPr>
      <w:r>
        <w:rPr>
          <w:color w:val="646464"/>
          <w:sz w:val="21"/>
          <w:szCs w:val="21"/>
        </w:rPr>
        <w:t>Une fois atteint l'âge de seize ans : le mineur non émancipé pourra désigner par le biais d'un testament un bénéficiaire de son choix jusqu'à la moitié de la quotité disponible en application de l'article 904 du Code civil alinéa 1er.</w:t>
      </w:r>
    </w:p>
    <w:p>
      <w:pPr>
        <w:pStyle w:val="Heading3"/>
        <w:pageBreakBefore w:val="0"/>
        <w:spacing w:before="0" w:after="240" w:line="330" w:lineRule="atLeast"/>
        <w:ind w:left="0" w:right="0"/>
        <w:rPr>
          <w:b/>
          <w:bCs/>
          <w:color w:val="202020"/>
          <w:sz w:val="28"/>
          <w:szCs w:val="24"/>
        </w:rPr>
      </w:pPr>
      <w:r>
        <w:rPr>
          <w:b/>
          <w:bCs/>
          <w:color w:val="202020"/>
          <w:sz w:val="24"/>
          <w:szCs w:val="24"/>
        </w:rPr>
        <w:t>5.2.</w:t>
      </w:r>
      <w:r>
        <w:rPr>
          <w:b/>
          <w:bCs/>
          <w:color w:val="202020"/>
          <w:sz w:val="24"/>
          <w:szCs w:val="24"/>
        </w:rPr>
        <w:t xml:space="preserve"> Quelles sont les modalités de désignation ?</w:t>
      </w:r>
    </w:p>
    <w:p>
      <w:pPr>
        <w:pStyle w:val="p"/>
        <w:spacing w:before="0" w:after="180" w:line="330" w:lineRule="atLeast"/>
        <w:ind w:left="0" w:right="0"/>
        <w:rPr>
          <w:color w:val="646464"/>
          <w:sz w:val="24"/>
          <w:szCs w:val="24"/>
        </w:rPr>
      </w:pPr>
      <w:r>
        <w:rPr>
          <w:rStyle w:val="pspannotpucenotfd-update"/>
          <w:color w:val="646464"/>
          <w:sz w:val="24"/>
          <w:szCs w:val="24"/>
          <w:u w:val="single" w:color="646464"/>
        </w:rPr>
        <w:t>La désignation du bénéficiaire est possible à tout moment, selon toutes les formes</w:t>
      </w:r>
      <w:r>
        <w:rPr>
          <w:color w:val="646464"/>
          <w:sz w:val="24"/>
          <w:szCs w:val="24"/>
        </w:rPr>
        <w:t xml:space="preserve"> :</w:t>
      </w:r>
    </w:p>
    <w:p>
      <w:pPr>
        <w:pStyle w:val="linotnth-last-child1"/>
        <w:numPr>
          <w:ilvl w:val="0"/>
          <w:numId w:val="49"/>
        </w:numPr>
        <w:spacing w:before="240" w:after="240" w:line="330" w:lineRule="atLeast"/>
        <w:ind w:left="720" w:right="0" w:hanging="360"/>
        <w:jc w:val="left"/>
        <w:rPr>
          <w:color w:val="646464"/>
          <w:sz w:val="24"/>
          <w:szCs w:val="24"/>
        </w:rPr>
      </w:pPr>
      <w:r>
        <w:rPr>
          <w:color w:val="646464"/>
          <w:sz w:val="24"/>
          <w:szCs w:val="24"/>
        </w:rPr>
        <w:t>Elle peut être faite dans la police d’assurance, par avenant au contrat, par testament ou simple lettre adressée à la compagnie.</w:t>
      </w:r>
    </w:p>
    <w:p>
      <w:pPr>
        <w:pStyle w:val="linotnth-last-child1"/>
        <w:numPr>
          <w:ilvl w:val="0"/>
          <w:numId w:val="49"/>
        </w:numPr>
        <w:spacing w:after="240" w:line="330" w:lineRule="atLeast"/>
        <w:ind w:left="720" w:right="0" w:hanging="360"/>
        <w:jc w:val="left"/>
        <w:rPr>
          <w:color w:val="646464"/>
          <w:sz w:val="24"/>
          <w:szCs w:val="24"/>
        </w:rPr>
      </w:pPr>
      <w:r>
        <w:rPr>
          <w:color w:val="646464"/>
          <w:sz w:val="24"/>
          <w:szCs w:val="24"/>
        </w:rPr>
        <w:t>Elle peut être rédigée par deux personnes en cas de co-souscription (sauf si testament)</w:t>
      </w:r>
    </w:p>
    <w:p>
      <w:pPr>
        <w:numPr>
          <w:ilvl w:val="0"/>
          <w:numId w:val="49"/>
        </w:numPr>
        <w:spacing w:after="240" w:line="330" w:lineRule="atLeast"/>
        <w:ind w:left="720" w:right="0" w:hanging="360"/>
        <w:jc w:val="left"/>
        <w:rPr>
          <w:color w:val="646464"/>
          <w:sz w:val="24"/>
          <w:szCs w:val="24"/>
        </w:rPr>
      </w:pPr>
      <w:r>
        <w:rPr>
          <w:color w:val="646464"/>
          <w:sz w:val="24"/>
          <w:szCs w:val="24"/>
        </w:rPr>
        <w:t>Preuve libre, appréciation souveraine des juges.</w:t>
      </w:r>
    </w:p>
    <w:p>
      <w:pPr>
        <w:pStyle w:val="p"/>
        <w:spacing w:before="0" w:after="180" w:line="330" w:lineRule="atLeast"/>
        <w:ind w:left="0" w:right="0"/>
        <w:rPr>
          <w:color w:val="646464"/>
          <w:sz w:val="24"/>
          <w:szCs w:val="24"/>
        </w:rPr>
      </w:pPr>
      <w:r>
        <w:rPr>
          <w:rStyle w:val="pspannotpucenotfd-update"/>
          <w:color w:val="646464"/>
          <w:sz w:val="24"/>
          <w:szCs w:val="24"/>
          <w:u w:val="single" w:color="646464"/>
        </w:rPr>
        <w:t>La modification de la clause bénéficiaire est possible à tout moment et par tous moyens jusqu’au décès</w:t>
      </w:r>
      <w:r>
        <w:rPr>
          <w:color w:val="646464"/>
          <w:sz w:val="24"/>
          <w:szCs w:val="24"/>
        </w:rPr>
        <w:t xml:space="preserve"> :</w:t>
      </w:r>
    </w:p>
    <w:p>
      <w:pPr>
        <w:pStyle w:val="linotnth-last-child1"/>
        <w:numPr>
          <w:ilvl w:val="0"/>
          <w:numId w:val="50"/>
        </w:numPr>
        <w:spacing w:before="240" w:after="240" w:line="330" w:lineRule="atLeast"/>
        <w:ind w:left="720" w:right="0" w:hanging="360"/>
        <w:jc w:val="left"/>
        <w:rPr>
          <w:color w:val="646464"/>
          <w:sz w:val="24"/>
          <w:szCs w:val="24"/>
        </w:rPr>
      </w:pPr>
      <w:r>
        <w:rPr>
          <w:color w:val="646464"/>
          <w:sz w:val="24"/>
          <w:szCs w:val="24"/>
        </w:rPr>
        <w:t>Le testament peut modifier la clause bénéficiaire même s’il n’est connu de l’assureur qu’après le décès.</w:t>
      </w:r>
    </w:p>
    <w:p>
      <w:pPr>
        <w:numPr>
          <w:ilvl w:val="0"/>
          <w:numId w:val="50"/>
        </w:numPr>
        <w:spacing w:after="240" w:line="330" w:lineRule="atLeast"/>
        <w:ind w:left="720" w:right="0" w:hanging="360"/>
        <w:jc w:val="left"/>
        <w:rPr>
          <w:color w:val="646464"/>
          <w:sz w:val="24"/>
          <w:szCs w:val="24"/>
        </w:rPr>
      </w:pPr>
      <w:r>
        <w:rPr>
          <w:color w:val="646464"/>
          <w:sz w:val="24"/>
          <w:szCs w:val="24"/>
        </w:rPr>
        <w:t>Preuve libre, appréciation souveraine des juges.</w:t>
      </w:r>
    </w:p>
    <w:p>
      <w:pPr>
        <w:pStyle w:val="Heading3"/>
        <w:pageBreakBefore w:val="0"/>
        <w:spacing w:before="0" w:after="240" w:line="330" w:lineRule="atLeast"/>
        <w:ind w:left="0" w:right="0"/>
        <w:rPr>
          <w:b/>
          <w:bCs/>
          <w:color w:val="202020"/>
          <w:sz w:val="28"/>
          <w:szCs w:val="24"/>
        </w:rPr>
      </w:pPr>
      <w:r>
        <w:rPr>
          <w:b/>
          <w:bCs/>
          <w:color w:val="202020"/>
          <w:sz w:val="24"/>
          <w:szCs w:val="24"/>
        </w:rPr>
        <w:t>5.3.</w:t>
      </w:r>
      <w:r>
        <w:rPr>
          <w:b/>
          <w:bCs/>
          <w:color w:val="202020"/>
          <w:sz w:val="24"/>
          <w:szCs w:val="24"/>
        </w:rPr>
        <w:t xml:space="preserve"> Quelles précautions prendre dans la rédaction de la clause bénéficiaire ?</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Principe : Le bénéficiaire doit être déterminé ou déterminable </w:t>
      </w:r>
    </w:p>
    <w:p>
      <w:pPr>
        <w:pStyle w:val="linotnth-last-child1"/>
        <w:numPr>
          <w:ilvl w:val="0"/>
          <w:numId w:val="51"/>
        </w:numPr>
        <w:spacing w:before="240" w:after="240" w:line="330" w:lineRule="atLeast"/>
        <w:ind w:left="720" w:right="0" w:hanging="360"/>
        <w:jc w:val="left"/>
        <w:rPr>
          <w:color w:val="646464"/>
          <w:sz w:val="24"/>
          <w:szCs w:val="24"/>
        </w:rPr>
      </w:pPr>
      <w:r>
        <w:rPr>
          <w:color w:val="646464"/>
          <w:sz w:val="24"/>
          <w:szCs w:val="24"/>
        </w:rPr>
        <w:t>désignation nominative (nom et prénom du bénéficiaire)</w:t>
      </w:r>
    </w:p>
    <w:p>
      <w:pPr>
        <w:numPr>
          <w:ilvl w:val="0"/>
          <w:numId w:val="51"/>
        </w:numPr>
        <w:spacing w:after="240" w:line="330" w:lineRule="atLeast"/>
        <w:ind w:left="720" w:right="0" w:hanging="360"/>
        <w:jc w:val="left"/>
        <w:rPr>
          <w:color w:val="646464"/>
          <w:sz w:val="24"/>
          <w:szCs w:val="24"/>
        </w:rPr>
      </w:pPr>
      <w:r>
        <w:rPr>
          <w:color w:val="646464"/>
          <w:sz w:val="24"/>
          <w:szCs w:val="24"/>
        </w:rPr>
        <w:t>désignation indirecte (mention du statut de la personne</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Points d’alerte :</w:t>
      </w:r>
    </w:p>
    <w:p>
      <w:pPr>
        <w:pStyle w:val="fd-chevron-lvl2"/>
        <w:pBdr>
          <w:left w:val="none" w:sz="0" w:space="18" w:color="auto"/>
        </w:pBdr>
        <w:spacing w:before="0" w:after="240" w:line="330" w:lineRule="atLeast"/>
        <w:ind w:left="360" w:right="0"/>
        <w:rPr>
          <w:b w:val="0"/>
          <w:bCs w:val="0"/>
          <w:color w:val="202020"/>
          <w:sz w:val="24"/>
          <w:szCs w:val="24"/>
        </w:rPr>
      </w:pPr>
      <w:r>
        <w:rPr>
          <w:b w:val="0"/>
          <w:bCs w:val="0"/>
          <w:color w:val="202020"/>
          <w:sz w:val="24"/>
          <w:szCs w:val="24"/>
        </w:rPr>
        <w:t>Attention aux clauses types :</w:t>
      </w:r>
    </w:p>
    <w:tbl>
      <w:tblPr>
        <w:tblStyle w:val="table"/>
        <w:tblW w:w="5000" w:type="pct"/>
        <w:tblInd w:w="16" w:type="dxa"/>
        <w:tblBorders>
          <w:top w:val="outset" w:sz="6" w:space="0" w:color="808080"/>
          <w:left w:val="outset" w:sz="6" w:space="0" w:color="808080"/>
          <w:bottom w:val="outset" w:sz="6" w:space="0" w:color="808080"/>
          <w:right w:val="outset" w:sz="6" w:space="0" w:color="808080"/>
        </w:tblBorders>
        <w:shd w:val="clear" w:color="auto" w:fill="FFFFFF"/>
        <w:tblCellMar>
          <w:top w:w="0" w:type="dxa"/>
          <w:left w:w="0" w:type="dxa"/>
          <w:bottom w:w="0" w:type="dxa"/>
          <w:right w:w="0" w:type="dxa"/>
        </w:tblCellMar>
        <w:tblLook w:val="05E0"/>
      </w:tblPr>
      <w:tblGrid>
        <w:gridCol w:w="2057"/>
        <w:gridCol w:w="8814"/>
      </w:tblGrid>
      <w:tr>
        <w:tblPrEx>
          <w:tblW w:w="5000" w:type="pct"/>
          <w:tblInd w:w="16" w:type="dxa"/>
          <w:tblBorders>
            <w:top w:val="outset" w:sz="6" w:space="0" w:color="808080"/>
            <w:left w:val="outset" w:sz="6" w:space="0" w:color="808080"/>
            <w:bottom w:val="outset" w:sz="6" w:space="0" w:color="808080"/>
            <w:right w:val="outset" w:sz="6" w:space="0" w:color="808080"/>
          </w:tblBorders>
          <w:shd w:val="clear" w:color="auto" w:fill="FFFFFF"/>
          <w:tblCellMar>
            <w:top w:w="0" w:type="dxa"/>
            <w:left w:w="0" w:type="dxa"/>
            <w:bottom w:w="0" w:type="dxa"/>
            <w:right w:w="0" w:type="dxa"/>
          </w:tblCellMar>
          <w:tblLook w:val="05E0"/>
        </w:tblPrEx>
        <w:trPr>
          <w:tblHeader/>
        </w:trPr>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b/>
                <w:bCs/>
                <w:color w:val="202020"/>
                <w:sz w:val="21"/>
                <w:szCs w:val="21"/>
              </w:rPr>
            </w:pPr>
            <w:r>
              <w:rPr>
                <w:b/>
                <w:bCs/>
                <w:color w:val="202020"/>
                <w:sz w:val="21"/>
                <w:szCs w:val="21"/>
              </w:rPr>
              <w:t>"</w:t>
            </w:r>
            <w:r>
              <w:rPr>
                <w:b/>
                <w:bCs/>
                <w:i/>
                <w:iCs/>
                <w:color w:val="202020"/>
                <w:sz w:val="21"/>
                <w:szCs w:val="21"/>
              </w:rPr>
              <w:t>mes enfants nés ou à naître</w:t>
            </w:r>
            <w:r>
              <w:rPr>
                <w:b/>
                <w:bCs/>
                <w:color w:val="202020"/>
                <w:sz w:val="21"/>
                <w:szCs w:val="21"/>
              </w:rPr>
              <w: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L’appréciation sera faite au jour du décès : seront bénéficiaires les enfants nés ou conçus mais non encore nés au jour du dénouement.</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w:t>
            </w:r>
            <w:r>
              <w:rPr>
                <w:i/>
                <w:iCs/>
                <w:color w:val="202020"/>
                <w:sz w:val="21"/>
                <w:szCs w:val="21"/>
              </w:rPr>
              <w:t>mon conjoint</w:t>
            </w:r>
            <w:r>
              <w:rPr>
                <w:color w:val="202020"/>
                <w:sz w:val="21"/>
                <w:szCs w:val="21"/>
              </w:rPr>
              <w: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p"/>
              <w:spacing w:before="0" w:after="180" w:line="300" w:lineRule="atLeast"/>
              <w:ind w:left="0" w:right="0"/>
              <w:rPr>
                <w:color w:val="646464"/>
                <w:sz w:val="21"/>
                <w:szCs w:val="21"/>
              </w:rPr>
            </w:pPr>
            <w:r>
              <w:rPr>
                <w:color w:val="646464"/>
                <w:sz w:val="21"/>
                <w:szCs w:val="21"/>
              </w:rPr>
              <w:t>Appréciation au jour du décès.</w:t>
            </w:r>
          </w:p>
          <w:p>
            <w:pPr>
              <w:pStyle w:val="fd-document-box-redfd-document-box-title"/>
              <w:pageBreakBefore w:val="0"/>
              <w:pBdr>
                <w:top w:val="single" w:sz="6" w:space="12" w:color="D6D6D6"/>
                <w:left w:val="single" w:sz="24" w:space="24" w:color="FF6E6E"/>
                <w:bottom w:val="single" w:sz="6" w:space="12" w:color="D6D6D6"/>
                <w:right w:val="single" w:sz="6" w:space="24" w:color="D6D6D6"/>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 :</w:t>
            </w:r>
          </w:p>
          <w:p>
            <w:pPr>
              <w:pStyle w:val="fd-document-box-redfd-document-box-descriptionpnth-last-child1"/>
              <w:pBdr>
                <w:top w:val="single" w:sz="6" w:space="12" w:color="D6D6D6"/>
                <w:left w:val="single" w:sz="24" w:space="24" w:color="FF6E6E"/>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Le concubin ou le partenaire pacsé n’est pas considéré comme "conjoint", sauf interprétation dans ce sens par le juge.</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w:t>
            </w:r>
            <w:r>
              <w:rPr>
                <w:i/>
                <w:iCs/>
                <w:color w:val="202020"/>
                <w:sz w:val="21"/>
                <w:szCs w:val="21"/>
              </w:rPr>
              <w:t>mon concubin</w:t>
            </w:r>
            <w:r>
              <w:rPr>
                <w:color w:val="202020"/>
                <w:sz w:val="21"/>
                <w:szCs w:val="21"/>
              </w:rPr>
              <w: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Le concubinage est une situation de fait qui peut être contestée par les héritiers. Dans une telle hypothèse il convient de privilégier une désignation nominative.</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w:t>
            </w:r>
            <w:r>
              <w:rPr>
                <w:i/>
                <w:iCs/>
                <w:color w:val="202020"/>
                <w:sz w:val="21"/>
                <w:szCs w:val="21"/>
              </w:rPr>
              <w:t>mes héritiers</w:t>
            </w:r>
            <w:r>
              <w:rPr>
                <w:color w:val="202020"/>
                <w:sz w:val="21"/>
                <w:szCs w:val="21"/>
              </w:rPr>
              <w: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rPr>
                <w:color w:val="646464"/>
                <w:sz w:val="21"/>
                <w:szCs w:val="21"/>
              </w:rPr>
            </w:pPr>
            <w:r>
              <w:rPr>
                <w:color w:val="646464"/>
                <w:sz w:val="21"/>
                <w:szCs w:val="21"/>
              </w:rPr>
              <w:t xml:space="preserve">La notion d’héritiers est identique à celle définie par le droit des successions, lesquels sont considérés comme des bénéficiaires déterminés (donc pas de réintégration des sommes dans la succession). </w:t>
            </w:r>
          </w:p>
          <w:p>
            <w:pPr>
              <w:pStyle w:val="fd-document-box-bluefd-document-box-title"/>
              <w:pageBreakBefore w:val="0"/>
              <w:pBdr>
                <w:top w:val="none" w:sz="0" w:space="12" w:color="auto"/>
                <w:left w:val="none" w:sz="0" w:space="24" w:color="auto"/>
                <w:bottom w:val="none" w:sz="0" w:space="0" w:color="auto"/>
                <w:right w:val="none" w:sz="0" w:space="24" w:color="auto"/>
              </w:pBdr>
              <w:shd w:val="clear" w:color="auto" w:fill="F5F5F5"/>
              <w:spacing w:before="0" w:after="240" w:line="240" w:lineRule="atLeast"/>
              <w:ind w:left="540" w:right="495"/>
              <w:outlineLvl w:val="4"/>
              <w:rPr>
                <w:b/>
                <w:bCs/>
                <w:color w:val="4623EB"/>
                <w:sz w:val="18"/>
                <w:szCs w:val="18"/>
              </w:rPr>
            </w:pPr>
            <w:r>
              <w:rPr>
                <w:b/>
                <w:bCs/>
                <w:color w:val="4623EB"/>
                <w:sz w:val="18"/>
                <w:szCs w:val="18"/>
              </w:rPr>
              <w:t>Conseil :</w:t>
            </w:r>
          </w:p>
          <w:p>
            <w:pPr>
              <w:pStyle w:val="linotnth-last-child1"/>
              <w:numPr>
                <w:ilvl w:val="0"/>
                <w:numId w:val="52"/>
              </w:numPr>
              <w:shd w:val="clear" w:color="auto" w:fill="F5F5F5"/>
              <w:spacing w:before="240" w:after="240" w:line="300" w:lineRule="atLeast"/>
              <w:ind w:left="540" w:right="495" w:hanging="360"/>
              <w:jc w:val="left"/>
              <w:rPr>
                <w:color w:val="646464"/>
                <w:sz w:val="21"/>
                <w:szCs w:val="21"/>
              </w:rPr>
            </w:pPr>
            <w:r>
              <w:rPr>
                <w:color w:val="646464"/>
                <w:sz w:val="21"/>
                <w:szCs w:val="21"/>
              </w:rPr>
              <w:t>Si l’on désire appliquer la dévolution légale on adoptera le terme "</w:t>
            </w:r>
            <w:r>
              <w:rPr>
                <w:i/>
                <w:iCs/>
                <w:color w:val="646464"/>
                <w:sz w:val="21"/>
                <w:szCs w:val="21"/>
              </w:rPr>
              <w:t>mes héritiers légaux</w:t>
            </w:r>
            <w:r>
              <w:rPr>
                <w:color w:val="646464"/>
                <w:sz w:val="21"/>
                <w:szCs w:val="21"/>
              </w:rPr>
              <w:t>".</w:t>
            </w:r>
          </w:p>
          <w:p>
            <w:pPr>
              <w:numPr>
                <w:ilvl w:val="0"/>
                <w:numId w:val="52"/>
              </w:numPr>
              <w:shd w:val="clear" w:color="auto" w:fill="F5F5F5"/>
              <w:spacing w:after="600" w:line="300" w:lineRule="atLeast"/>
              <w:ind w:left="540" w:right="495" w:hanging="360"/>
              <w:jc w:val="left"/>
              <w:rPr>
                <w:color w:val="646464"/>
                <w:sz w:val="21"/>
                <w:szCs w:val="21"/>
              </w:rPr>
            </w:pPr>
            <w:r>
              <w:rPr>
                <w:color w:val="646464"/>
                <w:sz w:val="21"/>
                <w:szCs w:val="21"/>
              </w:rPr>
              <w:t>Si au contraire on désire prendre en compte des dispositions de dernières volontés, on adoptera le terme de "</w:t>
            </w:r>
            <w:r>
              <w:rPr>
                <w:i/>
                <w:iCs/>
                <w:color w:val="646464"/>
                <w:sz w:val="21"/>
                <w:szCs w:val="21"/>
              </w:rPr>
              <w:t>mes ayants-droits</w:t>
            </w:r>
            <w:r>
              <w:rPr>
                <w:color w:val="646464"/>
                <w:sz w:val="21"/>
                <w:szCs w:val="21"/>
              </w:rPr>
              <w:t>"</w:t>
            </w:r>
          </w:p>
        </w:tc>
      </w:tr>
    </w:tbl>
    <w:p>
      <w:pPr>
        <w:pStyle w:val="fd-chevron-lvl2"/>
        <w:pBdr>
          <w:left w:val="none" w:sz="0" w:space="18" w:color="auto"/>
        </w:pBdr>
        <w:spacing w:before="0" w:after="180" w:line="330" w:lineRule="atLeast"/>
        <w:ind w:left="360" w:right="0"/>
        <w:rPr>
          <w:b w:val="0"/>
          <w:bCs w:val="0"/>
          <w:color w:val="202020"/>
          <w:sz w:val="24"/>
          <w:szCs w:val="24"/>
        </w:rPr>
      </w:pPr>
      <w:r>
        <w:rPr>
          <w:b w:val="0"/>
          <w:bCs w:val="0"/>
          <w:color w:val="202020"/>
          <w:sz w:val="24"/>
          <w:szCs w:val="24"/>
        </w:rPr>
        <w:t>Ne pas rajouter de mots pouvant créer des incertitudes</w:t>
      </w:r>
    </w:p>
    <w:p>
      <w:pPr>
        <w:pStyle w:val="p"/>
        <w:spacing w:before="0" w:after="180" w:line="330" w:lineRule="atLeast"/>
        <w:ind w:left="0" w:right="0"/>
        <w:rPr>
          <w:color w:val="646464"/>
          <w:sz w:val="24"/>
          <w:szCs w:val="24"/>
        </w:rPr>
      </w:pPr>
      <w:r>
        <w:rPr>
          <w:color w:val="646464"/>
          <w:sz w:val="24"/>
          <w:szCs w:val="24"/>
          <w:u w:val="single" w:color="646464"/>
        </w:rPr>
        <w:t>Exemples</w:t>
      </w:r>
      <w:r>
        <w:rPr>
          <w:color w:val="646464"/>
          <w:sz w:val="24"/>
          <w:szCs w:val="24"/>
        </w:rPr>
        <w:t xml:space="preserve"> :  mes héritiers "</w:t>
      </w:r>
      <w:r>
        <w:rPr>
          <w:i/>
          <w:iCs/>
          <w:color w:val="646464"/>
          <w:sz w:val="24"/>
          <w:szCs w:val="24"/>
        </w:rPr>
        <w:t>par parts égales"</w:t>
      </w:r>
      <w:r>
        <w:rPr>
          <w:color w:val="646464"/>
          <w:sz w:val="24"/>
          <w:szCs w:val="24"/>
        </w:rPr>
        <w:t> ; mes enfants vivants ou représentés par parts égales "</w:t>
      </w:r>
      <w:r>
        <w:rPr>
          <w:i/>
          <w:iCs/>
          <w:color w:val="646464"/>
          <w:sz w:val="24"/>
          <w:szCs w:val="24"/>
        </w:rPr>
        <w:t>entre eux"</w:t>
      </w:r>
      <w:r>
        <w:rPr>
          <w:color w:val="646464"/>
          <w:sz w:val="24"/>
          <w:szCs w:val="24"/>
        </w:rPr>
        <w:t> ; mon épouse "</w:t>
      </w:r>
      <w:r>
        <w:rPr>
          <w:i/>
          <w:iCs/>
          <w:color w:val="646464"/>
          <w:sz w:val="24"/>
          <w:szCs w:val="24"/>
        </w:rPr>
        <w:t>Marie Dupont"</w:t>
      </w:r>
      <w:r>
        <w:rPr>
          <w:color w:val="646464"/>
          <w:sz w:val="24"/>
          <w:szCs w:val="24"/>
        </w:rPr>
        <w:t> (si Marie Dupont n’est plus épouse au moment du décès, le nom primera néanmoins sur la qualité).</w:t>
      </w:r>
    </w:p>
    <w:p>
      <w:pPr>
        <w:pStyle w:val="fd-chevron-lvl2"/>
        <w:pBdr>
          <w:left w:val="none" w:sz="0" w:space="18" w:color="auto"/>
        </w:pBdr>
        <w:spacing w:before="0" w:after="180" w:line="330" w:lineRule="atLeast"/>
        <w:ind w:left="360" w:right="0"/>
        <w:rPr>
          <w:b w:val="0"/>
          <w:bCs w:val="0"/>
          <w:color w:val="202020"/>
          <w:sz w:val="24"/>
          <w:szCs w:val="24"/>
        </w:rPr>
      </w:pPr>
      <w:r>
        <w:rPr>
          <w:b w:val="0"/>
          <w:bCs w:val="0"/>
          <w:color w:val="202020"/>
          <w:sz w:val="24"/>
          <w:szCs w:val="24"/>
        </w:rPr>
        <w:t>Attention aux clauses sans renonciation possible</w:t>
      </w:r>
    </w:p>
    <w:p>
      <w:pPr>
        <w:pStyle w:val="p"/>
        <w:spacing w:before="0" w:after="180" w:line="330" w:lineRule="atLeast"/>
        <w:ind w:left="0" w:right="0"/>
        <w:rPr>
          <w:color w:val="646464"/>
          <w:sz w:val="24"/>
          <w:szCs w:val="24"/>
        </w:rPr>
      </w:pPr>
      <w:r>
        <w:rPr>
          <w:color w:val="646464"/>
          <w:sz w:val="24"/>
          <w:szCs w:val="24"/>
          <w:u w:val="single" w:color="646464"/>
        </w:rPr>
        <w:t>Exemple</w:t>
      </w:r>
      <w:r>
        <w:rPr>
          <w:color w:val="646464"/>
          <w:sz w:val="24"/>
          <w:szCs w:val="24"/>
        </w:rPr>
        <w:t xml:space="preserve"> : "</w:t>
      </w:r>
      <w:r>
        <w:rPr>
          <w:i/>
          <w:iCs/>
          <w:color w:val="646464"/>
          <w:sz w:val="24"/>
          <w:szCs w:val="24"/>
        </w:rPr>
        <w:t>mon fils unique, à défaut mes héritiers"</w:t>
      </w:r>
      <w:r>
        <w:rPr>
          <w:i/>
          <w:iCs/>
          <w:color w:val="646464"/>
          <w:sz w:val="24"/>
          <w:szCs w:val="24"/>
        </w:rPr>
        <w:br/>
      </w:r>
      <w:r>
        <w:rPr>
          <w:color w:val="646464"/>
          <w:sz w:val="24"/>
          <w:szCs w:val="24"/>
          <w:u w:val="single" w:color="646464"/>
        </w:rPr>
        <w:t>Clause conseillée</w:t>
      </w:r>
      <w:r>
        <w:rPr>
          <w:color w:val="646464"/>
          <w:sz w:val="24"/>
          <w:szCs w:val="24"/>
        </w:rPr>
        <w:t xml:space="preserve"> : "</w:t>
      </w:r>
      <w:r>
        <w:rPr>
          <w:i/>
          <w:iCs/>
          <w:color w:val="646464"/>
          <w:sz w:val="24"/>
          <w:szCs w:val="24"/>
        </w:rPr>
        <w:t>mon fils Pierre, à défaut ou en cas de non acceptation par lui du bénéfice du présent contrat, ses enfants vivants ou représentés"</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La souscription de plusieurs contrats par bénéficiaire permet de faciliter les renonciations partielles.</w:t>
      </w:r>
    </w:p>
    <w:p>
      <w:pPr>
        <w:pStyle w:val="Heading3"/>
        <w:pageBreakBefore w:val="0"/>
        <w:spacing w:before="0" w:after="240" w:line="330" w:lineRule="atLeast"/>
        <w:ind w:left="0" w:right="0"/>
        <w:rPr>
          <w:b/>
          <w:bCs/>
          <w:color w:val="202020"/>
          <w:sz w:val="28"/>
          <w:szCs w:val="24"/>
        </w:rPr>
      </w:pPr>
      <w:r>
        <w:rPr>
          <w:b/>
          <w:bCs/>
          <w:color w:val="202020"/>
          <w:sz w:val="24"/>
          <w:szCs w:val="24"/>
        </w:rPr>
        <w:t>5.4.</w:t>
      </w:r>
      <w:r>
        <w:rPr>
          <w:b/>
          <w:bCs/>
          <w:color w:val="202020"/>
          <w:sz w:val="24"/>
          <w:szCs w:val="24"/>
        </w:rPr>
        <w:t xml:space="preserve"> Nécessité de désigner des bénéficiaires subséquents</w:t>
      </w:r>
    </w:p>
    <w:p>
      <w:pPr>
        <w:pStyle w:val="p"/>
        <w:spacing w:before="0" w:after="180" w:line="330" w:lineRule="atLeast"/>
        <w:ind w:left="0" w:right="0"/>
        <w:rPr>
          <w:color w:val="646464"/>
          <w:sz w:val="24"/>
          <w:szCs w:val="24"/>
        </w:rPr>
      </w:pPr>
      <w:r>
        <w:rPr>
          <w:rStyle w:val="pspannotpucenotfd-update"/>
          <w:color w:val="646464"/>
          <w:sz w:val="24"/>
          <w:szCs w:val="24"/>
          <w:u w:val="single" w:color="646464"/>
        </w:rPr>
        <w:t>La représentation ne se présume pas</w:t>
      </w:r>
      <w:r>
        <w:rPr>
          <w:color w:val="646464"/>
          <w:sz w:val="24"/>
          <w:szCs w:val="24"/>
        </w:rPr>
        <w:t xml:space="preserve"> : elle doit donc être prévue expressément dans la clause bénéficiaire.</w:t>
      </w:r>
    </w:p>
    <w:p>
      <w:pPr>
        <w:pStyle w:val="p"/>
        <w:spacing w:before="0" w:after="180" w:line="330" w:lineRule="atLeast"/>
        <w:ind w:left="0" w:right="0"/>
        <w:rPr>
          <w:color w:val="646464"/>
          <w:sz w:val="24"/>
          <w:szCs w:val="24"/>
        </w:rPr>
      </w:pPr>
      <w:r>
        <w:rPr>
          <w:color w:val="646464"/>
          <w:sz w:val="24"/>
          <w:szCs w:val="24"/>
          <w:u w:val="single" w:color="646464"/>
        </w:rPr>
        <w:t>Exemple</w:t>
      </w:r>
      <w:r>
        <w:rPr>
          <w:color w:val="646464"/>
          <w:sz w:val="24"/>
          <w:szCs w:val="24"/>
        </w:rPr>
        <w:t xml:space="preserve"> : "</w:t>
      </w:r>
      <w:r>
        <w:rPr>
          <w:i/>
          <w:iCs/>
          <w:color w:val="646464"/>
          <w:sz w:val="24"/>
          <w:szCs w:val="24"/>
        </w:rPr>
        <w:t>mon conjoint, à défaut mes enfants, nés ou à naître, vivants ou représentés, à défaut mes héritiers"</w:t>
      </w:r>
      <w:r>
        <w:rPr>
          <w:color w:val="646464"/>
          <w:sz w:val="24"/>
          <w:szCs w:val="24"/>
        </w:rPr>
        <w:t>.</w:t>
      </w:r>
    </w:p>
    <w:p>
      <w:pPr>
        <w:pStyle w:val="fd-document-box-redfd-document-box-title"/>
        <w:pageBreakBefore w:val="0"/>
        <w:pBdr>
          <w:top w:val="single" w:sz="6" w:space="12" w:color="D6D6D6"/>
          <w:left w:val="single" w:sz="24" w:space="24" w:color="FF6E6E"/>
          <w:bottom w:val="single" w:sz="6" w:space="12" w:color="D6D6D6"/>
          <w:right w:val="single" w:sz="6" w:space="24" w:color="D6D6D6"/>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 :</w:t>
      </w:r>
    </w:p>
    <w:p>
      <w:pPr>
        <w:pStyle w:val="fd-document-box-redfd-document-box-descriptionpnth-last-child1"/>
        <w:pBdr>
          <w:top w:val="single" w:sz="6" w:space="12" w:color="D6D6D6"/>
          <w:left w:val="single" w:sz="24" w:space="24" w:color="FF6E6E"/>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Fiscalement, la représentation ne s’appliquera pas (voir infra).</w:t>
      </w:r>
    </w:p>
    <w:p>
      <w:pPr>
        <w:pStyle w:val="p"/>
        <w:spacing w:before="0" w:after="180" w:line="330" w:lineRule="atLeast"/>
        <w:ind w:left="0" w:right="0"/>
        <w:rPr>
          <w:color w:val="646464"/>
          <w:sz w:val="24"/>
          <w:szCs w:val="24"/>
        </w:rPr>
      </w:pPr>
      <w:r>
        <w:rPr>
          <w:color w:val="646464"/>
          <w:sz w:val="24"/>
          <w:szCs w:val="24"/>
        </w:rPr>
        <w:t xml:space="preserve">Il est donc conseillé de </w:t>
      </w:r>
      <w:r>
        <w:rPr>
          <w:rStyle w:val="pspannotpucenotfd-update"/>
          <w:color w:val="646464"/>
          <w:sz w:val="24"/>
          <w:szCs w:val="24"/>
          <w:u w:val="single" w:color="646464"/>
        </w:rPr>
        <w:t>désigner des bénéficiaires de second rang</w:t>
      </w:r>
      <w:r>
        <w:rPr>
          <w:color w:val="646464"/>
          <w:sz w:val="24"/>
          <w:szCs w:val="24"/>
        </w:rPr>
        <w:t>, c'est-à-dire des personnes qui toucheront le capital en cas de prédécès d'un bénéficiaire, ou en cas de renonciation au bénéfice du contrat par ce dernier.</w:t>
      </w:r>
    </w:p>
    <w:p>
      <w:pPr>
        <w:pStyle w:val="fd-document-box-blackfd-document-box-title"/>
        <w:pageBreakBefore w:val="0"/>
        <w:pBdr>
          <w:top w:val="single" w:sz="6" w:space="12" w:color="D6D6D6"/>
          <w:left w:val="single" w:sz="24" w:space="24" w:color="202020"/>
          <w:bottom w:val="single" w:sz="6" w:space="12" w:color="D6D6D6"/>
          <w:right w:val="single" w:sz="6" w:space="24" w:color="D6D6D6"/>
        </w:pBdr>
        <w:shd w:val="clear" w:color="auto" w:fill="F5F5F5"/>
        <w:spacing w:before="0" w:after="240" w:line="240" w:lineRule="atLeast"/>
        <w:ind w:left="540" w:right="495"/>
        <w:outlineLvl w:val="4"/>
        <w:rPr>
          <w:b/>
          <w:bCs/>
          <w:color w:val="202020"/>
          <w:sz w:val="18"/>
          <w:szCs w:val="18"/>
        </w:rPr>
      </w:pPr>
      <w:r>
        <w:rPr>
          <w:b/>
          <w:bCs/>
          <w:color w:val="202020"/>
          <w:sz w:val="18"/>
          <w:szCs w:val="18"/>
        </w:rPr>
        <w:t>Focus : bénéficiaires de premier rang "</w:t>
      </w:r>
      <w:r>
        <w:rPr>
          <w:b/>
          <w:bCs/>
          <w:i/>
          <w:iCs/>
          <w:color w:val="202020"/>
          <w:sz w:val="18"/>
          <w:szCs w:val="18"/>
        </w:rPr>
        <w:t>par parts égales</w:t>
      </w:r>
      <w:r>
        <w:rPr>
          <w:b/>
          <w:bCs/>
          <w:color w:val="202020"/>
          <w:sz w:val="18"/>
          <w:szCs w:val="18"/>
        </w:rPr>
        <w:t>"</w:t>
      </w:r>
    </w:p>
    <w:p>
      <w:pPr>
        <w:pStyle w:val="fd-document-box-blackfd-document-box-descriptionpnth-last-child1"/>
        <w:pBdr>
          <w:top w:val="single" w:sz="6" w:space="12" w:color="D6D6D6"/>
          <w:left w:val="single" w:sz="24" w:space="24" w:color="202020"/>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Il a été jugé que chacun des bénéficiaires n’a vocation qu’à sa part, de sorte qu’en cas d’impossibilité pour l’un des bénéficiaires de premier rang de recueillir sa part, c’est le bénéficiaire de second rang qui a vocation à la recueillir.</w:t>
      </w:r>
    </w:p>
    <w:p>
      <w:pPr>
        <w:pStyle w:val="Heading3"/>
        <w:pageBreakBefore w:val="0"/>
        <w:spacing w:before="0" w:after="240" w:line="330" w:lineRule="atLeast"/>
        <w:ind w:left="0" w:right="0"/>
        <w:rPr>
          <w:b/>
          <w:bCs/>
          <w:color w:val="202020"/>
          <w:sz w:val="28"/>
          <w:szCs w:val="24"/>
        </w:rPr>
      </w:pPr>
      <w:r>
        <w:rPr>
          <w:b/>
          <w:bCs/>
          <w:color w:val="202020"/>
          <w:sz w:val="24"/>
          <w:szCs w:val="24"/>
        </w:rPr>
        <w:t>5.5.</w:t>
      </w:r>
      <w:r>
        <w:rPr>
          <w:b/>
          <w:bCs/>
          <w:color w:val="202020"/>
          <w:sz w:val="24"/>
          <w:szCs w:val="24"/>
        </w:rPr>
        <w:t xml:space="preserve"> Est-il possible de stipuler des charges ou des conditions ?</w:t>
      </w:r>
    </w:p>
    <w:p>
      <w:pPr>
        <w:pStyle w:val="fd-document-box-blackfd-document-box-title"/>
        <w:pageBreakBefore w:val="0"/>
        <w:pBdr>
          <w:top w:val="single" w:sz="6" w:space="12" w:color="D6D6D6"/>
          <w:left w:val="single" w:sz="24" w:space="24" w:color="202020"/>
          <w:bottom w:val="single" w:sz="6" w:space="12" w:color="D6D6D6"/>
          <w:right w:val="single" w:sz="6" w:space="24" w:color="D6D6D6"/>
        </w:pBdr>
        <w:shd w:val="clear" w:color="auto" w:fill="F5F5F5"/>
        <w:spacing w:before="0" w:after="240" w:line="240" w:lineRule="atLeast"/>
        <w:ind w:left="540" w:right="495"/>
        <w:outlineLvl w:val="4"/>
        <w:rPr>
          <w:b/>
          <w:bCs/>
          <w:color w:val="202020"/>
          <w:sz w:val="18"/>
          <w:szCs w:val="18"/>
        </w:rPr>
      </w:pPr>
      <w:r>
        <w:rPr>
          <w:b/>
          <w:bCs/>
          <w:color w:val="202020"/>
          <w:sz w:val="18"/>
          <w:szCs w:val="18"/>
        </w:rPr>
        <w:t>Exemple :</w:t>
      </w:r>
    </w:p>
    <w:p>
      <w:pPr>
        <w:pStyle w:val="fd-document-box-blackfd-document-box-descriptionpnth-last-child1"/>
        <w:pBdr>
          <w:top w:val="single" w:sz="6" w:space="12" w:color="D6D6D6"/>
          <w:left w:val="single" w:sz="24" w:space="24" w:color="202020"/>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w:t>
      </w:r>
      <w:r>
        <w:rPr>
          <w:i/>
          <w:iCs/>
          <w:color w:val="646464"/>
          <w:sz w:val="21"/>
          <w:szCs w:val="21"/>
        </w:rPr>
        <w:t>M. X qui devra utiliser le capital pour l’éducation de mon neveu", "M. Y qui devra, à l’aide du capital reçu, entretenir la maison de famille"</w:t>
      </w:r>
      <w:r>
        <w:rPr>
          <w:color w:val="646464"/>
          <w:sz w:val="21"/>
          <w:szCs w:val="21"/>
        </w:rPr>
        <w:t>.</w:t>
      </w:r>
    </w:p>
    <w:p>
      <w:pPr>
        <w:pStyle w:val="linotnth-last-child1"/>
        <w:numPr>
          <w:ilvl w:val="0"/>
          <w:numId w:val="53"/>
        </w:numPr>
        <w:spacing w:before="240" w:after="240" w:line="330" w:lineRule="atLeast"/>
        <w:ind w:left="720" w:right="0" w:hanging="360"/>
        <w:jc w:val="left"/>
        <w:rPr>
          <w:color w:val="646464"/>
          <w:sz w:val="24"/>
          <w:szCs w:val="24"/>
        </w:rPr>
      </w:pPr>
      <w:r>
        <w:rPr>
          <w:color w:val="646464"/>
          <w:sz w:val="24"/>
          <w:szCs w:val="24"/>
        </w:rPr>
        <w:t>Les charges et conditions doivent être licites et réalisables.</w:t>
      </w:r>
    </w:p>
    <w:p>
      <w:pPr>
        <w:pStyle w:val="linotnth-last-child1"/>
        <w:numPr>
          <w:ilvl w:val="0"/>
          <w:numId w:val="53"/>
        </w:numPr>
        <w:spacing w:after="240" w:line="330" w:lineRule="atLeast"/>
        <w:ind w:left="720" w:right="0" w:hanging="360"/>
        <w:jc w:val="left"/>
        <w:rPr>
          <w:color w:val="646464"/>
          <w:sz w:val="24"/>
          <w:szCs w:val="24"/>
        </w:rPr>
      </w:pPr>
      <w:r>
        <w:rPr>
          <w:color w:val="646464"/>
          <w:sz w:val="24"/>
          <w:szCs w:val="24"/>
        </w:rPr>
        <w:t>Elles peuvent être remises en cause par le Juge.</w:t>
      </w:r>
    </w:p>
    <w:p>
      <w:pPr>
        <w:pStyle w:val="linotnth-last-child1"/>
        <w:numPr>
          <w:ilvl w:val="0"/>
          <w:numId w:val="53"/>
        </w:numPr>
        <w:spacing w:after="240" w:line="330" w:lineRule="atLeast"/>
        <w:ind w:left="720" w:right="0" w:hanging="360"/>
        <w:jc w:val="left"/>
        <w:rPr>
          <w:color w:val="646464"/>
          <w:sz w:val="24"/>
          <w:szCs w:val="24"/>
        </w:rPr>
      </w:pPr>
      <w:r>
        <w:rPr>
          <w:color w:val="646464"/>
          <w:sz w:val="24"/>
          <w:szCs w:val="24"/>
        </w:rPr>
        <w:t>Se pose le problème du contrôle du respect de ces charges et conditions.</w:t>
      </w:r>
    </w:p>
    <w:p>
      <w:pPr>
        <w:numPr>
          <w:ilvl w:val="0"/>
          <w:numId w:val="53"/>
        </w:numPr>
        <w:spacing w:after="240" w:line="330" w:lineRule="atLeast"/>
        <w:ind w:left="720" w:right="0" w:hanging="360"/>
        <w:jc w:val="left"/>
        <w:rPr>
          <w:color w:val="646464"/>
          <w:sz w:val="24"/>
          <w:szCs w:val="24"/>
        </w:rPr>
      </w:pPr>
      <w:r>
        <w:rPr>
          <w:color w:val="646464"/>
          <w:sz w:val="24"/>
          <w:szCs w:val="24"/>
        </w:rPr>
        <w:t>Possibilité d’imposer une sortie en rente dans la clause bénéficiaire.</w:t>
      </w:r>
    </w:p>
    <w:p>
      <w:pPr>
        <w:pStyle w:val="Heading3"/>
        <w:pageBreakBefore w:val="0"/>
        <w:spacing w:before="0" w:after="240" w:line="330" w:lineRule="atLeast"/>
        <w:ind w:left="0" w:right="0"/>
        <w:rPr>
          <w:b/>
          <w:bCs/>
          <w:color w:val="202020"/>
          <w:sz w:val="28"/>
          <w:szCs w:val="24"/>
        </w:rPr>
      </w:pPr>
      <w:r>
        <w:rPr>
          <w:b/>
          <w:bCs/>
          <w:color w:val="202020"/>
          <w:sz w:val="24"/>
          <w:szCs w:val="24"/>
        </w:rPr>
        <w:t>5.6.</w:t>
      </w:r>
      <w:r>
        <w:rPr>
          <w:b/>
          <w:bCs/>
          <w:color w:val="202020"/>
          <w:sz w:val="24"/>
          <w:szCs w:val="24"/>
        </w:rPr>
        <w:t xml:space="preserve"> Existe t-il un testament qui pourrait être en contradiction avec la clause bénéficiaire ?</w:t>
      </w:r>
    </w:p>
    <w:p>
      <w:pPr>
        <w:pStyle w:val="p"/>
        <w:spacing w:before="0" w:after="180" w:line="330" w:lineRule="atLeast"/>
        <w:ind w:left="0" w:right="0"/>
        <w:rPr>
          <w:color w:val="646464"/>
          <w:sz w:val="24"/>
          <w:szCs w:val="24"/>
        </w:rPr>
      </w:pPr>
      <w:r>
        <w:rPr>
          <w:color w:val="646464"/>
          <w:sz w:val="24"/>
          <w:szCs w:val="24"/>
        </w:rPr>
        <w:t>Il est important de vérifier  que des dispositions testamentaires ne viendront pas interférer dans l’application de la clause bénéficiaire au moment du dénouement du contrat.</w:t>
      </w:r>
    </w:p>
    <w:p>
      <w:pPr>
        <w:pStyle w:val="fd-document-box-blackfd-document-box-title"/>
        <w:pageBreakBefore w:val="0"/>
        <w:pBdr>
          <w:top w:val="none" w:sz="0" w:space="12" w:color="auto"/>
          <w:left w:val="none" w:sz="0" w:space="24" w:color="auto"/>
          <w:bottom w:val="none" w:sz="0" w:space="0" w:color="auto"/>
          <w:right w:val="none" w:sz="0" w:space="24" w:color="auto"/>
        </w:pBdr>
        <w:shd w:val="clear" w:color="auto" w:fill="F5F5F5"/>
        <w:spacing w:before="0" w:after="240" w:line="240" w:lineRule="atLeast"/>
        <w:ind w:left="540" w:right="495"/>
        <w:outlineLvl w:val="4"/>
        <w:rPr>
          <w:b/>
          <w:bCs/>
          <w:color w:val="202020"/>
          <w:sz w:val="18"/>
          <w:szCs w:val="18"/>
        </w:rPr>
      </w:pPr>
      <w:r>
        <w:rPr>
          <w:b/>
          <w:bCs/>
          <w:color w:val="202020"/>
          <w:sz w:val="18"/>
          <w:szCs w:val="18"/>
        </w:rPr>
        <w:t>Exemple :  "mes héritiers</w:t>
      </w:r>
      <w:r>
        <w:rPr>
          <w:b/>
          <w:bCs/>
          <w:i/>
          <w:iCs/>
          <w:color w:val="202020"/>
          <w:sz w:val="18"/>
          <w:szCs w:val="18"/>
        </w:rPr>
        <w:t>"</w:t>
      </w:r>
      <w:r>
        <w:rPr>
          <w:b/>
          <w:bCs/>
          <w:color w:val="202020"/>
          <w:sz w:val="18"/>
          <w:szCs w:val="18"/>
        </w:rPr>
        <w:t> + testament instituant un legs universel </w:t>
      </w:r>
    </w:p>
    <w:p>
      <w:pPr>
        <w:pStyle w:val="linotnth-last-child1"/>
        <w:numPr>
          <w:ilvl w:val="0"/>
          <w:numId w:val="54"/>
        </w:numPr>
        <w:shd w:val="clear" w:color="auto" w:fill="F5F5F5"/>
        <w:spacing w:before="240" w:after="240" w:line="300" w:lineRule="atLeast"/>
        <w:ind w:left="540" w:right="495" w:hanging="360"/>
        <w:jc w:val="left"/>
        <w:rPr>
          <w:color w:val="646464"/>
          <w:sz w:val="21"/>
          <w:szCs w:val="21"/>
        </w:rPr>
      </w:pPr>
      <w:r>
        <w:rPr>
          <w:color w:val="646464"/>
          <w:sz w:val="21"/>
          <w:szCs w:val="21"/>
        </w:rPr>
        <w:t>en présence d’héritiers réservataires, le bénéfice du contrat sera partagé entre le légataire et les héritiers réservataires</w:t>
      </w:r>
    </w:p>
    <w:p>
      <w:pPr>
        <w:numPr>
          <w:ilvl w:val="0"/>
          <w:numId w:val="54"/>
        </w:numPr>
        <w:shd w:val="clear" w:color="auto" w:fill="F5F5F5"/>
        <w:spacing w:after="600" w:line="300" w:lineRule="atLeast"/>
        <w:ind w:left="540" w:right="495" w:hanging="360"/>
        <w:jc w:val="left"/>
        <w:rPr>
          <w:color w:val="646464"/>
          <w:sz w:val="21"/>
          <w:szCs w:val="21"/>
        </w:rPr>
      </w:pPr>
      <w:r>
        <w:rPr>
          <w:color w:val="646464"/>
          <w:sz w:val="21"/>
          <w:szCs w:val="21"/>
        </w:rPr>
        <w:t>en l’absence d’héritier réservataire, c’est le légataire universel qui reçoit seul le bénéfice du contrat.</w:t>
      </w:r>
    </w:p>
    <w:p>
      <w:pPr>
        <w:pStyle w:val="Heading3"/>
        <w:pageBreakBefore w:val="0"/>
        <w:spacing w:before="0" w:after="240" w:line="330" w:lineRule="atLeast"/>
        <w:ind w:left="0" w:right="0"/>
        <w:rPr>
          <w:b/>
          <w:bCs/>
          <w:color w:val="202020"/>
          <w:sz w:val="28"/>
          <w:szCs w:val="24"/>
        </w:rPr>
      </w:pPr>
      <w:r>
        <w:rPr>
          <w:b/>
          <w:bCs/>
          <w:color w:val="202020"/>
          <w:sz w:val="24"/>
          <w:szCs w:val="24"/>
        </w:rPr>
        <w:t>5.7.</w:t>
      </w:r>
      <w:r>
        <w:rPr>
          <w:b/>
          <w:bCs/>
          <w:color w:val="202020"/>
          <w:sz w:val="24"/>
          <w:szCs w:val="24"/>
        </w:rPr>
        <w:t xml:space="preserve"> Focus: quels sont les effets d'une acceptation par le bénéficiaire avant décès ?</w:t>
      </w:r>
    </w:p>
    <w:p>
      <w:pPr>
        <w:pStyle w:val="p"/>
        <w:spacing w:before="0" w:after="180" w:line="330" w:lineRule="atLeast"/>
        <w:ind w:left="0" w:right="0"/>
        <w:rPr>
          <w:color w:val="646464"/>
          <w:sz w:val="24"/>
          <w:szCs w:val="24"/>
        </w:rPr>
      </w:pPr>
      <w:r>
        <w:rPr>
          <w:color w:val="646464"/>
          <w:sz w:val="24"/>
          <w:szCs w:val="24"/>
        </w:rPr>
        <w:t>Les règles relatives à l’acceptation ont été profondément modifiées par la loi du 17 décembre 2007.</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Modalités et formes de l'acceptation :</w:t>
      </w:r>
    </w:p>
    <w:p>
      <w:pPr>
        <w:pStyle w:val="linotnth-last-child1"/>
        <w:numPr>
          <w:ilvl w:val="0"/>
          <w:numId w:val="55"/>
        </w:numPr>
        <w:spacing w:before="240" w:after="240" w:line="330" w:lineRule="atLeast"/>
        <w:ind w:left="720" w:right="0" w:hanging="360"/>
        <w:jc w:val="left"/>
        <w:rPr>
          <w:color w:val="646464"/>
          <w:sz w:val="24"/>
          <w:szCs w:val="24"/>
        </w:rPr>
      </w:pPr>
      <w:r>
        <w:rPr>
          <w:color w:val="646464"/>
          <w:sz w:val="24"/>
          <w:szCs w:val="24"/>
        </w:rPr>
        <w:t>L'accord du souscripteur est obligatoire.</w:t>
      </w:r>
    </w:p>
    <w:p>
      <w:pPr>
        <w:pStyle w:val="linotnth-last-child1"/>
        <w:numPr>
          <w:ilvl w:val="0"/>
          <w:numId w:val="55"/>
        </w:numPr>
        <w:spacing w:after="240" w:line="330" w:lineRule="atLeast"/>
        <w:ind w:left="720" w:right="0" w:hanging="360"/>
        <w:jc w:val="left"/>
        <w:rPr>
          <w:color w:val="646464"/>
          <w:sz w:val="24"/>
          <w:szCs w:val="24"/>
        </w:rPr>
      </w:pPr>
      <w:r>
        <w:rPr>
          <w:color w:val="646464"/>
          <w:sz w:val="24"/>
          <w:szCs w:val="24"/>
        </w:rPr>
        <w:t>L'acceptation ne peut pas intervenir pendant le délai ouvert au souscripteur pour renoncer à la souscription du contrat.</w:t>
      </w:r>
    </w:p>
    <w:p>
      <w:pPr>
        <w:numPr>
          <w:ilvl w:val="0"/>
          <w:numId w:val="55"/>
        </w:numPr>
        <w:spacing w:after="240" w:line="330" w:lineRule="atLeast"/>
        <w:ind w:left="720" w:right="0" w:hanging="360"/>
        <w:jc w:val="left"/>
        <w:rPr>
          <w:color w:val="646464"/>
          <w:sz w:val="24"/>
          <w:szCs w:val="24"/>
        </w:rPr>
      </w:pPr>
      <w:r>
        <w:rPr>
          <w:color w:val="646464"/>
          <w:sz w:val="24"/>
          <w:szCs w:val="24"/>
          <w:u w:val="single" w:color="646464"/>
        </w:rPr>
        <w:t>Forme</w:t>
      </w:r>
      <w:r>
        <w:rPr>
          <w:color w:val="646464"/>
          <w:sz w:val="24"/>
          <w:szCs w:val="24"/>
        </w:rPr>
        <w:t xml:space="preserve"> : avenant au contrat, acte authentique ou sous seing privé entre le bénéficiaire et le souscripteur. Dans cette hypothèse, l’acceptation ne sera opposable à l’assureur que lorsque l’acte lui sera notifié.</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Conséquences de l'acceptation :</w:t>
      </w:r>
    </w:p>
    <w:p>
      <w:pPr>
        <w:pStyle w:val="p"/>
        <w:numPr>
          <w:ilvl w:val="0"/>
          <w:numId w:val="56"/>
        </w:numPr>
        <w:spacing w:before="240" w:after="180" w:line="330" w:lineRule="atLeast"/>
        <w:ind w:left="720" w:right="0" w:hanging="360"/>
        <w:jc w:val="left"/>
        <w:rPr>
          <w:color w:val="646464"/>
          <w:sz w:val="24"/>
          <w:szCs w:val="24"/>
        </w:rPr>
      </w:pPr>
      <w:r>
        <w:rPr>
          <w:color w:val="646464"/>
          <w:sz w:val="24"/>
          <w:szCs w:val="24"/>
          <w:u w:val="single" w:color="646464"/>
        </w:rPr>
        <w:t>Impossibilité pour le souscripteur de modifier le bénéficiaire du contrat sans l’accord du bénéficiaire acceptant</w:t>
      </w:r>
    </w:p>
    <w:p>
      <w:pPr>
        <w:pStyle w:val="p"/>
        <w:spacing w:before="0" w:after="180" w:line="330" w:lineRule="atLeast"/>
        <w:ind w:left="720" w:right="0"/>
        <w:jc w:val="left"/>
        <w:rPr>
          <w:color w:val="646464"/>
          <w:sz w:val="24"/>
          <w:szCs w:val="24"/>
        </w:rPr>
      </w:pPr>
      <w:r>
        <w:rPr>
          <w:color w:val="646464"/>
          <w:sz w:val="24"/>
          <w:szCs w:val="24"/>
        </w:rPr>
        <w:t>En cas de prédécès du bénéficiaire acceptant, le souscripteur assuré retrouve la possibilité de désigner la bénéficiaire de son choix.</w:t>
      </w:r>
    </w:p>
    <w:p>
      <w:pPr>
        <w:pStyle w:val="fd-document-box-blackfd-document-box-title"/>
        <w:pageBreakBefore w:val="0"/>
        <w:pBdr>
          <w:top w:val="none" w:sz="0" w:space="12" w:color="auto"/>
          <w:left w:val="none" w:sz="0" w:space="24" w:color="auto"/>
          <w:bottom w:val="none" w:sz="0" w:space="0" w:color="auto"/>
          <w:right w:val="none" w:sz="0" w:space="24" w:color="auto"/>
        </w:pBdr>
        <w:shd w:val="clear" w:color="auto" w:fill="F5F5F5"/>
        <w:spacing w:before="0" w:after="240" w:line="240" w:lineRule="atLeast"/>
        <w:ind w:left="1260" w:right="495"/>
        <w:jc w:val="left"/>
        <w:outlineLvl w:val="4"/>
        <w:rPr>
          <w:b/>
          <w:bCs/>
          <w:color w:val="202020"/>
          <w:sz w:val="18"/>
          <w:szCs w:val="18"/>
        </w:rPr>
      </w:pPr>
      <w:r>
        <w:rPr>
          <w:b/>
          <w:bCs/>
          <w:color w:val="202020"/>
          <w:sz w:val="18"/>
          <w:szCs w:val="18"/>
        </w:rPr>
        <w:t>Exceptions à l’irrévocabilité du bénéficiaire acceptant :</w:t>
      </w:r>
    </w:p>
    <w:p>
      <w:pPr>
        <w:pStyle w:val="linotnth-last-child1"/>
        <w:numPr>
          <w:ilvl w:val="1"/>
          <w:numId w:val="56"/>
        </w:numPr>
        <w:shd w:val="clear" w:color="auto" w:fill="F5F5F5"/>
        <w:spacing w:before="240" w:after="240" w:line="300" w:lineRule="atLeast"/>
        <w:ind w:left="1260" w:right="495" w:hanging="360"/>
        <w:jc w:val="left"/>
        <w:rPr>
          <w:color w:val="646464"/>
          <w:sz w:val="21"/>
          <w:szCs w:val="21"/>
        </w:rPr>
      </w:pPr>
      <w:r>
        <w:rPr>
          <w:color w:val="646464"/>
          <w:sz w:val="21"/>
          <w:szCs w:val="21"/>
        </w:rPr>
        <w:t>quand il s’agit du conjoint ;</w:t>
      </w:r>
    </w:p>
    <w:p>
      <w:pPr>
        <w:pStyle w:val="linotnth-last-child1"/>
        <w:numPr>
          <w:ilvl w:val="1"/>
          <w:numId w:val="56"/>
        </w:numPr>
        <w:shd w:val="clear" w:color="auto" w:fill="F5F5F5"/>
        <w:spacing w:after="240" w:line="300" w:lineRule="atLeast"/>
        <w:ind w:left="1260" w:right="495" w:hanging="360"/>
        <w:jc w:val="left"/>
        <w:rPr>
          <w:color w:val="646464"/>
          <w:sz w:val="21"/>
          <w:szCs w:val="21"/>
        </w:rPr>
      </w:pPr>
      <w:r>
        <w:rPr>
          <w:color w:val="646464"/>
          <w:sz w:val="21"/>
          <w:szCs w:val="21"/>
        </w:rPr>
        <w:t>en cas d’inexécution des charges ;</w:t>
      </w:r>
    </w:p>
    <w:p>
      <w:pPr>
        <w:numPr>
          <w:ilvl w:val="1"/>
          <w:numId w:val="56"/>
        </w:numPr>
        <w:shd w:val="clear" w:color="auto" w:fill="F5F5F5"/>
        <w:spacing w:after="600" w:line="300" w:lineRule="atLeast"/>
        <w:ind w:left="1260" w:right="495" w:hanging="360"/>
        <w:jc w:val="left"/>
        <w:rPr>
          <w:color w:val="646464"/>
          <w:sz w:val="21"/>
          <w:szCs w:val="21"/>
        </w:rPr>
      </w:pPr>
      <w:r>
        <w:rPr>
          <w:color w:val="646464"/>
          <w:sz w:val="21"/>
          <w:szCs w:val="21"/>
        </w:rPr>
        <w:t>en cas de réalisation de l’une des causes de révocation des libéralités : ingratitude ou survenance d’enfants (sauf s’il est stipulé dans la clause "</w:t>
      </w:r>
      <w:r>
        <w:rPr>
          <w:i/>
          <w:iCs/>
          <w:color w:val="646464"/>
          <w:sz w:val="21"/>
          <w:szCs w:val="21"/>
        </w:rPr>
        <w:t>les enfants nés ou à naître"</w:t>
      </w:r>
      <w:r>
        <w:rPr>
          <w:color w:val="646464"/>
          <w:sz w:val="21"/>
          <w:szCs w:val="21"/>
        </w:rPr>
        <w:t>)</w:t>
      </w:r>
    </w:p>
    <w:p>
      <w:pPr>
        <w:pStyle w:val="linotnth-last-child1"/>
        <w:numPr>
          <w:ilvl w:val="0"/>
          <w:numId w:val="56"/>
        </w:numPr>
        <w:spacing w:after="240" w:line="330" w:lineRule="atLeast"/>
        <w:ind w:left="720" w:right="0" w:hanging="360"/>
        <w:jc w:val="left"/>
        <w:rPr>
          <w:color w:val="646464"/>
          <w:sz w:val="24"/>
          <w:szCs w:val="24"/>
        </w:rPr>
      </w:pPr>
      <w:r>
        <w:rPr>
          <w:color w:val="646464"/>
          <w:sz w:val="24"/>
          <w:szCs w:val="24"/>
          <w:u w:val="single" w:color="646464"/>
        </w:rPr>
        <w:t>Impossibilité d’effectuer un rachat ou de demander une avance sans l’accord du bénéficiaire acceptant</w:t>
      </w:r>
    </w:p>
    <w:p>
      <w:pPr>
        <w:numPr>
          <w:ilvl w:val="0"/>
          <w:numId w:val="56"/>
        </w:numPr>
        <w:spacing w:after="240" w:line="330" w:lineRule="atLeast"/>
        <w:ind w:left="720" w:right="0" w:hanging="360"/>
        <w:jc w:val="left"/>
        <w:rPr>
          <w:color w:val="646464"/>
          <w:sz w:val="24"/>
          <w:szCs w:val="24"/>
        </w:rPr>
      </w:pPr>
      <w:r>
        <w:rPr>
          <w:color w:val="646464"/>
          <w:sz w:val="24"/>
          <w:szCs w:val="24"/>
          <w:u w:val="single" w:color="646464"/>
        </w:rPr>
        <w:t>Impossibilité de nantir le contrat sans l’accord du bénéficiaire acceptant</w:t>
      </w:r>
      <w:r>
        <w:rPr>
          <w:color w:val="646464"/>
          <w:sz w:val="24"/>
          <w:szCs w:val="24"/>
        </w:rPr>
        <w:t>.</w:t>
      </w:r>
    </w:p>
    <w:p>
      <w:pPr>
        <w:pStyle w:val="fd-document-box-purplefd-document-box-title"/>
        <w:pageBreakBefore w:val="0"/>
        <w:pBdr>
          <w:top w:val="single" w:sz="6" w:space="12" w:color="D6D6D6"/>
          <w:left w:val="single" w:sz="24" w:space="24" w:color="C882FF"/>
          <w:bottom w:val="single" w:sz="6" w:space="0"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Observations :</w:t>
      </w:r>
    </w:p>
    <w:p>
      <w:pPr>
        <w:pStyle w:val="fd-document-box-purpleulli"/>
        <w:pBdr>
          <w:top w:val="single" w:sz="6" w:space="12" w:color="D6D6D6"/>
          <w:left w:val="single" w:sz="24" w:space="24" w:color="C882FF"/>
          <w:bottom w:val="single" w:sz="6" w:space="0" w:color="D6D6D6"/>
          <w:right w:val="single" w:sz="6" w:space="0" w:color="D6D6D6"/>
        </w:pBdr>
        <w:shd w:val="clear" w:color="auto" w:fill="F5F5F5"/>
        <w:spacing w:before="240" w:after="0" w:line="300" w:lineRule="atLeast"/>
        <w:ind w:left="1050" w:right="525"/>
        <w:jc w:val="left"/>
        <w:rPr>
          <w:color w:val="646464"/>
          <w:sz w:val="21"/>
          <w:szCs w:val="21"/>
        </w:rPr>
      </w:pPr>
      <w:r>
        <w:rPr>
          <w:color w:val="646464"/>
          <w:sz w:val="21"/>
          <w:szCs w:val="21"/>
        </w:rPr>
        <w:t>Si le contrat a un terme en cas de vie, le souscripteur récupère le capital au terme du contrat.</w:t>
      </w:r>
    </w:p>
    <w:p>
      <w:pPr>
        <w:pStyle w:val="fd-document-box-purpleulli"/>
        <w:pBdr>
          <w:top w:val="single" w:sz="6" w:space="12" w:color="D6D6D6"/>
          <w:left w:val="single" w:sz="24" w:space="24" w:color="C882FF"/>
          <w:bottom w:val="single" w:sz="6" w:space="0" w:color="D6D6D6"/>
          <w:right w:val="single" w:sz="6" w:space="0" w:color="D6D6D6"/>
        </w:pBdr>
        <w:shd w:val="clear" w:color="auto" w:fill="F5F5F5"/>
        <w:spacing w:after="600" w:line="300" w:lineRule="atLeast"/>
        <w:ind w:left="1050" w:right="525"/>
        <w:jc w:val="left"/>
        <w:rPr>
          <w:color w:val="646464"/>
          <w:sz w:val="21"/>
          <w:szCs w:val="21"/>
        </w:rPr>
      </w:pPr>
      <w:r>
        <w:rPr>
          <w:color w:val="646464"/>
          <w:sz w:val="21"/>
          <w:szCs w:val="21"/>
        </w:rPr>
        <w:t>L’acceptation par le bénéficiaire n’a aucun effet sur le caractère rachetable du contrat et par suite sur son caractère imposable à l’IFI le cas échéant.</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6.</w:t>
      </w:r>
      <w:r>
        <w:rPr>
          <w:b/>
          <w:bCs/>
          <w:caps w:val="0"/>
          <w:color w:val="202020"/>
          <w:sz w:val="27"/>
          <w:szCs w:val="27"/>
        </w:rPr>
        <w:t xml:space="preserve"> Le démembrement de la clause bénéficiaire ou comment concilier les intérêts de son conjoint et de ses enfants</w:t>
      </w:r>
    </w:p>
    <w:p>
      <w:pPr>
        <w:pStyle w:val="Heading3"/>
        <w:pageBreakBefore w:val="0"/>
        <w:spacing w:before="240" w:after="240" w:line="330" w:lineRule="atLeast"/>
        <w:ind w:left="0" w:right="0"/>
        <w:rPr>
          <w:b/>
          <w:bCs/>
          <w:color w:val="202020"/>
          <w:sz w:val="28"/>
          <w:szCs w:val="24"/>
        </w:rPr>
      </w:pPr>
      <w:r>
        <w:rPr>
          <w:b/>
          <w:bCs/>
          <w:color w:val="202020"/>
          <w:sz w:val="24"/>
          <w:szCs w:val="24"/>
        </w:rPr>
        <w:t>6.1.</w:t>
      </w:r>
      <w:r>
        <w:rPr>
          <w:b/>
          <w:bCs/>
          <w:color w:val="202020"/>
          <w:sz w:val="24"/>
          <w:szCs w:val="24"/>
        </w:rPr>
        <w:t xml:space="preserve"> Objectif</w:t>
      </w:r>
    </w:p>
    <w:p>
      <w:pPr>
        <w:pStyle w:val="p"/>
        <w:spacing w:before="0" w:after="180" w:line="330" w:lineRule="atLeast"/>
        <w:ind w:left="0" w:right="0"/>
        <w:rPr>
          <w:color w:val="646464"/>
          <w:sz w:val="24"/>
          <w:szCs w:val="24"/>
        </w:rPr>
      </w:pPr>
      <w:r>
        <w:rPr>
          <w:color w:val="646464"/>
          <w:sz w:val="24"/>
          <w:szCs w:val="24"/>
        </w:rPr>
        <w:t>Le démembrement de la clause bénéficiaire permet de conférer les capitaux au bénéficiaire en usufruit à charge pour lui de les restituer au nu-propriétaire à son décès.</w:t>
      </w:r>
    </w:p>
    <w:p>
      <w:pPr>
        <w:pStyle w:val="p"/>
        <w:spacing w:before="0" w:after="180" w:line="330" w:lineRule="atLeast"/>
        <w:ind w:left="0" w:right="0"/>
        <w:rPr>
          <w:color w:val="646464"/>
          <w:sz w:val="24"/>
          <w:szCs w:val="24"/>
        </w:rPr>
      </w:pPr>
      <w:r>
        <w:rPr>
          <w:color w:val="646464"/>
          <w:sz w:val="24"/>
          <w:szCs w:val="24"/>
        </w:rPr>
        <w:t xml:space="preserve">Il est donc possible de </w:t>
      </w:r>
      <w:r>
        <w:rPr>
          <w:rStyle w:val="pspannotpucenotfd-update"/>
          <w:color w:val="646464"/>
          <w:sz w:val="24"/>
          <w:szCs w:val="24"/>
          <w:u w:val="single" w:color="646464"/>
        </w:rPr>
        <w:t>désigner un bénéficiaire en usufruit et un autre en nue-propriété</w:t>
      </w:r>
      <w:r>
        <w:rPr>
          <w:color w:val="646464"/>
          <w:sz w:val="24"/>
          <w:szCs w:val="24"/>
        </w:rPr>
        <w:t>, ce qui  permet à la fois de protéger le conjoint ou toute autre personne, tout en préparant la transmission du patrimoine aux enfants.</w:t>
      </w:r>
    </w:p>
    <w:p>
      <w:pPr>
        <w:pStyle w:val="fd-document-box-blackfd-document-box-title"/>
        <w:pageBreakBefore w:val="0"/>
        <w:pBdr>
          <w:top w:val="none" w:sz="0" w:space="12" w:color="auto"/>
          <w:left w:val="none" w:sz="0" w:space="24" w:color="auto"/>
          <w:bottom w:val="none" w:sz="0" w:space="0" w:color="auto"/>
          <w:right w:val="none" w:sz="0" w:space="24" w:color="auto"/>
        </w:pBdr>
        <w:shd w:val="clear" w:color="auto" w:fill="F5F5F5"/>
        <w:spacing w:before="0" w:after="240" w:line="240" w:lineRule="atLeast"/>
        <w:ind w:left="540" w:right="495"/>
        <w:outlineLvl w:val="4"/>
        <w:rPr>
          <w:b/>
          <w:bCs/>
          <w:color w:val="202020"/>
          <w:sz w:val="18"/>
          <w:szCs w:val="18"/>
        </w:rPr>
      </w:pPr>
      <w:r>
        <w:rPr>
          <w:b/>
          <w:bCs/>
          <w:color w:val="202020"/>
          <w:sz w:val="18"/>
          <w:szCs w:val="18"/>
        </w:rPr>
        <w:t>Exemples :</w:t>
      </w:r>
    </w:p>
    <w:p>
      <w:pPr>
        <w:pStyle w:val="linotnth-last-child1"/>
        <w:numPr>
          <w:ilvl w:val="0"/>
          <w:numId w:val="57"/>
        </w:numPr>
        <w:shd w:val="clear" w:color="auto" w:fill="F5F5F5"/>
        <w:spacing w:before="240" w:after="240" w:line="300" w:lineRule="atLeast"/>
        <w:ind w:left="540" w:right="495" w:hanging="360"/>
        <w:jc w:val="left"/>
        <w:rPr>
          <w:color w:val="646464"/>
          <w:sz w:val="21"/>
          <w:szCs w:val="21"/>
        </w:rPr>
      </w:pPr>
      <w:r>
        <w:rPr>
          <w:color w:val="646464"/>
          <w:sz w:val="21"/>
          <w:szCs w:val="21"/>
        </w:rPr>
        <w:t>Conjoint  bénéficiaire en usufruit, enfants bénéficiaires en nue-propriété</w:t>
      </w:r>
    </w:p>
    <w:p>
      <w:pPr>
        <w:pStyle w:val="linotnth-last-child1"/>
        <w:numPr>
          <w:ilvl w:val="0"/>
          <w:numId w:val="57"/>
        </w:numPr>
        <w:shd w:val="clear" w:color="auto" w:fill="F5F5F5"/>
        <w:spacing w:after="240" w:line="300" w:lineRule="atLeast"/>
        <w:ind w:left="540" w:right="495" w:hanging="360"/>
        <w:jc w:val="left"/>
        <w:rPr>
          <w:color w:val="646464"/>
          <w:sz w:val="21"/>
          <w:szCs w:val="21"/>
        </w:rPr>
      </w:pPr>
      <w:r>
        <w:rPr>
          <w:color w:val="646464"/>
          <w:sz w:val="21"/>
          <w:szCs w:val="21"/>
        </w:rPr>
        <w:t>Enfant bénéficiaire en usufruit, petits-enfants bénéficiaires en nue-propriété</w:t>
      </w:r>
    </w:p>
    <w:p>
      <w:pPr>
        <w:pStyle w:val="linotnth-last-child1"/>
        <w:numPr>
          <w:ilvl w:val="0"/>
          <w:numId w:val="57"/>
        </w:numPr>
        <w:shd w:val="clear" w:color="auto" w:fill="F5F5F5"/>
        <w:spacing w:after="240" w:line="300" w:lineRule="atLeast"/>
        <w:ind w:left="540" w:right="495" w:hanging="360"/>
        <w:jc w:val="left"/>
        <w:rPr>
          <w:color w:val="646464"/>
          <w:sz w:val="21"/>
          <w:szCs w:val="21"/>
        </w:rPr>
      </w:pPr>
      <w:r>
        <w:rPr>
          <w:color w:val="646464"/>
          <w:sz w:val="21"/>
          <w:szCs w:val="21"/>
        </w:rPr>
        <w:t>Enfant handicapé bénéficiaire en usufruit, ses frères et sœurs bénéficiaires en nue-propriété</w:t>
      </w:r>
    </w:p>
    <w:p>
      <w:pPr>
        <w:numPr>
          <w:ilvl w:val="0"/>
          <w:numId w:val="57"/>
        </w:numPr>
        <w:shd w:val="clear" w:color="auto" w:fill="F5F5F5"/>
        <w:spacing w:after="600" w:line="300" w:lineRule="atLeast"/>
        <w:ind w:left="540" w:right="495" w:hanging="360"/>
        <w:jc w:val="left"/>
        <w:rPr>
          <w:color w:val="646464"/>
          <w:sz w:val="21"/>
          <w:szCs w:val="21"/>
        </w:rPr>
      </w:pPr>
      <w:r>
        <w:rPr>
          <w:color w:val="646464"/>
          <w:sz w:val="21"/>
          <w:szCs w:val="21"/>
        </w:rPr>
        <w:t>Etc..</w:t>
      </w:r>
    </w:p>
    <w:p>
      <w:pPr>
        <w:pStyle w:val="Heading3"/>
        <w:pageBreakBefore w:val="0"/>
        <w:spacing w:before="0" w:after="240" w:line="330" w:lineRule="atLeast"/>
        <w:ind w:left="0" w:right="0"/>
        <w:rPr>
          <w:b/>
          <w:bCs/>
          <w:color w:val="202020"/>
          <w:sz w:val="28"/>
          <w:szCs w:val="24"/>
        </w:rPr>
      </w:pPr>
      <w:r>
        <w:rPr>
          <w:b/>
          <w:bCs/>
          <w:color w:val="202020"/>
          <w:sz w:val="24"/>
          <w:szCs w:val="24"/>
        </w:rPr>
        <w:t>6.2.</w:t>
      </w:r>
      <w:r>
        <w:rPr>
          <w:b/>
          <w:bCs/>
          <w:color w:val="202020"/>
          <w:sz w:val="24"/>
          <w:szCs w:val="24"/>
        </w:rPr>
        <w:t xml:space="preserve"> L'ouverture automatique d'un quasi-usufruit au décès de l'assuré</w:t>
      </w:r>
    </w:p>
    <w:p>
      <w:pPr>
        <w:pStyle w:val="p"/>
        <w:spacing w:before="0" w:after="180" w:line="330" w:lineRule="atLeast"/>
        <w:ind w:left="0" w:right="0"/>
        <w:rPr>
          <w:color w:val="646464"/>
          <w:sz w:val="24"/>
          <w:szCs w:val="24"/>
        </w:rPr>
      </w:pPr>
      <w:r>
        <w:rPr>
          <w:color w:val="646464"/>
          <w:sz w:val="24"/>
          <w:szCs w:val="24"/>
        </w:rPr>
        <w:t>L’usufruitier a la libre disposition des fonds versés à charge de restituer à son décès, un actif de valeur équivalente. Les nus-propriétaires ont une créance de restitution contre la succession de l’usufruitier.</w:t>
      </w:r>
    </w:p>
    <w:p>
      <w:pPr>
        <w:pStyle w:val="fd-document-box-redfd-document-box-title"/>
        <w:pageBreakBefore w:val="0"/>
        <w:pBdr>
          <w:top w:val="none" w:sz="0" w:space="12" w:color="auto"/>
          <w:left w:val="none" w:sz="0" w:space="24" w:color="auto"/>
          <w:bottom w:val="none" w:sz="0" w:space="0" w:color="auto"/>
          <w:right w:val="none" w:sz="0" w:space="24" w:color="auto"/>
        </w:pBdr>
        <w:shd w:val="clear" w:color="auto" w:fill="F5F5F5"/>
        <w:spacing w:before="0" w:after="240" w:line="240" w:lineRule="atLeast"/>
        <w:ind w:left="540" w:right="495"/>
        <w:outlineLvl w:val="4"/>
        <w:rPr>
          <w:b/>
          <w:bCs/>
          <w:color w:val="FF6E6E"/>
          <w:sz w:val="18"/>
          <w:szCs w:val="18"/>
        </w:rPr>
      </w:pPr>
      <w:r>
        <w:rPr>
          <w:b/>
          <w:bCs/>
          <w:color w:val="FF6E6E"/>
          <w:sz w:val="18"/>
          <w:szCs w:val="18"/>
        </w:rPr>
        <w:t>Point d'alerte : attention à la rédaction de la clause démembrée</w:t>
      </w:r>
    </w:p>
    <w:p>
      <w:pPr>
        <w:pStyle w:val="linotnth-last-child1"/>
        <w:numPr>
          <w:ilvl w:val="0"/>
          <w:numId w:val="58"/>
        </w:numPr>
        <w:shd w:val="clear" w:color="auto" w:fill="F5F5F5"/>
        <w:spacing w:before="240" w:after="240" w:line="300" w:lineRule="atLeast"/>
        <w:ind w:left="540" w:right="495" w:hanging="360"/>
        <w:jc w:val="left"/>
        <w:rPr>
          <w:color w:val="646464"/>
          <w:sz w:val="21"/>
          <w:szCs w:val="21"/>
        </w:rPr>
      </w:pPr>
      <w:r>
        <w:rPr>
          <w:color w:val="646464"/>
          <w:sz w:val="21"/>
          <w:szCs w:val="21"/>
        </w:rPr>
        <w:t>Prévoir qu’en cas de décès de l’usufruitier les droits des bénéficiaires en nue-propriété s’exerceront en pleine propriété.</w:t>
      </w:r>
    </w:p>
    <w:p>
      <w:pPr>
        <w:pStyle w:val="linotnth-last-child1"/>
        <w:numPr>
          <w:ilvl w:val="0"/>
          <w:numId w:val="58"/>
        </w:numPr>
        <w:shd w:val="clear" w:color="auto" w:fill="F5F5F5"/>
        <w:spacing w:after="240" w:line="300" w:lineRule="atLeast"/>
        <w:ind w:left="540" w:right="495" w:hanging="360"/>
        <w:jc w:val="left"/>
        <w:rPr>
          <w:color w:val="646464"/>
          <w:sz w:val="21"/>
          <w:szCs w:val="21"/>
        </w:rPr>
      </w:pPr>
      <w:r>
        <w:rPr>
          <w:color w:val="646464"/>
          <w:sz w:val="21"/>
          <w:szCs w:val="21"/>
        </w:rPr>
        <w:t>Ne pas prévoir d’usufruit réversible.</w:t>
      </w:r>
    </w:p>
    <w:p>
      <w:pPr>
        <w:numPr>
          <w:ilvl w:val="0"/>
          <w:numId w:val="58"/>
        </w:numPr>
        <w:shd w:val="clear" w:color="auto" w:fill="F5F5F5"/>
        <w:spacing w:after="240" w:line="300" w:lineRule="atLeast"/>
        <w:ind w:left="540" w:right="495" w:hanging="360"/>
        <w:jc w:val="left"/>
        <w:rPr>
          <w:color w:val="646464"/>
          <w:sz w:val="21"/>
          <w:szCs w:val="21"/>
        </w:rPr>
      </w:pPr>
      <w:r>
        <w:rPr>
          <w:color w:val="646464"/>
          <w:sz w:val="21"/>
          <w:szCs w:val="21"/>
        </w:rPr>
        <w:t>Une rédaction adaptée de la clause bénéficiaire permet de renforcer ou d’atténuer la protection du nu-propriétaire.</w:t>
      </w:r>
    </w:p>
    <w:p>
      <w:pPr>
        <w:pStyle w:val="fd-document-box-redfd-document-box-descriptionpnth-last-child1"/>
        <w:pBdr>
          <w:top w:val="none" w:sz="0" w:space="0" w:color="auto"/>
          <w:left w:val="none" w:sz="0" w:space="24" w:color="auto"/>
          <w:bottom w:val="none" w:sz="0" w:space="12" w:color="auto"/>
          <w:right w:val="none" w:sz="0" w:space="24" w:color="auto"/>
        </w:pBdr>
        <w:shd w:val="clear" w:color="auto" w:fill="F5F5F5"/>
        <w:spacing w:before="0" w:after="540" w:line="300" w:lineRule="atLeast"/>
        <w:ind w:left="540" w:right="495"/>
        <w:rPr>
          <w:color w:val="646464"/>
          <w:sz w:val="21"/>
          <w:szCs w:val="21"/>
        </w:rPr>
      </w:pPr>
      <w:r>
        <w:rPr>
          <w:color w:val="646464"/>
          <w:sz w:val="21"/>
          <w:szCs w:val="21"/>
        </w:rPr>
        <w:t>(</w:t>
      </w:r>
      <w:r>
        <w:rPr>
          <w:color w:val="646464"/>
          <w:sz w:val="21"/>
          <w:szCs w:val="21"/>
          <w:u w:val="single" w:color="646464"/>
        </w:rPr>
        <w:t>Exemple</w:t>
      </w:r>
      <w:r>
        <w:rPr>
          <w:color w:val="646464"/>
          <w:sz w:val="21"/>
          <w:szCs w:val="21"/>
        </w:rPr>
        <w:t xml:space="preserve"> : dispense de caution et de remploi par l’usufruitier.)</w:t>
      </w:r>
    </w:p>
    <w:p>
      <w:pPr>
        <w:pStyle w:val="Heading3"/>
        <w:pageBreakBefore w:val="0"/>
        <w:spacing w:before="0" w:after="240" w:line="330" w:lineRule="atLeast"/>
        <w:ind w:left="0" w:right="0"/>
        <w:rPr>
          <w:b/>
          <w:bCs/>
          <w:color w:val="202020"/>
          <w:sz w:val="28"/>
          <w:szCs w:val="24"/>
        </w:rPr>
      </w:pPr>
      <w:r>
        <w:rPr>
          <w:b/>
          <w:bCs/>
          <w:color w:val="202020"/>
          <w:sz w:val="24"/>
          <w:szCs w:val="24"/>
        </w:rPr>
        <w:t>6.3.</w:t>
      </w:r>
      <w:r>
        <w:rPr>
          <w:b/>
          <w:bCs/>
          <w:color w:val="202020"/>
          <w:sz w:val="24"/>
          <w:szCs w:val="24"/>
        </w:rPr>
        <w:t xml:space="preserve"> La stipulation d'une obligation de remploi pour faire obstacle au quasi-usufruit automatique</w:t>
      </w:r>
    </w:p>
    <w:p>
      <w:pPr>
        <w:pStyle w:val="p"/>
        <w:spacing w:before="0" w:after="180" w:line="330" w:lineRule="atLeast"/>
        <w:ind w:left="0" w:right="0"/>
        <w:rPr>
          <w:color w:val="646464"/>
          <w:sz w:val="24"/>
          <w:szCs w:val="24"/>
        </w:rPr>
      </w:pPr>
      <w:r>
        <w:rPr>
          <w:color w:val="646464"/>
          <w:sz w:val="24"/>
          <w:szCs w:val="24"/>
        </w:rPr>
        <w:t>Il est possible de prévoir dans la clause bénéficiaire une obligation de remploi, en stipulant que le capital devra être réemployé par l’usufruitier et le nu-propriétaire dans un bien qui sera démembré.</w:t>
      </w:r>
    </w:p>
    <w:p>
      <w:pPr>
        <w:pStyle w:val="p"/>
        <w:spacing w:before="0" w:after="180" w:line="330" w:lineRule="atLeast"/>
        <w:ind w:left="0" w:right="0"/>
        <w:rPr>
          <w:color w:val="646464"/>
          <w:sz w:val="24"/>
          <w:szCs w:val="24"/>
        </w:rPr>
      </w:pPr>
      <w:r>
        <w:rPr>
          <w:color w:val="646464"/>
          <w:sz w:val="24"/>
          <w:szCs w:val="24"/>
        </w:rPr>
        <w:t>L’usufruitier aura alors droit aux revenus générés par ce nouveau bien.</w:t>
      </w:r>
    </w:p>
    <w:p>
      <w:pPr>
        <w:pStyle w:val="fd-document-box-redfd-document-box-title"/>
        <w:pageBreakBefore w:val="0"/>
        <w:pBdr>
          <w:top w:val="none" w:sz="0" w:space="12" w:color="auto"/>
          <w:left w:val="none" w:sz="0" w:space="24" w:color="auto"/>
          <w:bottom w:val="none" w:sz="0" w:space="0" w:color="auto"/>
          <w:right w:val="none" w:sz="0" w:space="24" w:color="auto"/>
        </w:pBdr>
        <w:shd w:val="clear" w:color="auto" w:fill="F5F5F5"/>
        <w:spacing w:before="0" w:after="240" w:line="240" w:lineRule="atLeast"/>
        <w:ind w:left="540" w:right="495"/>
        <w:outlineLvl w:val="4"/>
        <w:rPr>
          <w:b/>
          <w:bCs/>
          <w:color w:val="FF6E6E"/>
          <w:sz w:val="18"/>
          <w:szCs w:val="18"/>
        </w:rPr>
      </w:pPr>
      <w:r>
        <w:rPr>
          <w:b/>
          <w:bCs/>
          <w:color w:val="FF6E6E"/>
          <w:sz w:val="18"/>
          <w:szCs w:val="18"/>
        </w:rPr>
        <w:t>Points d'alerte sur l’emploi des capitaux reçus par le quasi-usufruitier</w:t>
      </w:r>
    </w:p>
    <w:p>
      <w:pPr>
        <w:pStyle w:val="fd-document-box-redfd-document-box-descriptionany"/>
        <w:pBdr>
          <w:top w:val="none" w:sz="0" w:space="0" w:color="auto"/>
          <w:left w:val="none" w:sz="0" w:space="24" w:color="auto"/>
          <w:bottom w:val="none" w:sz="0" w:space="0" w:color="auto"/>
          <w:right w:val="none" w:sz="0" w:space="24" w:color="auto"/>
        </w:pBdr>
        <w:shd w:val="clear" w:color="auto" w:fill="F5F5F5"/>
        <w:spacing w:before="0" w:after="180" w:line="300" w:lineRule="atLeast"/>
        <w:ind w:left="540" w:right="495"/>
        <w:rPr>
          <w:color w:val="646464"/>
          <w:sz w:val="21"/>
          <w:szCs w:val="21"/>
        </w:rPr>
      </w:pPr>
      <w:r>
        <w:rPr>
          <w:color w:val="646464"/>
          <w:sz w:val="21"/>
          <w:szCs w:val="21"/>
          <w:u w:val="single" w:color="646464"/>
        </w:rPr>
        <w:t>Le quasi-usufruitier peut choisir d'employer les capitaux dans la souscription d’un contrat de capitalisation</w:t>
      </w:r>
      <w:r>
        <w:rPr>
          <w:color w:val="646464"/>
          <w:sz w:val="21"/>
          <w:szCs w:val="21"/>
        </w:rPr>
        <w:t>.</w:t>
      </w:r>
      <w:r>
        <w:rPr>
          <w:color w:val="646464"/>
          <w:sz w:val="21"/>
          <w:szCs w:val="21"/>
        </w:rPr>
        <w:br/>
      </w:r>
      <w:r>
        <w:rPr>
          <w:color w:val="646464"/>
          <w:sz w:val="21"/>
          <w:szCs w:val="21"/>
        </w:rPr>
        <w:t>Si la succession du quasi-usufruitier ne comprend pas assez de biens autres que le contrat de capitalisation pour régler la créance, les plus-values devront être taxées au moment du règlement de la créance de restitution par le biais du contrat de capitalisation. </w:t>
      </w:r>
      <w:r>
        <w:rPr>
          <w:color w:val="646464"/>
          <w:sz w:val="21"/>
          <w:szCs w:val="21"/>
        </w:rPr>
        <w:br/>
      </w:r>
      <w:r>
        <w:rPr>
          <w:color w:val="646464"/>
          <w:sz w:val="21"/>
          <w:szCs w:val="21"/>
        </w:rPr>
        <w:t>En effet, deux cas de figure seront possibles :</w:t>
      </w:r>
    </w:p>
    <w:p>
      <w:pPr>
        <w:pStyle w:val="linotnth-last-child1"/>
        <w:numPr>
          <w:ilvl w:val="0"/>
          <w:numId w:val="59"/>
        </w:numPr>
        <w:shd w:val="clear" w:color="auto" w:fill="F5F5F5"/>
        <w:spacing w:before="240" w:after="240" w:line="300" w:lineRule="atLeast"/>
        <w:ind w:left="540" w:right="495" w:hanging="360"/>
        <w:jc w:val="left"/>
        <w:rPr>
          <w:color w:val="646464"/>
          <w:sz w:val="21"/>
          <w:szCs w:val="21"/>
        </w:rPr>
      </w:pPr>
      <w:r>
        <w:rPr>
          <w:color w:val="646464"/>
          <w:sz w:val="21"/>
          <w:szCs w:val="21"/>
        </w:rPr>
        <w:t>racheter le contrat pour procéder à ce règlement. </w:t>
      </w:r>
    </w:p>
    <w:p>
      <w:pPr>
        <w:numPr>
          <w:ilvl w:val="0"/>
          <w:numId w:val="59"/>
        </w:numPr>
        <w:shd w:val="clear" w:color="auto" w:fill="F5F5F5"/>
        <w:spacing w:after="240" w:line="300" w:lineRule="atLeast"/>
        <w:ind w:left="540" w:right="495" w:hanging="360"/>
        <w:jc w:val="left"/>
        <w:rPr>
          <w:color w:val="646464"/>
          <w:sz w:val="21"/>
          <w:szCs w:val="21"/>
        </w:rPr>
      </w:pPr>
      <w:r>
        <w:rPr>
          <w:color w:val="646464"/>
          <w:sz w:val="21"/>
          <w:szCs w:val="21"/>
        </w:rPr>
        <w:t>règlement en nature avec attribution du contrat de capitalisation. Cette opération est assimilée à une cession et entrainera l'imposition des plus-values latentes, mais le contrat perdurera.</w:t>
      </w:r>
    </w:p>
    <w:p>
      <w:pPr>
        <w:pStyle w:val="fd-document-box-redfd-document-box-descriptionpnth-last-child1"/>
        <w:pBdr>
          <w:top w:val="none" w:sz="0" w:space="0" w:color="auto"/>
          <w:left w:val="none" w:sz="0" w:space="24" w:color="auto"/>
          <w:bottom w:val="none" w:sz="0" w:space="12" w:color="auto"/>
          <w:right w:val="none" w:sz="0" w:space="24" w:color="auto"/>
        </w:pBdr>
        <w:shd w:val="clear" w:color="auto" w:fill="F5F5F5"/>
        <w:spacing w:before="0" w:after="540" w:line="300" w:lineRule="atLeast"/>
        <w:ind w:left="540" w:right="495"/>
        <w:rPr>
          <w:color w:val="646464"/>
          <w:sz w:val="21"/>
          <w:szCs w:val="21"/>
        </w:rPr>
      </w:pPr>
      <w:r>
        <w:rPr>
          <w:color w:val="646464"/>
          <w:sz w:val="21"/>
          <w:szCs w:val="21"/>
          <w:u w:val="single" w:color="646464"/>
        </w:rPr>
        <w:t>Le quasi-usufruitier peut également souscrire un contrat d’assurance-vie</w:t>
      </w:r>
      <w:r>
        <w:rPr>
          <w:color w:val="646464"/>
          <w:sz w:val="21"/>
          <w:szCs w:val="21"/>
        </w:rPr>
        <w:t xml:space="preserve"> et désigner le(s) titulaire(s) de la créance de restitution à titre onéreux.</w:t>
      </w:r>
      <w:r>
        <w:rPr>
          <w:color w:val="646464"/>
          <w:sz w:val="21"/>
          <w:szCs w:val="21"/>
        </w:rPr>
        <w:br/>
      </w:r>
      <w:r>
        <w:rPr>
          <w:color w:val="646464"/>
          <w:sz w:val="21"/>
          <w:szCs w:val="21"/>
        </w:rPr>
        <w:t>Au décès de l’assuré, le capital sera versé au bénéficiaire à titre onéreux pour éteindre la dette du souscripteur et le surplus sera versé à des bénéficiaires à titre gratuit.</w:t>
      </w:r>
    </w:p>
    <w:p>
      <w:pPr>
        <w:pStyle w:val="p"/>
        <w:spacing w:before="0" w:after="240" w:line="330" w:lineRule="atLeast"/>
        <w:ind w:left="0" w:right="0"/>
        <w:rPr>
          <w:color w:val="646464"/>
          <w:sz w:val="24"/>
          <w:szCs w:val="24"/>
        </w:rPr>
      </w:pPr>
      <w:hyperlink r:id="rId6" w:tgtFrame="_blank" w:history="1">
        <w:r>
          <w:rPr>
            <w:rStyle w:val="a"/>
            <w:color w:val="4623EB"/>
            <w:sz w:val="21"/>
            <w:szCs w:val="21"/>
          </w:rPr>
          <w:t xml:space="preserve">Modèles - </w:t>
        </w:r>
      </w:hyperlink>
      <w:hyperlink r:id="rId6" w:tgtFrame="_blank" w:history="1">
        <w:r>
          <w:rPr>
            <w:rStyle w:val="a"/>
            <w:color w:val="4623EB"/>
            <w:sz w:val="21"/>
            <w:szCs w:val="21"/>
          </w:rPr>
          <w:t>Assurance-vie</w:t>
        </w:r>
      </w:hyperlink>
    </w:p>
    <w:p>
      <w:pPr>
        <w:pStyle w:val="Heading3"/>
        <w:pageBreakBefore w:val="0"/>
        <w:spacing w:before="0" w:after="240" w:line="330" w:lineRule="atLeast"/>
        <w:ind w:left="0" w:right="0"/>
        <w:rPr>
          <w:b/>
          <w:bCs/>
          <w:color w:val="202020"/>
          <w:sz w:val="28"/>
          <w:szCs w:val="24"/>
        </w:rPr>
      </w:pPr>
      <w:r>
        <w:rPr>
          <w:b/>
          <w:bCs/>
          <w:color w:val="202020"/>
          <w:sz w:val="24"/>
          <w:szCs w:val="24"/>
        </w:rPr>
        <w:t>6.4.</w:t>
      </w:r>
      <w:r>
        <w:rPr>
          <w:b/>
          <w:bCs/>
          <w:color w:val="202020"/>
          <w:sz w:val="24"/>
          <w:szCs w:val="24"/>
        </w:rPr>
        <w:t xml:space="preserve"> Fiscalité au décès en cas de dénouement de la clause bénéficiaire</w:t>
      </w:r>
    </w:p>
    <w:p>
      <w:pPr>
        <w:pStyle w:val="linotnth-last-child1"/>
        <w:numPr>
          <w:ilvl w:val="0"/>
          <w:numId w:val="60"/>
        </w:numPr>
        <w:spacing w:before="240" w:after="240" w:line="330" w:lineRule="atLeast"/>
        <w:ind w:left="720" w:right="0" w:hanging="360"/>
        <w:jc w:val="left"/>
        <w:rPr>
          <w:color w:val="646464"/>
          <w:sz w:val="24"/>
          <w:szCs w:val="24"/>
        </w:rPr>
      </w:pPr>
      <w:r>
        <w:rPr>
          <w:color w:val="646464"/>
          <w:sz w:val="24"/>
          <w:szCs w:val="24"/>
        </w:rPr>
        <w:t>Le nu-propriétaire et l’usufruitier sont considérés comme bénéficiaires au prorata de la part leur revenant dans les sommes versées déterminé selon le barème prévu à l’article 669 du CGI.</w:t>
      </w:r>
    </w:p>
    <w:p>
      <w:pPr>
        <w:numPr>
          <w:ilvl w:val="0"/>
          <w:numId w:val="60"/>
        </w:numPr>
        <w:spacing w:after="240" w:line="330" w:lineRule="atLeast"/>
        <w:ind w:left="720" w:right="0" w:hanging="360"/>
        <w:jc w:val="left"/>
        <w:rPr>
          <w:color w:val="646464"/>
          <w:sz w:val="24"/>
          <w:szCs w:val="24"/>
        </w:rPr>
      </w:pPr>
      <w:r>
        <w:rPr>
          <w:color w:val="646464"/>
          <w:sz w:val="24"/>
          <w:szCs w:val="24"/>
        </w:rPr>
        <w:t xml:space="preserve">En présence d'une pluralité de nus-propriétaires, </w:t>
      </w:r>
      <w:r>
        <w:rPr>
          <w:color w:val="646464"/>
          <w:sz w:val="24"/>
          <w:szCs w:val="24"/>
          <w:u w:val="single" w:color="646464"/>
        </w:rPr>
        <w:t>il y a autant d’abattements de 152 500 € qu’il y a de couples "</w:t>
      </w:r>
      <w:r>
        <w:rPr>
          <w:i/>
          <w:iCs/>
          <w:color w:val="646464"/>
          <w:sz w:val="24"/>
          <w:szCs w:val="24"/>
          <w:u w:val="single" w:color="646464"/>
        </w:rPr>
        <w:t>usufruitier-nu-propriétaire"</w:t>
      </w:r>
      <w:r>
        <w:rPr>
          <w:color w:val="646464"/>
          <w:sz w:val="24"/>
          <w:szCs w:val="24"/>
          <w:u w:val="single" w:color="646464"/>
        </w:rPr>
        <w:t xml:space="preserve">. </w:t>
      </w:r>
    </w:p>
    <w:p>
      <w:pPr>
        <w:pStyle w:val="fd-document-box-redfd-document-box-title"/>
        <w:pageBreakBefore w:val="0"/>
        <w:pBdr>
          <w:top w:val="single" w:sz="6" w:space="12" w:color="D6D6D6"/>
          <w:left w:val="single" w:sz="24" w:space="24" w:color="FF6E6E"/>
          <w:bottom w:val="single" w:sz="6" w:space="12" w:color="D6D6D6"/>
          <w:right w:val="single" w:sz="6" w:space="24" w:color="D6D6D6"/>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 :</w:t>
      </w:r>
    </w:p>
    <w:p>
      <w:pPr>
        <w:pStyle w:val="fd-document-box-redfd-document-box-descriptionpnth-last-child1"/>
        <w:pBdr>
          <w:top w:val="single" w:sz="6" w:space="12" w:color="D6D6D6"/>
          <w:left w:val="single" w:sz="24" w:space="24" w:color="FF6E6E"/>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L’usufruitier ne peut toutefois bénéficier au total que d'un abattement maximum de 152 500 € sur l'ensemble des capitaux décès qu’il reçoit à raison de contrats d'assurance-vie du chef du décès d'un même assuré.</w:t>
      </w:r>
    </w:p>
    <w:p>
      <w:pPr>
        <w:spacing w:after="240" w:line="330" w:lineRule="atLeast"/>
        <w:rPr>
          <w:color w:val="646464"/>
          <w:sz w:val="24"/>
          <w:szCs w:val="24"/>
        </w:rPr>
      </w:pPr>
      <w:r>
        <w:rPr>
          <w:color w:val="646464"/>
          <w:sz w:val="24"/>
          <w:szCs w:val="24"/>
        </w:rPr>
        <w:t>(voir infra section "Une fiscalité spécifique au décès")</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7.</w:t>
      </w:r>
      <w:r>
        <w:rPr>
          <w:b/>
          <w:bCs/>
          <w:caps w:val="0"/>
          <w:color w:val="202020"/>
          <w:sz w:val="27"/>
          <w:szCs w:val="27"/>
        </w:rPr>
        <w:t xml:space="preserve"> Une fiscalité spécifique au décès</w:t>
      </w:r>
    </w:p>
    <w:p>
      <w:pPr>
        <w:pStyle w:val="p"/>
        <w:spacing w:before="0" w:after="180" w:line="330" w:lineRule="atLeast"/>
        <w:ind w:left="0" w:right="0"/>
        <w:rPr>
          <w:color w:val="646464"/>
          <w:sz w:val="24"/>
          <w:szCs w:val="24"/>
        </w:rPr>
      </w:pPr>
      <w:r>
        <w:rPr>
          <w:color w:val="646464"/>
          <w:sz w:val="24"/>
          <w:szCs w:val="24"/>
        </w:rPr>
        <w:t>L’assurance-vie bénéficie d’un régime fiscal spécifique souvent plus avantageux que les droits de mutation par décès, permettant d’avantager certains bénéficiaires qui auraient été lourdement taxés dans le cadre d’une succession "</w:t>
      </w:r>
      <w:r>
        <w:rPr>
          <w:i/>
          <w:iCs/>
          <w:color w:val="646464"/>
          <w:sz w:val="24"/>
          <w:szCs w:val="24"/>
        </w:rPr>
        <w:t>ordinaire</w:t>
      </w:r>
      <w:r>
        <w:rPr>
          <w:color w:val="646464"/>
          <w:sz w:val="24"/>
          <w:szCs w:val="24"/>
        </w:rPr>
        <w:t>" (exemple : cas d’un bénéficiaire n’ayant aucun lien de parenté avec l’assuré).</w:t>
      </w:r>
    </w:p>
    <w:p>
      <w:pPr>
        <w:pStyle w:val="p"/>
        <w:spacing w:before="0" w:after="180" w:line="330" w:lineRule="atLeast"/>
        <w:ind w:left="0" w:right="0"/>
        <w:rPr>
          <w:color w:val="646464"/>
          <w:sz w:val="24"/>
          <w:szCs w:val="24"/>
        </w:rPr>
      </w:pPr>
      <w:r>
        <w:rPr>
          <w:color w:val="646464"/>
          <w:sz w:val="24"/>
          <w:szCs w:val="24"/>
        </w:rPr>
        <w:t xml:space="preserve">Ainsi, </w:t>
      </w:r>
      <w:r>
        <w:rPr>
          <w:color w:val="646464"/>
          <w:sz w:val="24"/>
          <w:szCs w:val="24"/>
          <w:u w:val="single" w:color="646464"/>
        </w:rPr>
        <w:t>deux régimes de taxation</w:t>
      </w:r>
      <w:r>
        <w:rPr>
          <w:color w:val="646464"/>
          <w:sz w:val="24"/>
          <w:szCs w:val="24"/>
        </w:rPr>
        <w:t xml:space="preserve"> ont vocation à s’appliquer :</w:t>
      </w:r>
    </w:p>
    <w:p>
      <w:pPr>
        <w:pStyle w:val="linotnth-last-child1"/>
        <w:numPr>
          <w:ilvl w:val="0"/>
          <w:numId w:val="61"/>
        </w:numPr>
        <w:spacing w:before="240" w:line="330" w:lineRule="atLeast"/>
        <w:ind w:left="720" w:right="0" w:hanging="360"/>
        <w:jc w:val="left"/>
        <w:rPr>
          <w:color w:val="646464"/>
          <w:sz w:val="24"/>
          <w:szCs w:val="24"/>
        </w:rPr>
      </w:pPr>
      <w:r>
        <w:rPr>
          <w:color w:val="646464"/>
          <w:sz w:val="24"/>
          <w:szCs w:val="24"/>
          <w:u w:val="single" w:color="646464"/>
        </w:rPr>
        <w:t>l’article 990 I</w:t>
      </w:r>
      <w:r>
        <w:rPr>
          <w:color w:val="646464"/>
          <w:sz w:val="24"/>
          <w:szCs w:val="24"/>
        </w:rPr>
        <w:t xml:space="preserve"> : qui soumet la part de chaque bénéficiaire dans les capitaux décès à un prélèvement spécifique de 20 % pour la fraction allant de 152 500 € à 852 500 €, et de 31,25 % au delà (fraction nette d'abattement supérieure à 700 000 €). </w:t>
      </w:r>
    </w:p>
    <w:p>
      <w:pPr>
        <w:pStyle w:val="fd-document-box-blackfd-document-box-title"/>
        <w:pageBreakBefore w:val="0"/>
        <w:pBdr>
          <w:top w:val="single" w:sz="6" w:space="12" w:color="D6D6D6"/>
          <w:left w:val="single" w:sz="24" w:space="24" w:color="202020"/>
          <w:bottom w:val="single" w:sz="6" w:space="12" w:color="D6D6D6"/>
          <w:right w:val="single" w:sz="6" w:space="24" w:color="D6D6D6"/>
        </w:pBdr>
        <w:shd w:val="clear" w:color="auto" w:fill="F5F5F5"/>
        <w:spacing w:before="0" w:after="240" w:line="240" w:lineRule="atLeast"/>
        <w:ind w:left="1260" w:right="495"/>
        <w:jc w:val="left"/>
        <w:outlineLvl w:val="4"/>
        <w:rPr>
          <w:b/>
          <w:bCs/>
          <w:color w:val="202020"/>
          <w:sz w:val="18"/>
          <w:szCs w:val="18"/>
        </w:rPr>
      </w:pPr>
      <w:r>
        <w:rPr>
          <w:b/>
          <w:bCs/>
          <w:color w:val="202020"/>
          <w:sz w:val="18"/>
          <w:szCs w:val="18"/>
        </w:rPr>
        <w:t>Exemple : </w:t>
      </w:r>
    </w:p>
    <w:p>
      <w:pPr>
        <w:pStyle w:val="fd-document-box-blackfd-document-box-descriptionpnth-last-child1"/>
        <w:pBdr>
          <w:top w:val="single" w:sz="6" w:space="12" w:color="D6D6D6"/>
          <w:left w:val="single" w:sz="24" w:space="24" w:color="202020"/>
          <w:bottom w:val="single" w:sz="6" w:space="12" w:color="D6D6D6"/>
          <w:right w:val="single" w:sz="6" w:space="24" w:color="D6D6D6"/>
        </w:pBdr>
        <w:shd w:val="clear" w:color="auto" w:fill="F5F5F5"/>
        <w:spacing w:before="0" w:after="540" w:line="300" w:lineRule="atLeast"/>
        <w:ind w:left="1260" w:right="495"/>
        <w:jc w:val="left"/>
        <w:rPr>
          <w:color w:val="646464"/>
          <w:sz w:val="21"/>
          <w:szCs w:val="21"/>
        </w:rPr>
      </w:pPr>
      <w:r>
        <w:rPr>
          <w:color w:val="646464"/>
          <w:sz w:val="21"/>
          <w:szCs w:val="21"/>
        </w:rPr>
        <w:t>Considérons un bénéficiaire de capitaux décès en pleine propriété suite à un décès intervenu le 1er août 2019, pour un montant de 1 200 000 €, nets de prélèvements sociaux.</w:t>
      </w:r>
      <w:r>
        <w:rPr>
          <w:color w:val="646464"/>
          <w:sz w:val="21"/>
          <w:szCs w:val="21"/>
        </w:rPr>
        <w:br/>
      </w:r>
      <w:r>
        <w:rPr>
          <w:color w:val="646464"/>
          <w:sz w:val="21"/>
          <w:szCs w:val="21"/>
        </w:rPr>
        <w:t>La part taxable pour l'article 990 I du CGI, nette d'abattement, s'établit à 1 200 000 € - 152 500 € = 1 047 500 € ; elle excède de 347 500 € la tranche à 20 %.</w:t>
      </w:r>
      <w:r>
        <w:rPr>
          <w:color w:val="646464"/>
          <w:sz w:val="21"/>
          <w:szCs w:val="21"/>
        </w:rPr>
        <w:br/>
      </w:r>
      <w:r>
        <w:rPr>
          <w:color w:val="646464"/>
          <w:sz w:val="21"/>
          <w:szCs w:val="21"/>
        </w:rPr>
        <w:t>Le montant du prélèvement est alors de (700 000 € x 20 %) + (347 500 € x 31,25 %) = 248 594 €.</w:t>
      </w:r>
    </w:p>
    <w:p>
      <w:pPr>
        <w:numPr>
          <w:ilvl w:val="0"/>
          <w:numId w:val="61"/>
        </w:numPr>
        <w:spacing w:after="240" w:line="330" w:lineRule="atLeast"/>
        <w:ind w:left="720" w:right="0" w:hanging="360"/>
        <w:jc w:val="left"/>
        <w:rPr>
          <w:color w:val="646464"/>
          <w:sz w:val="24"/>
          <w:szCs w:val="24"/>
        </w:rPr>
      </w:pPr>
      <w:r>
        <w:rPr>
          <w:color w:val="646464"/>
          <w:sz w:val="24"/>
          <w:szCs w:val="24"/>
          <w:u w:val="single" w:color="646464"/>
        </w:rPr>
        <w:t>l’article 757 B</w:t>
      </w:r>
      <w:r>
        <w:rPr>
          <w:color w:val="646464"/>
          <w:sz w:val="24"/>
          <w:szCs w:val="24"/>
        </w:rPr>
        <w:t xml:space="preserve"> : qui soumet aux droits de succession les primes versées au-delà de 70 ans pour la fraction excédant 30 500 €.</w:t>
      </w:r>
    </w:p>
    <w:p>
      <w:pPr>
        <w:pStyle w:val="Heading3"/>
        <w:pageBreakBefore w:val="0"/>
        <w:spacing w:before="0" w:after="240" w:line="330" w:lineRule="atLeast"/>
        <w:ind w:left="0" w:right="0"/>
        <w:rPr>
          <w:b/>
          <w:bCs/>
          <w:color w:val="202020"/>
          <w:sz w:val="28"/>
          <w:szCs w:val="24"/>
        </w:rPr>
      </w:pPr>
      <w:r>
        <w:rPr>
          <w:b/>
          <w:bCs/>
          <w:color w:val="202020"/>
          <w:sz w:val="24"/>
          <w:szCs w:val="24"/>
        </w:rPr>
        <w:t>7.1.</w:t>
      </w:r>
      <w:r>
        <w:rPr>
          <w:b/>
          <w:bCs/>
          <w:color w:val="202020"/>
          <w:sz w:val="24"/>
          <w:szCs w:val="24"/>
        </w:rPr>
        <w:t xml:space="preserve"> Quelle est la fiscalité applicable au décès de l’assuré ?</w:t>
      </w:r>
    </w:p>
    <w:p>
      <w:pPr>
        <w:pStyle w:val="p"/>
        <w:spacing w:before="0" w:after="180" w:line="330" w:lineRule="atLeast"/>
        <w:ind w:left="0" w:right="0"/>
        <w:rPr>
          <w:color w:val="646464"/>
          <w:sz w:val="24"/>
          <w:szCs w:val="24"/>
        </w:rPr>
      </w:pPr>
      <w:r>
        <w:rPr>
          <w:color w:val="646464"/>
          <w:sz w:val="24"/>
          <w:szCs w:val="24"/>
          <w:u w:val="single" w:color="646464"/>
        </w:rPr>
        <w:t>Sont exonérés, quel que soit le régime applicable</w:t>
      </w:r>
      <w:r>
        <w:rPr>
          <w:color w:val="646464"/>
          <w:sz w:val="24"/>
          <w:szCs w:val="24"/>
        </w:rPr>
        <w:t xml:space="preserve"> :</w:t>
      </w:r>
    </w:p>
    <w:p>
      <w:pPr>
        <w:pStyle w:val="linotnth-last-child1"/>
        <w:numPr>
          <w:ilvl w:val="0"/>
          <w:numId w:val="62"/>
        </w:numPr>
        <w:spacing w:before="240" w:after="240" w:line="330" w:lineRule="atLeast"/>
        <w:ind w:left="720" w:right="0" w:hanging="360"/>
        <w:jc w:val="left"/>
        <w:rPr>
          <w:color w:val="646464"/>
          <w:sz w:val="24"/>
          <w:szCs w:val="24"/>
        </w:rPr>
      </w:pPr>
      <w:r>
        <w:rPr>
          <w:color w:val="646464"/>
          <w:sz w:val="24"/>
          <w:szCs w:val="24"/>
        </w:rPr>
        <w:t>le conjoint, le partenaire pacsé ;</w:t>
      </w:r>
    </w:p>
    <w:p>
      <w:pPr>
        <w:pStyle w:val="linotnth-last-child1"/>
        <w:numPr>
          <w:ilvl w:val="0"/>
          <w:numId w:val="62"/>
        </w:numPr>
        <w:spacing w:after="240" w:line="330" w:lineRule="atLeast"/>
        <w:ind w:left="720" w:right="0" w:hanging="360"/>
        <w:jc w:val="left"/>
        <w:rPr>
          <w:color w:val="646464"/>
          <w:sz w:val="24"/>
          <w:szCs w:val="24"/>
        </w:rPr>
      </w:pPr>
      <w:r>
        <w:rPr>
          <w:color w:val="646464"/>
          <w:sz w:val="24"/>
          <w:szCs w:val="24"/>
        </w:rPr>
        <w:t>les frère(s) ou sœur(s) âgé(s) de + 50 ans vivant sous le même toit que le défunt ;</w:t>
      </w:r>
    </w:p>
    <w:p>
      <w:pPr>
        <w:numPr>
          <w:ilvl w:val="0"/>
          <w:numId w:val="62"/>
        </w:numPr>
        <w:spacing w:after="240" w:line="330" w:lineRule="atLeast"/>
        <w:ind w:left="720" w:right="0" w:hanging="360"/>
        <w:jc w:val="left"/>
        <w:rPr>
          <w:color w:val="646464"/>
          <w:sz w:val="24"/>
          <w:szCs w:val="24"/>
        </w:rPr>
      </w:pPr>
      <w:r>
        <w:rPr>
          <w:color w:val="646464"/>
          <w:sz w:val="24"/>
          <w:szCs w:val="24"/>
        </w:rPr>
        <w:t>les associations reconnues d’utilité publique</w:t>
      </w:r>
      <w:r>
        <w:rPr>
          <w:b/>
          <w:bCs/>
          <w:color w:val="646464"/>
          <w:sz w:val="24"/>
          <w:szCs w:val="24"/>
        </w:rPr>
        <w:t>.</w:t>
      </w:r>
    </w:p>
    <w:p>
      <w:pPr>
        <w:pStyle w:val="content"/>
        <w:spacing w:line="330" w:lineRule="atLeast"/>
        <w:rPr>
          <w:color w:val="646464"/>
          <w:sz w:val="24"/>
          <w:szCs w:val="24"/>
        </w:rPr>
      </w:pPr>
      <w:r>
        <w:rPr>
          <w:color w:val="646464"/>
          <w:sz w:val="24"/>
          <w:szCs w:val="24"/>
        </w:rPr>
        <w:t xml:space="preserve">  </w:t>
      </w:r>
    </w:p>
    <w:p>
      <w:pPr>
        <w:pStyle w:val="p"/>
        <w:spacing w:before="0" w:after="180" w:line="330" w:lineRule="atLeast"/>
        <w:ind w:left="0" w:right="0"/>
        <w:rPr>
          <w:color w:val="646464"/>
          <w:sz w:val="24"/>
          <w:szCs w:val="24"/>
        </w:rPr>
      </w:pPr>
      <w:r>
        <w:rPr>
          <w:color w:val="646464"/>
          <w:sz w:val="24"/>
          <w:szCs w:val="24"/>
          <w:u w:val="single" w:color="646464"/>
        </w:rPr>
        <w:t>Pour les bénéficiaires non exonérés, il faut tenir compte</w:t>
      </w:r>
      <w:r>
        <w:rPr>
          <w:color w:val="646464"/>
          <w:sz w:val="24"/>
          <w:szCs w:val="24"/>
        </w:rPr>
        <w:t xml:space="preserve"> :</w:t>
      </w:r>
    </w:p>
    <w:p>
      <w:pPr>
        <w:pStyle w:val="linotnth-last-child1"/>
        <w:numPr>
          <w:ilvl w:val="0"/>
          <w:numId w:val="63"/>
        </w:numPr>
        <w:spacing w:before="240" w:after="240" w:line="330" w:lineRule="atLeast"/>
        <w:ind w:left="720" w:right="0" w:hanging="360"/>
        <w:jc w:val="left"/>
        <w:rPr>
          <w:color w:val="646464"/>
          <w:sz w:val="24"/>
          <w:szCs w:val="24"/>
        </w:rPr>
      </w:pPr>
      <w:r>
        <w:rPr>
          <w:color w:val="646464"/>
          <w:sz w:val="24"/>
          <w:szCs w:val="24"/>
        </w:rPr>
        <w:t>de la date de souscription du contrat : avant ou après le 20 novembre 1991 ;</w:t>
      </w:r>
    </w:p>
    <w:p>
      <w:pPr>
        <w:numPr>
          <w:ilvl w:val="0"/>
          <w:numId w:val="63"/>
        </w:numPr>
        <w:spacing w:after="240" w:line="330" w:lineRule="atLeast"/>
        <w:ind w:left="720" w:right="0" w:hanging="360"/>
        <w:jc w:val="left"/>
        <w:rPr>
          <w:color w:val="646464"/>
          <w:sz w:val="24"/>
          <w:szCs w:val="24"/>
        </w:rPr>
      </w:pPr>
      <w:r>
        <w:rPr>
          <w:color w:val="646464"/>
          <w:sz w:val="24"/>
          <w:szCs w:val="24"/>
        </w:rPr>
        <w:t>de la date de versement des primes : avant ou après le 13 octobre 1998, avant ou après le 70</w:t>
      </w:r>
      <w:r>
        <w:rPr>
          <w:color w:val="646464"/>
          <w:sz w:val="24"/>
          <w:szCs w:val="24"/>
          <w:vertAlign w:val="superscript"/>
        </w:rPr>
        <w:t>ème</w:t>
      </w:r>
      <w:r>
        <w:rPr>
          <w:color w:val="646464"/>
          <w:sz w:val="24"/>
          <w:szCs w:val="24"/>
        </w:rPr>
        <w:t xml:space="preserve"> anniversaire.</w:t>
      </w:r>
    </w:p>
    <w:p>
      <w:pPr>
        <w:pStyle w:val="fd-document-box-blackfd-document-box-title"/>
        <w:pageBreakBefore w:val="0"/>
        <w:pBdr>
          <w:top w:val="single" w:sz="6" w:space="12" w:color="D6D6D6"/>
          <w:left w:val="single" w:sz="24" w:space="24" w:color="202020"/>
          <w:bottom w:val="single" w:sz="6" w:space="12" w:color="D6D6D6"/>
          <w:right w:val="single" w:sz="6" w:space="24" w:color="D6D6D6"/>
        </w:pBdr>
        <w:shd w:val="clear" w:color="auto" w:fill="F5F5F5"/>
        <w:spacing w:before="0" w:after="240" w:line="240" w:lineRule="atLeast"/>
        <w:ind w:left="540" w:right="495"/>
        <w:outlineLvl w:val="4"/>
        <w:rPr>
          <w:b/>
          <w:bCs/>
          <w:color w:val="202020"/>
          <w:sz w:val="18"/>
          <w:szCs w:val="18"/>
        </w:rPr>
      </w:pPr>
      <w:r>
        <w:rPr>
          <w:b/>
          <w:bCs/>
          <w:color w:val="202020"/>
          <w:sz w:val="18"/>
          <w:szCs w:val="18"/>
        </w:rPr>
        <w:t>Focus : que se passe-t’il en l’absence d’un bénéficiaire déterminé ?</w:t>
      </w:r>
    </w:p>
    <w:p>
      <w:pPr>
        <w:pStyle w:val="fd-document-box-blackfd-document-box-descriptionpnth-last-child1"/>
        <w:pBdr>
          <w:top w:val="single" w:sz="6" w:space="12" w:color="D6D6D6"/>
          <w:left w:val="single" w:sz="24" w:space="24" w:color="202020"/>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Les sommes dues par l’assureur font partie intégrante de la succession de l’assuré et sont assujetties aux droits de mutation par décès dans les conditions de droit commun.</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Prélèvement spécial sur les capitaux décès (CGI art.990 I) :</w:t>
      </w:r>
    </w:p>
    <w:p>
      <w:pPr>
        <w:pStyle w:val="p"/>
        <w:spacing w:before="0" w:after="180" w:line="330" w:lineRule="atLeast"/>
        <w:ind w:left="0" w:right="0"/>
        <w:rPr>
          <w:color w:val="646464"/>
          <w:sz w:val="24"/>
          <w:szCs w:val="24"/>
        </w:rPr>
      </w:pPr>
      <w:r>
        <w:rPr>
          <w:color w:val="646464"/>
          <w:sz w:val="24"/>
          <w:szCs w:val="24"/>
        </w:rPr>
        <w:t>Concerne les capitaux décès correspondant à des primes versées à compter du 13 octobre 1998 :</w:t>
      </w:r>
    </w:p>
    <w:p>
      <w:pPr>
        <w:pStyle w:val="linotnth-last-child1"/>
        <w:numPr>
          <w:ilvl w:val="0"/>
          <w:numId w:val="64"/>
        </w:numPr>
        <w:spacing w:before="240" w:after="240" w:line="330" w:lineRule="atLeast"/>
        <w:ind w:left="720" w:right="0" w:hanging="360"/>
        <w:jc w:val="left"/>
        <w:rPr>
          <w:color w:val="646464"/>
          <w:sz w:val="24"/>
          <w:szCs w:val="24"/>
        </w:rPr>
      </w:pPr>
      <w:r>
        <w:rPr>
          <w:color w:val="646464"/>
          <w:sz w:val="24"/>
          <w:szCs w:val="24"/>
        </w:rPr>
        <w:t>sur les contrats souscrit avant le 20 novembre 1991, quel que soit l’âge de l’assuré ;</w:t>
      </w:r>
    </w:p>
    <w:p>
      <w:pPr>
        <w:numPr>
          <w:ilvl w:val="0"/>
          <w:numId w:val="64"/>
        </w:numPr>
        <w:spacing w:after="240" w:line="330" w:lineRule="atLeast"/>
        <w:ind w:left="720" w:right="0" w:hanging="360"/>
        <w:jc w:val="left"/>
        <w:rPr>
          <w:color w:val="646464"/>
          <w:sz w:val="24"/>
          <w:szCs w:val="24"/>
        </w:rPr>
      </w:pPr>
      <w:r>
        <w:rPr>
          <w:color w:val="646464"/>
          <w:sz w:val="24"/>
          <w:szCs w:val="24"/>
        </w:rPr>
        <w:t>sur les contrats souscrits après le 20 novembre 1991, dès lors que l’assuré était âgé de moins de 70 ans au moment du versement des primes.</w:t>
      </w:r>
    </w:p>
    <w:p>
      <w:pPr>
        <w:pStyle w:val="content"/>
        <w:spacing w:after="240" w:line="330" w:lineRule="atLeast"/>
        <w:rPr>
          <w:color w:val="646464"/>
          <w:sz w:val="24"/>
          <w:szCs w:val="24"/>
        </w:rPr>
      </w:pPr>
      <w:r>
        <w:rPr>
          <w:color w:val="646464"/>
          <w:sz w:val="24"/>
          <w:szCs w:val="24"/>
        </w:rPr>
        <w:t xml:space="preserve">Il s’agit d’une </w:t>
      </w:r>
      <w:r>
        <w:rPr>
          <w:color w:val="646464"/>
          <w:sz w:val="24"/>
          <w:szCs w:val="24"/>
          <w:u w:val="single" w:color="646464"/>
        </w:rPr>
        <w:t>taxation spécifique à l’assurance-vie</w:t>
      </w:r>
      <w:r>
        <w:rPr>
          <w:color w:val="646464"/>
          <w:sz w:val="24"/>
          <w:szCs w:val="24"/>
        </w:rPr>
        <w:t xml:space="preserve"> : les sommes qui y sont soumises ne sont pas comprises dans l’actif successoral et les règles prévues en matière de DMTG (abattement de droit commun, barème) ne sont pas applicables.</w:t>
      </w:r>
    </w:p>
    <w:tbl>
      <w:tblPr>
        <w:tblStyle w:val="table"/>
        <w:tblW w:w="5000" w:type="pct"/>
        <w:tblInd w:w="16" w:type="dxa"/>
        <w:shd w:val="clear" w:color="auto" w:fill="FFFFFF"/>
        <w:tblCellMar>
          <w:top w:w="0" w:type="dxa"/>
          <w:left w:w="0" w:type="dxa"/>
          <w:bottom w:w="0" w:type="dxa"/>
          <w:right w:w="0" w:type="dxa"/>
        </w:tblCellMar>
        <w:tblLook w:val="05E0"/>
      </w:tblPr>
      <w:tblGrid>
        <w:gridCol w:w="3261"/>
        <w:gridCol w:w="7610"/>
      </w:tblGrid>
      <w:tr>
        <w:tblPrEx>
          <w:tblW w:w="5000" w:type="pct"/>
          <w:tblInd w:w="16" w:type="dxa"/>
          <w:shd w:val="clear" w:color="auto" w:fill="FFFFFF"/>
          <w:tblCellMar>
            <w:top w:w="0" w:type="dxa"/>
            <w:left w:w="0" w:type="dxa"/>
            <w:bottom w:w="0" w:type="dxa"/>
            <w:right w:w="0" w:type="dxa"/>
          </w:tblCellMar>
          <w:tblLook w:val="05E0"/>
        </w:tblPrEx>
        <w:trPr>
          <w:tblHeader/>
        </w:trPr>
        <w:tc>
          <w:tcPr>
            <w:tcW w:w="1500" w:type="pct"/>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b/>
                <w:bCs/>
                <w:color w:val="202020"/>
                <w:sz w:val="21"/>
                <w:szCs w:val="21"/>
              </w:rPr>
            </w:pPr>
            <w:r>
              <w:rPr>
                <w:b/>
                <w:bCs/>
                <w:color w:val="202020"/>
                <w:sz w:val="21"/>
                <w:szCs w:val="21"/>
              </w:rPr>
              <w:t>Assiette</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hp"/>
              <w:spacing w:before="0" w:after="180" w:line="330" w:lineRule="atLeast"/>
              <w:ind w:left="0" w:right="0"/>
              <w:jc w:val="left"/>
              <w:rPr>
                <w:b w:val="0"/>
                <w:bCs w:val="0"/>
                <w:color w:val="FFFFFF"/>
                <w:sz w:val="24"/>
                <w:szCs w:val="24"/>
              </w:rPr>
            </w:pPr>
            <w:r>
              <w:rPr>
                <w:b w:val="0"/>
                <w:bCs w:val="0"/>
                <w:color w:val="FFFFFF"/>
                <w:sz w:val="24"/>
                <w:szCs w:val="24"/>
                <w:u w:val="single" w:color="FFFFFF"/>
              </w:rPr>
              <w:t>Valeur de rachat du contrat au jour du décès de l'assuré, nette de prélèvements sociaux</w:t>
            </w:r>
            <w:r>
              <w:rPr>
                <w:b w:val="0"/>
                <w:bCs w:val="0"/>
                <w:color w:val="FFFFFF"/>
                <w:sz w:val="24"/>
                <w:szCs w:val="24"/>
              </w:rPr>
              <w:t>.</w:t>
            </w:r>
          </w:p>
          <w:p>
            <w:pPr>
              <w:pStyle w:val="linotnth-last-child1"/>
              <w:numPr>
                <w:ilvl w:val="0"/>
                <w:numId w:val="65"/>
              </w:numPr>
              <w:spacing w:before="240" w:after="240" w:line="300" w:lineRule="atLeast"/>
              <w:ind w:left="720" w:right="0" w:hanging="360"/>
              <w:jc w:val="left"/>
              <w:rPr>
                <w:b w:val="0"/>
                <w:bCs w:val="0"/>
                <w:color w:val="646464"/>
                <w:sz w:val="21"/>
                <w:szCs w:val="21"/>
              </w:rPr>
            </w:pPr>
            <w:r>
              <w:rPr>
                <w:b w:val="0"/>
                <w:bCs w:val="0"/>
                <w:color w:val="646464"/>
                <w:sz w:val="21"/>
                <w:szCs w:val="21"/>
                <w:u w:val="single" w:color="646464"/>
              </w:rPr>
              <w:t>En cas de pluralité de bénéficiaires</w:t>
            </w:r>
            <w:r>
              <w:rPr>
                <w:b w:val="0"/>
                <w:bCs w:val="0"/>
                <w:color w:val="646464"/>
                <w:sz w:val="21"/>
                <w:szCs w:val="21"/>
              </w:rPr>
              <w:t xml:space="preserve"> : l'assiette taxable est répartie entre chaque bénéficiaire en pleine propriété selon les sommes qui lui reviennent.</w:t>
            </w:r>
          </w:p>
          <w:p>
            <w:pPr>
              <w:numPr>
                <w:ilvl w:val="0"/>
                <w:numId w:val="65"/>
              </w:numPr>
              <w:spacing w:after="240" w:line="300" w:lineRule="atLeast"/>
              <w:ind w:left="720" w:right="0" w:hanging="360"/>
              <w:jc w:val="left"/>
              <w:rPr>
                <w:b w:val="0"/>
                <w:bCs w:val="0"/>
                <w:color w:val="646464"/>
                <w:sz w:val="21"/>
                <w:szCs w:val="21"/>
              </w:rPr>
            </w:pPr>
            <w:r>
              <w:rPr>
                <w:b w:val="0"/>
                <w:bCs w:val="0"/>
                <w:color w:val="646464"/>
                <w:sz w:val="21"/>
                <w:szCs w:val="21"/>
                <w:u w:val="single" w:color="646464"/>
              </w:rPr>
              <w:t>Pour les capitaux décès démembrés</w:t>
            </w:r>
            <w:r>
              <w:rPr>
                <w:b w:val="0"/>
                <w:bCs w:val="0"/>
                <w:color w:val="646464"/>
                <w:sz w:val="21"/>
                <w:szCs w:val="21"/>
              </w:rPr>
              <w:t xml:space="preserve"> : le nu-propriétaire et l’usufruitier sont considérés comme bénéficiaires au prorata de la part leur revenant, déterminée selon le barème prévu à l’article 669 du CGI.</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Abattement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p"/>
              <w:spacing w:before="0" w:after="180" w:line="300" w:lineRule="atLeast"/>
              <w:ind w:left="0" w:right="0"/>
              <w:jc w:val="left"/>
              <w:rPr>
                <w:b w:val="0"/>
                <w:bCs w:val="0"/>
                <w:color w:val="646464"/>
                <w:sz w:val="21"/>
                <w:szCs w:val="21"/>
              </w:rPr>
            </w:pPr>
            <w:r>
              <w:rPr>
                <w:b w:val="0"/>
                <w:bCs w:val="0"/>
                <w:color w:val="646464"/>
                <w:sz w:val="21"/>
                <w:szCs w:val="21"/>
                <w:u w:val="single" w:color="646464"/>
              </w:rPr>
              <w:t>152 500 € par bénéficiaire</w:t>
            </w:r>
            <w:r>
              <w:rPr>
                <w:b w:val="0"/>
                <w:bCs w:val="0"/>
                <w:color w:val="646464"/>
                <w:sz w:val="21"/>
                <w:szCs w:val="21"/>
              </w:rPr>
              <w:t>.</w:t>
            </w:r>
          </w:p>
          <w:p>
            <w:pPr>
              <w:pStyle w:val="linotnth-last-child1"/>
              <w:numPr>
                <w:ilvl w:val="0"/>
                <w:numId w:val="66"/>
              </w:numPr>
              <w:spacing w:before="240" w:after="240" w:line="300" w:lineRule="atLeast"/>
              <w:ind w:left="720" w:right="0" w:hanging="360"/>
              <w:jc w:val="left"/>
              <w:rPr>
                <w:b w:val="0"/>
                <w:bCs w:val="0"/>
                <w:color w:val="646464"/>
                <w:sz w:val="21"/>
                <w:szCs w:val="21"/>
              </w:rPr>
            </w:pPr>
            <w:r>
              <w:rPr>
                <w:b w:val="0"/>
                <w:bCs w:val="0"/>
                <w:color w:val="646464"/>
                <w:sz w:val="21"/>
                <w:szCs w:val="21"/>
                <w:u w:val="single" w:color="646464"/>
              </w:rPr>
              <w:t>Lorsque plusieurs contrats sont conclus sur la tête d'un même assuré au profit d'un même bénéficiaire</w:t>
            </w:r>
            <w:r>
              <w:rPr>
                <w:b w:val="0"/>
                <w:bCs w:val="0"/>
                <w:color w:val="646464"/>
                <w:sz w:val="21"/>
                <w:szCs w:val="21"/>
              </w:rPr>
              <w:t xml:space="preserve"> : il convient pour l’application de l’abattement, de tenir compte de l'ensemble des parts taxables revenant au même bénéficiaire au titre de chacun de ces différents contrats.</w:t>
            </w:r>
          </w:p>
          <w:p>
            <w:pPr>
              <w:numPr>
                <w:ilvl w:val="0"/>
                <w:numId w:val="66"/>
              </w:numPr>
              <w:spacing w:after="240" w:line="300" w:lineRule="atLeast"/>
              <w:ind w:left="720" w:right="0" w:hanging="360"/>
              <w:jc w:val="left"/>
              <w:rPr>
                <w:b w:val="0"/>
                <w:bCs w:val="0"/>
                <w:color w:val="646464"/>
                <w:sz w:val="21"/>
                <w:szCs w:val="21"/>
              </w:rPr>
            </w:pPr>
            <w:r>
              <w:rPr>
                <w:b w:val="0"/>
                <w:bCs w:val="0"/>
                <w:color w:val="646464"/>
                <w:sz w:val="21"/>
                <w:szCs w:val="21"/>
                <w:u w:val="single" w:color="646464"/>
              </w:rPr>
              <w:t>Pour les contrats vie-génération</w:t>
            </w:r>
            <w:r>
              <w:rPr>
                <w:b w:val="0"/>
                <w:bCs w:val="0"/>
                <w:color w:val="646464"/>
                <w:sz w:val="21"/>
                <w:szCs w:val="21"/>
              </w:rPr>
              <w:t xml:space="preserve"> : cet abattement s’applique après imputation d'un abattement de 20 % spécifique à ces contrats.</w:t>
            </w:r>
          </w:p>
          <w:p>
            <w:pPr>
              <w:pStyle w:val="fd-document-box-redfd-document-box-title"/>
              <w:pageBreakBefore w:val="0"/>
              <w:pBdr>
                <w:top w:val="single" w:sz="6" w:space="12" w:color="D6D6D6"/>
                <w:left w:val="single" w:sz="24" w:space="24" w:color="FF6E6E"/>
                <w:bottom w:val="single" w:sz="6" w:space="12" w:color="D6D6D6"/>
                <w:right w:val="single" w:sz="6" w:space="24" w:color="D6D6D6"/>
              </w:pBdr>
              <w:shd w:val="clear" w:color="auto" w:fill="F5F5F5"/>
              <w:spacing w:before="0" w:after="240" w:line="240" w:lineRule="atLeast"/>
              <w:ind w:left="540" w:right="495"/>
              <w:jc w:val="left"/>
              <w:outlineLvl w:val="4"/>
              <w:rPr>
                <w:b/>
                <w:bCs/>
                <w:color w:val="FF6E6E"/>
                <w:sz w:val="18"/>
                <w:szCs w:val="18"/>
              </w:rPr>
            </w:pPr>
            <w:r>
              <w:rPr>
                <w:b/>
                <w:bCs/>
                <w:color w:val="FF6E6E"/>
                <w:sz w:val="18"/>
                <w:szCs w:val="18"/>
              </w:rPr>
              <w:t>Attention :</w:t>
            </w:r>
          </w:p>
          <w:p>
            <w:pPr>
              <w:pStyle w:val="fd-document-box-redfd-document-box-descriptionpnth-last-child1"/>
              <w:pBdr>
                <w:top w:val="single" w:sz="6" w:space="12" w:color="D6D6D6"/>
                <w:left w:val="single" w:sz="24" w:space="24" w:color="FF6E6E"/>
                <w:bottom w:val="single" w:sz="6" w:space="12" w:color="D6D6D6"/>
                <w:right w:val="single" w:sz="6" w:space="24" w:color="D6D6D6"/>
              </w:pBdr>
              <w:shd w:val="clear" w:color="auto" w:fill="F5F5F5"/>
              <w:spacing w:before="0" w:after="540" w:line="300" w:lineRule="atLeast"/>
              <w:ind w:left="540" w:right="495"/>
              <w:jc w:val="left"/>
              <w:rPr>
                <w:b w:val="0"/>
                <w:bCs w:val="0"/>
                <w:color w:val="646464"/>
                <w:sz w:val="21"/>
                <w:szCs w:val="21"/>
              </w:rPr>
            </w:pPr>
            <w:r>
              <w:rPr>
                <w:b w:val="0"/>
                <w:bCs w:val="0"/>
                <w:color w:val="646464"/>
                <w:sz w:val="21"/>
                <w:szCs w:val="21"/>
              </w:rPr>
              <w:t>Lorsqu’un bénéficiaire est exonéré, la fraction d’abattement non utilisée ne bénéficie pas aux autres bénéficiaires.</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Taux du prélèvement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linotnth-last-child1"/>
              <w:numPr>
                <w:ilvl w:val="0"/>
                <w:numId w:val="67"/>
              </w:numPr>
              <w:spacing w:before="240" w:after="240" w:line="300" w:lineRule="atLeast"/>
              <w:ind w:left="720" w:right="0" w:hanging="360"/>
              <w:jc w:val="left"/>
              <w:rPr>
                <w:b w:val="0"/>
                <w:bCs w:val="0"/>
                <w:color w:val="646464"/>
                <w:sz w:val="21"/>
                <w:szCs w:val="21"/>
              </w:rPr>
            </w:pPr>
            <w:r>
              <w:rPr>
                <w:b w:val="0"/>
                <w:bCs w:val="0"/>
                <w:color w:val="646464"/>
                <w:sz w:val="21"/>
                <w:szCs w:val="21"/>
                <w:u w:val="single" w:color="646464"/>
              </w:rPr>
              <w:t>20 %</w:t>
            </w:r>
            <w:r>
              <w:rPr>
                <w:b w:val="0"/>
                <w:bCs w:val="0"/>
                <w:color w:val="646464"/>
                <w:sz w:val="21"/>
                <w:szCs w:val="21"/>
              </w:rPr>
              <w:t xml:space="preserve"> pour la fraction de la part nette taxable de chaque bénéficiaire ≤ 700 000 €</w:t>
            </w:r>
          </w:p>
          <w:p>
            <w:pPr>
              <w:numPr>
                <w:ilvl w:val="0"/>
                <w:numId w:val="67"/>
              </w:numPr>
              <w:spacing w:after="240" w:line="300" w:lineRule="atLeast"/>
              <w:ind w:left="720" w:right="0" w:hanging="360"/>
              <w:jc w:val="left"/>
              <w:rPr>
                <w:b w:val="0"/>
                <w:bCs w:val="0"/>
                <w:color w:val="646464"/>
                <w:sz w:val="21"/>
                <w:szCs w:val="21"/>
              </w:rPr>
            </w:pPr>
            <w:r>
              <w:rPr>
                <w:b w:val="0"/>
                <w:bCs w:val="0"/>
                <w:color w:val="646464"/>
                <w:sz w:val="21"/>
                <w:szCs w:val="21"/>
                <w:u w:val="single" w:color="646464"/>
              </w:rPr>
              <w:t>31,25 % au-delà</w:t>
            </w:r>
            <w:r>
              <w:rPr>
                <w:b w:val="0"/>
                <w:bCs w:val="0"/>
                <w:color w:val="646464"/>
                <w:sz w:val="21"/>
                <w:szCs w:val="21"/>
              </w:rPr>
              <w:t>.</w:t>
            </w:r>
          </w:p>
        </w:tc>
      </w:tr>
    </w:tbl>
    <w:p>
      <w:pPr>
        <w:pStyle w:val="fd-document-box-blackfd-document-box-title"/>
        <w:pageBreakBefore w:val="0"/>
        <w:pBdr>
          <w:top w:val="single" w:sz="6" w:space="12" w:color="D6D6D6"/>
          <w:left w:val="single" w:sz="24" w:space="24" w:color="202020"/>
          <w:bottom w:val="single" w:sz="6" w:space="12" w:color="D6D6D6"/>
          <w:right w:val="single" w:sz="6" w:space="24" w:color="D6D6D6"/>
        </w:pBdr>
        <w:shd w:val="clear" w:color="auto" w:fill="F5F5F5"/>
        <w:spacing w:before="0" w:after="240" w:line="240" w:lineRule="atLeast"/>
        <w:ind w:left="540" w:right="495"/>
        <w:outlineLvl w:val="4"/>
        <w:rPr>
          <w:b/>
          <w:bCs/>
          <w:color w:val="202020"/>
          <w:sz w:val="18"/>
          <w:szCs w:val="18"/>
        </w:rPr>
      </w:pPr>
      <w:r>
        <w:rPr>
          <w:b/>
          <w:bCs/>
          <w:color w:val="202020"/>
          <w:sz w:val="18"/>
          <w:szCs w:val="18"/>
        </w:rPr>
        <w:t>Focus : démembrement de la clause bénéficiaire</w:t>
      </w:r>
    </w:p>
    <w:p>
      <w:pPr>
        <w:pStyle w:val="fd-document-box-blackfd-document-box-descriptionpnth-last-child1"/>
        <w:pBdr>
          <w:top w:val="single" w:sz="6" w:space="12" w:color="D6D6D6"/>
          <w:left w:val="single" w:sz="24" w:space="24" w:color="202020"/>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Le nu-propriétaire et l’usufruitier sont considérés comme bénéficiaires au prorata de la part leur revenant dans les sommes versées déterminé selon le barème prévu à l’article 669 du CGI.</w:t>
      </w:r>
      <w:r>
        <w:rPr>
          <w:color w:val="646464"/>
          <w:sz w:val="21"/>
          <w:szCs w:val="21"/>
        </w:rPr>
        <w:br/>
      </w:r>
      <w:r>
        <w:rPr>
          <w:color w:val="646464"/>
          <w:sz w:val="21"/>
          <w:szCs w:val="21"/>
        </w:rPr>
        <w:t xml:space="preserve">En présence d'une pluralité de nus-propriétaires, </w:t>
      </w:r>
      <w:r>
        <w:rPr>
          <w:rStyle w:val="pspannotpucenotfd-update"/>
          <w:color w:val="646464"/>
          <w:sz w:val="21"/>
          <w:szCs w:val="21"/>
          <w:u w:val="single" w:color="646464"/>
        </w:rPr>
        <w:t>il y a autant d’abattements de 152 500 € qu’il y a de couples "</w:t>
      </w:r>
      <w:r>
        <w:rPr>
          <w:rStyle w:val="pspannotpucenotfd-update"/>
          <w:i/>
          <w:iCs/>
          <w:color w:val="646464"/>
          <w:sz w:val="21"/>
          <w:szCs w:val="21"/>
          <w:u w:val="single" w:color="646464"/>
        </w:rPr>
        <w:t>usufruitier-nu-propriétaire</w:t>
      </w:r>
      <w:r>
        <w:rPr>
          <w:color w:val="646464"/>
          <w:sz w:val="21"/>
          <w:szCs w:val="21"/>
        </w:rPr>
        <w:t>".</w:t>
      </w:r>
      <w:r>
        <w:rPr>
          <w:color w:val="646464"/>
          <w:sz w:val="21"/>
          <w:szCs w:val="21"/>
        </w:rPr>
        <w:br/>
      </w:r>
      <w:r>
        <w:rPr>
          <w:color w:val="646464"/>
          <w:sz w:val="21"/>
          <w:szCs w:val="21"/>
          <w:u w:val="single" w:color="646464"/>
        </w:rPr>
        <w:t>Attention</w:t>
      </w:r>
      <w:r>
        <w:rPr>
          <w:color w:val="646464"/>
          <w:sz w:val="21"/>
          <w:szCs w:val="21"/>
        </w:rPr>
        <w:t xml:space="preserve"> : l’usufruitier ne peut toutefois bénéficier au total que d'un abattement maximum de 152 500 € sur l'ensemble des capitaux décès qu’il reçoit à raison de contrats d'assurance-vie du chef du décès d'un même assuré.</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Versements effectués après le 70ème anniversaire de l’assuré (CGI art.757 B) :</w:t>
      </w:r>
    </w:p>
    <w:p>
      <w:pPr>
        <w:pStyle w:val="p"/>
        <w:spacing w:before="0" w:after="180" w:line="330" w:lineRule="atLeast"/>
        <w:ind w:left="0" w:right="0"/>
        <w:rPr>
          <w:color w:val="646464"/>
          <w:sz w:val="24"/>
          <w:szCs w:val="24"/>
        </w:rPr>
      </w:pPr>
      <w:r>
        <w:rPr>
          <w:color w:val="646464"/>
          <w:sz w:val="24"/>
          <w:szCs w:val="24"/>
        </w:rPr>
        <w:t xml:space="preserve">Concerne uniquement les contrats souscrits </w:t>
      </w:r>
      <w:r>
        <w:rPr>
          <w:color w:val="646464"/>
          <w:sz w:val="24"/>
          <w:szCs w:val="24"/>
          <w:u w:val="single" w:color="646464"/>
        </w:rPr>
        <w:t>après</w:t>
      </w:r>
      <w:r>
        <w:rPr>
          <w:color w:val="646464"/>
          <w:sz w:val="24"/>
          <w:szCs w:val="24"/>
        </w:rPr>
        <w:t xml:space="preserve"> le 20 novembre 1991.</w:t>
      </w:r>
    </w:p>
    <w:p>
      <w:pPr>
        <w:pStyle w:val="p"/>
        <w:spacing w:before="0" w:after="240" w:line="330" w:lineRule="atLeast"/>
        <w:ind w:left="0" w:right="0"/>
        <w:rPr>
          <w:color w:val="646464"/>
          <w:sz w:val="24"/>
          <w:szCs w:val="24"/>
        </w:rPr>
      </w:pPr>
      <w:r>
        <w:rPr>
          <w:color w:val="646464"/>
          <w:sz w:val="24"/>
          <w:szCs w:val="24"/>
          <w:u w:val="single" w:color="646464"/>
        </w:rPr>
        <w:t>Le montant des primes versées après le 70</w:t>
      </w:r>
      <w:r>
        <w:rPr>
          <w:color w:val="646464"/>
          <w:sz w:val="24"/>
          <w:szCs w:val="24"/>
          <w:u w:val="single" w:color="646464"/>
          <w:vertAlign w:val="superscript"/>
        </w:rPr>
        <w:t>ème</w:t>
      </w:r>
      <w:r>
        <w:rPr>
          <w:color w:val="646464"/>
          <w:sz w:val="24"/>
          <w:szCs w:val="24"/>
          <w:u w:val="single" w:color="646464"/>
        </w:rPr>
        <w:t xml:space="preserve"> anniversaire de l’assuré est soumis aux droits de mutation par décès après application d’un abattement de 30 500 €</w:t>
      </w:r>
      <w:r>
        <w:rPr>
          <w:color w:val="646464"/>
          <w:sz w:val="24"/>
          <w:szCs w:val="24"/>
        </w:rPr>
        <w:t>.</w:t>
      </w:r>
    </w:p>
    <w:tbl>
      <w:tblPr>
        <w:tblStyle w:val="table"/>
        <w:tblW w:w="5000" w:type="pct"/>
        <w:tblInd w:w="16" w:type="dxa"/>
        <w:shd w:val="clear" w:color="auto" w:fill="FFFFFF"/>
        <w:tblCellMar>
          <w:top w:w="0" w:type="dxa"/>
          <w:left w:w="0" w:type="dxa"/>
          <w:bottom w:w="0" w:type="dxa"/>
          <w:right w:w="0" w:type="dxa"/>
        </w:tblCellMar>
        <w:tblLook w:val="05E0"/>
      </w:tblPr>
      <w:tblGrid>
        <w:gridCol w:w="3261"/>
        <w:gridCol w:w="7610"/>
      </w:tblGrid>
      <w:tr>
        <w:tblPrEx>
          <w:tblW w:w="5000" w:type="pct"/>
          <w:tblInd w:w="16" w:type="dxa"/>
          <w:shd w:val="clear" w:color="auto" w:fill="FFFFFF"/>
          <w:tblCellMar>
            <w:top w:w="0" w:type="dxa"/>
            <w:left w:w="0" w:type="dxa"/>
            <w:bottom w:w="0" w:type="dxa"/>
            <w:right w:w="0" w:type="dxa"/>
          </w:tblCellMar>
          <w:tblLook w:val="05E0"/>
        </w:tblPrEx>
        <w:trPr>
          <w:tblHeader/>
        </w:trPr>
        <w:tc>
          <w:tcPr>
            <w:tcW w:w="1500" w:type="pct"/>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b/>
                <w:bCs/>
                <w:color w:val="202020"/>
                <w:sz w:val="21"/>
                <w:szCs w:val="21"/>
              </w:rPr>
            </w:pPr>
            <w:r>
              <w:rPr>
                <w:b/>
                <w:bCs/>
                <w:color w:val="202020"/>
                <w:sz w:val="21"/>
                <w:szCs w:val="21"/>
                <w:u w:val="single" w:color="202020"/>
              </w:rPr>
              <w:t>Assiette</w:t>
            </w:r>
            <w:r>
              <w:rPr>
                <w:b/>
                <w:bCs/>
                <w:color w:val="202020"/>
                <w:sz w:val="21"/>
                <w:szCs w:val="21"/>
              </w:rPr>
              <w:t xml:space="preserve">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tablethp"/>
              <w:spacing w:before="0" w:after="180" w:line="330" w:lineRule="atLeast"/>
              <w:ind w:left="0" w:right="0"/>
              <w:jc w:val="left"/>
              <w:rPr>
                <w:b w:val="0"/>
                <w:bCs w:val="0"/>
                <w:color w:val="FFFFFF"/>
                <w:sz w:val="24"/>
                <w:szCs w:val="24"/>
              </w:rPr>
            </w:pPr>
            <w:r>
              <w:rPr>
                <w:b w:val="0"/>
                <w:bCs w:val="0"/>
                <w:color w:val="FFFFFF"/>
                <w:sz w:val="24"/>
                <w:szCs w:val="24"/>
                <w:u w:val="single" w:color="FFFFFF"/>
              </w:rPr>
              <w:t>Montant des primes brutes versées après 70 ans (sans déduction des frais d’entrée, de gestion</w:t>
            </w:r>
            <w:r>
              <w:rPr>
                <w:b w:val="0"/>
                <w:bCs w:val="0"/>
                <w:color w:val="FFFFFF"/>
                <w:sz w:val="24"/>
                <w:szCs w:val="24"/>
              </w:rPr>
              <w:t>) :</w:t>
            </w:r>
          </w:p>
          <w:p>
            <w:pPr>
              <w:pStyle w:val="linotnth-last-child1"/>
              <w:numPr>
                <w:ilvl w:val="0"/>
                <w:numId w:val="68"/>
              </w:numPr>
              <w:spacing w:before="240" w:after="240" w:line="300" w:lineRule="atLeast"/>
              <w:ind w:left="720" w:right="0" w:hanging="360"/>
              <w:jc w:val="left"/>
              <w:rPr>
                <w:b w:val="0"/>
                <w:bCs w:val="0"/>
                <w:color w:val="646464"/>
                <w:sz w:val="21"/>
                <w:szCs w:val="21"/>
              </w:rPr>
            </w:pPr>
            <w:r>
              <w:rPr>
                <w:b w:val="0"/>
                <w:bCs w:val="0"/>
                <w:color w:val="646464"/>
                <w:sz w:val="21"/>
                <w:szCs w:val="21"/>
              </w:rPr>
              <w:t>Seul le montant des primes versées après 70 ans est taxable. Les produits générés par ses versements sont exonérés.</w:t>
            </w:r>
          </w:p>
          <w:p>
            <w:pPr>
              <w:pStyle w:val="linotnth-last-child1"/>
              <w:numPr>
                <w:ilvl w:val="0"/>
                <w:numId w:val="68"/>
              </w:numPr>
              <w:spacing w:after="240" w:line="300" w:lineRule="atLeast"/>
              <w:ind w:left="720" w:right="0" w:hanging="360"/>
              <w:jc w:val="left"/>
              <w:rPr>
                <w:b w:val="0"/>
                <w:bCs w:val="0"/>
                <w:color w:val="646464"/>
                <w:sz w:val="21"/>
                <w:szCs w:val="21"/>
              </w:rPr>
            </w:pPr>
            <w:r>
              <w:rPr>
                <w:b w:val="0"/>
                <w:bCs w:val="0"/>
                <w:color w:val="646464"/>
                <w:sz w:val="21"/>
                <w:szCs w:val="21"/>
              </w:rPr>
              <w:t>On retient l’âge de l’assuré dont le décès permet le dénouement du contrat (et non pas celui du souscripteur qui peut être une personne différente de l’assuré.</w:t>
            </w:r>
          </w:p>
          <w:p>
            <w:pPr>
              <w:pStyle w:val="linotnth-last-child1"/>
              <w:numPr>
                <w:ilvl w:val="0"/>
                <w:numId w:val="68"/>
              </w:numPr>
              <w:spacing w:after="240" w:line="300" w:lineRule="atLeast"/>
              <w:ind w:left="720" w:right="0" w:hanging="360"/>
              <w:jc w:val="left"/>
              <w:rPr>
                <w:b w:val="0"/>
                <w:bCs w:val="0"/>
                <w:color w:val="646464"/>
                <w:sz w:val="21"/>
                <w:szCs w:val="21"/>
              </w:rPr>
            </w:pPr>
            <w:r>
              <w:rPr>
                <w:b w:val="0"/>
                <w:bCs w:val="0"/>
                <w:color w:val="646464"/>
                <w:sz w:val="21"/>
                <w:szCs w:val="21"/>
              </w:rPr>
              <w:t>Les rachats partiels et les avances effectués sont sans incidence sur la détermination de l’assiette de taxation.</w:t>
            </w:r>
          </w:p>
          <w:p>
            <w:pPr>
              <w:numPr>
                <w:ilvl w:val="0"/>
                <w:numId w:val="68"/>
              </w:numPr>
              <w:spacing w:after="240" w:line="300" w:lineRule="atLeast"/>
              <w:ind w:left="720" w:right="0" w:hanging="360"/>
              <w:jc w:val="left"/>
              <w:rPr>
                <w:b w:val="0"/>
                <w:bCs w:val="0"/>
                <w:color w:val="646464"/>
                <w:sz w:val="21"/>
                <w:szCs w:val="21"/>
              </w:rPr>
            </w:pPr>
            <w:r>
              <w:rPr>
                <w:b w:val="0"/>
                <w:bCs w:val="0"/>
                <w:color w:val="646464"/>
                <w:sz w:val="21"/>
                <w:szCs w:val="21"/>
              </w:rPr>
              <w:t>Dans l’hypothèse où les capitaux versés par l’assureur sont inférieurs aux primes versées après 70 ans, l’assiette des droits est limitée aux capitaux versés aux bénéficiaires.</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u w:val="single" w:color="202020"/>
              </w:rPr>
              <w:t>Abattement</w:t>
            </w:r>
            <w:r>
              <w:rPr>
                <w:color w:val="202020"/>
                <w:sz w:val="21"/>
                <w:szCs w:val="21"/>
              </w:rPr>
              <w:t xml:space="preserve">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u w:val="single" w:color="646464"/>
              </w:rPr>
              <w:t>30 500 € s’appréciant globalement, quel que soit le nombre de bénéficiaires désignés</w:t>
            </w:r>
            <w:r>
              <w:rPr>
                <w:b w:val="0"/>
                <w:bCs w:val="0"/>
                <w:color w:val="646464"/>
                <w:sz w:val="21"/>
                <w:szCs w:val="21"/>
              </w:rPr>
              <w:t>.</w:t>
            </w:r>
            <w:r>
              <w:rPr>
                <w:b w:val="0"/>
                <w:bCs w:val="0"/>
                <w:color w:val="646464"/>
                <w:sz w:val="21"/>
                <w:szCs w:val="21"/>
              </w:rPr>
              <w:br/>
            </w:r>
            <w:r>
              <w:rPr>
                <w:b w:val="0"/>
                <w:bCs w:val="0"/>
                <w:color w:val="646464"/>
                <w:sz w:val="21"/>
                <w:szCs w:val="21"/>
              </w:rPr>
              <w:t>En cas de pluralité de bénéficiaires dont un est exonéré, l’abattement est réparti entre les seuls bénéficiaires taxables.</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u w:val="single" w:color="202020"/>
              </w:rPr>
              <w:t>Taux des droits de succession et abattement de droit commun applicables</w:t>
            </w:r>
            <w:r>
              <w:rPr>
                <w:color w:val="202020"/>
                <w:sz w:val="21"/>
                <w:szCs w:val="21"/>
              </w:rPr>
              <w:t xml:space="preserve">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u w:val="single" w:color="646464"/>
              </w:rPr>
              <w:t>La fraction des primes taxables est soumise aux droits de mutation par décès dans les conditions de droit commun suivant le lien de parenté existant entre le(s) bénéficiaire(s) et l’assuré</w:t>
            </w:r>
            <w:r>
              <w:rPr>
                <w:b w:val="0"/>
                <w:bCs w:val="0"/>
                <w:color w:val="646464"/>
                <w:sz w:val="21"/>
                <w:szCs w:val="21"/>
              </w:rPr>
              <w:t>.</w:t>
            </w:r>
          </w:p>
        </w:tc>
      </w:tr>
    </w:tbl>
    <w:p>
      <w:pPr>
        <w:pStyle w:val="fd-document-box-blackfd-document-box-title"/>
        <w:pageBreakBefore w:val="0"/>
        <w:pBdr>
          <w:top w:val="none" w:sz="0" w:space="12" w:color="auto"/>
          <w:left w:val="none" w:sz="0" w:space="24" w:color="auto"/>
          <w:bottom w:val="none" w:sz="0" w:space="0" w:color="auto"/>
          <w:right w:val="none" w:sz="0" w:space="24" w:color="auto"/>
        </w:pBdr>
        <w:shd w:val="clear" w:color="auto" w:fill="F5F5F5"/>
        <w:spacing w:before="0" w:after="240" w:line="240" w:lineRule="atLeast"/>
        <w:ind w:left="540" w:right="495"/>
        <w:outlineLvl w:val="4"/>
        <w:rPr>
          <w:b/>
          <w:bCs/>
          <w:color w:val="202020"/>
          <w:sz w:val="18"/>
          <w:szCs w:val="18"/>
        </w:rPr>
      </w:pPr>
      <w:r>
        <w:rPr>
          <w:b/>
          <w:bCs/>
          <w:color w:val="202020"/>
          <w:sz w:val="18"/>
          <w:szCs w:val="18"/>
        </w:rPr>
        <w:t>Focus :</w:t>
      </w:r>
    </w:p>
    <w:p>
      <w:pPr>
        <w:pStyle w:val="fd-document-box-blackfd-document-box-descriptionpnth-last-child1"/>
        <w:numPr>
          <w:ilvl w:val="0"/>
          <w:numId w:val="69"/>
        </w:numPr>
        <w:pBdr>
          <w:bottom w:val="none" w:sz="0" w:space="12" w:color="auto"/>
        </w:pBdr>
        <w:shd w:val="clear" w:color="auto" w:fill="F5F5F5"/>
        <w:spacing w:before="240" w:after="180" w:line="300" w:lineRule="atLeast"/>
        <w:ind w:left="540" w:right="495" w:hanging="360"/>
        <w:jc w:val="left"/>
        <w:rPr>
          <w:color w:val="646464"/>
          <w:sz w:val="21"/>
          <w:szCs w:val="21"/>
        </w:rPr>
      </w:pPr>
      <w:r>
        <w:rPr>
          <w:color w:val="646464"/>
          <w:sz w:val="21"/>
          <w:szCs w:val="21"/>
          <w:u w:val="single" w:color="646464"/>
        </w:rPr>
        <w:t>La représentation fiscale ne s’applique pas</w:t>
      </w:r>
      <w:r>
        <w:rPr>
          <w:color w:val="646464"/>
          <w:sz w:val="21"/>
          <w:szCs w:val="21"/>
        </w:rPr>
        <w:t xml:space="preserve">, </w:t>
      </w:r>
      <w:r>
        <w:rPr>
          <w:color w:val="646464"/>
          <w:sz w:val="21"/>
          <w:szCs w:val="21"/>
          <w:u w:val="single" w:color="646464"/>
        </w:rPr>
        <w:t>même si une fraction des primes est soumise aux droits de mutation par décès dans les conditions de droit commun (CGI art. 757 B</w:t>
      </w:r>
      <w:r>
        <w:rPr>
          <w:color w:val="646464"/>
          <w:sz w:val="21"/>
          <w:szCs w:val="21"/>
        </w:rPr>
        <w:t>).</w:t>
      </w:r>
    </w:p>
    <w:p>
      <w:pPr>
        <w:pStyle w:val="linotnth-last-child1"/>
        <w:shd w:val="clear" w:color="auto" w:fill="F5F5F5"/>
        <w:spacing w:after="240" w:line="300" w:lineRule="atLeast"/>
        <w:ind w:left="540" w:right="495"/>
        <w:jc w:val="left"/>
        <w:rPr>
          <w:color w:val="646464"/>
          <w:sz w:val="21"/>
          <w:szCs w:val="21"/>
        </w:rPr>
      </w:pPr>
      <w:r>
        <w:rPr>
          <w:color w:val="646464"/>
          <w:sz w:val="21"/>
          <w:szCs w:val="21"/>
        </w:rPr>
        <w:t>Dans cette situation, il convient de procéder à une double liquidation (taxation de la part successorale en tenant compte de la représentation, taxation des sommes versées en raison d’un contrat d’assurance-vie et imposées en vertu des dispositions de l’article 757 B en fonction du lien de parenté existant entre le bénéficiaire et l’assuré).</w:t>
      </w:r>
    </w:p>
    <w:p>
      <w:pPr>
        <w:pStyle w:val="linotnth-last-child1"/>
        <w:numPr>
          <w:ilvl w:val="0"/>
          <w:numId w:val="69"/>
        </w:numPr>
        <w:shd w:val="clear" w:color="auto" w:fill="F5F5F5"/>
        <w:spacing w:after="240" w:line="300" w:lineRule="atLeast"/>
        <w:ind w:left="540" w:right="495" w:hanging="360"/>
        <w:jc w:val="left"/>
        <w:rPr>
          <w:color w:val="646464"/>
          <w:sz w:val="21"/>
          <w:szCs w:val="21"/>
        </w:rPr>
      </w:pPr>
      <w:r>
        <w:rPr>
          <w:color w:val="646464"/>
          <w:sz w:val="21"/>
          <w:szCs w:val="21"/>
          <w:u w:val="single" w:color="646464"/>
        </w:rPr>
        <w:t>La représentation ne s’applique pas non plus en cas de renonciation par le premier bénéficiaire</w:t>
      </w:r>
      <w:r>
        <w:rPr>
          <w:color w:val="646464"/>
          <w:sz w:val="21"/>
          <w:szCs w:val="21"/>
        </w:rPr>
        <w:t>.</w:t>
      </w:r>
    </w:p>
    <w:p>
      <w:pPr>
        <w:pStyle w:val="fd-document-box-blackfd-document-box-descriptionpnth-last-child1"/>
        <w:numPr>
          <w:ilvl w:val="0"/>
          <w:numId w:val="69"/>
        </w:numPr>
        <w:pBdr>
          <w:bottom w:val="none" w:sz="0" w:space="12" w:color="auto"/>
        </w:pBdr>
        <w:shd w:val="clear" w:color="auto" w:fill="F5F5F5"/>
        <w:spacing w:before="0" w:after="180" w:line="300" w:lineRule="atLeast"/>
        <w:ind w:left="540" w:right="495" w:hanging="360"/>
        <w:jc w:val="left"/>
        <w:rPr>
          <w:color w:val="646464"/>
          <w:sz w:val="21"/>
          <w:szCs w:val="21"/>
        </w:rPr>
      </w:pPr>
      <w:r>
        <w:rPr>
          <w:color w:val="646464"/>
          <w:sz w:val="21"/>
          <w:szCs w:val="21"/>
          <w:u w:val="single" w:color="646464"/>
        </w:rPr>
        <w:t>Démembrement de la clause bénéficiaire</w:t>
      </w:r>
      <w:r>
        <w:rPr>
          <w:color w:val="646464"/>
          <w:sz w:val="21"/>
          <w:szCs w:val="21"/>
        </w:rPr>
        <w:t xml:space="preserve"> :</w:t>
      </w:r>
    </w:p>
    <w:p>
      <w:pPr>
        <w:shd w:val="clear" w:color="auto" w:fill="F5F5F5"/>
        <w:spacing w:after="600" w:line="300" w:lineRule="atLeast"/>
        <w:ind w:left="540" w:right="495"/>
        <w:jc w:val="left"/>
        <w:rPr>
          <w:color w:val="646464"/>
          <w:sz w:val="21"/>
          <w:szCs w:val="21"/>
        </w:rPr>
      </w:pPr>
      <w:r>
        <w:rPr>
          <w:color w:val="646464"/>
          <w:sz w:val="21"/>
          <w:szCs w:val="21"/>
        </w:rPr>
        <w:t>Le nu-propriétaire et l’usufruitier sont considérés comme bénéficiaires au prorata de la part leur revenant dans les sommes versées déterminé selon le barème prévu à l’article 669 du Code Général des Impôts.</w:t>
      </w:r>
    </w:p>
    <w:p>
      <w:pPr>
        <w:pStyle w:val="Heading3"/>
        <w:pageBreakBefore w:val="0"/>
        <w:spacing w:before="0" w:after="240" w:line="330" w:lineRule="atLeast"/>
        <w:ind w:left="0" w:right="0"/>
        <w:rPr>
          <w:b/>
          <w:bCs/>
          <w:color w:val="202020"/>
          <w:sz w:val="28"/>
          <w:szCs w:val="24"/>
        </w:rPr>
      </w:pPr>
      <w:r>
        <w:rPr>
          <w:b/>
          <w:bCs/>
          <w:color w:val="202020"/>
          <w:sz w:val="24"/>
          <w:szCs w:val="24"/>
        </w:rPr>
        <w:t>7.2.</w:t>
      </w:r>
      <w:r>
        <w:rPr>
          <w:b/>
          <w:bCs/>
          <w:color w:val="202020"/>
          <w:sz w:val="24"/>
          <w:szCs w:val="24"/>
        </w:rPr>
        <w:t xml:space="preserve"> Cas particulier : gestion Internationale</w:t>
      </w:r>
    </w:p>
    <w:p>
      <w:pPr>
        <w:pStyle w:val="p"/>
        <w:spacing w:before="0" w:after="180" w:line="330" w:lineRule="atLeast"/>
        <w:ind w:left="0" w:right="0"/>
        <w:rPr>
          <w:color w:val="646464"/>
          <w:sz w:val="24"/>
          <w:szCs w:val="24"/>
        </w:rPr>
      </w:pPr>
      <w:r>
        <w:rPr>
          <w:color w:val="646464"/>
          <w:sz w:val="24"/>
          <w:szCs w:val="24"/>
        </w:rPr>
        <w:t>Les dispositions de l’article 990 I du CGI s'appliquent aux sommes dues lors du dénouement par décès d'un contrat d'assurance dans les deux hypothèses suivantes :</w:t>
      </w:r>
    </w:p>
    <w:p>
      <w:pPr>
        <w:pStyle w:val="linotnth-last-child1"/>
        <w:numPr>
          <w:ilvl w:val="0"/>
          <w:numId w:val="70"/>
        </w:numPr>
        <w:spacing w:before="240" w:after="240" w:line="330" w:lineRule="atLeast"/>
        <w:ind w:left="720" w:right="0" w:hanging="360"/>
        <w:jc w:val="left"/>
        <w:rPr>
          <w:color w:val="646464"/>
          <w:sz w:val="24"/>
          <w:szCs w:val="24"/>
        </w:rPr>
      </w:pPr>
      <w:r>
        <w:rPr>
          <w:color w:val="646464"/>
          <w:sz w:val="24"/>
          <w:szCs w:val="24"/>
        </w:rPr>
        <w:t xml:space="preserve">lorsque le bénéficiaire a, au jour du décès, son domicile fiscal en France au sens de l’article 4 B </w:t>
      </w:r>
      <w:r>
        <w:rPr>
          <w:color w:val="646464"/>
          <w:sz w:val="24"/>
          <w:szCs w:val="24"/>
          <w:u w:val="single" w:color="646464"/>
        </w:rPr>
        <w:t>et</w:t>
      </w:r>
      <w:r>
        <w:rPr>
          <w:color w:val="646464"/>
          <w:sz w:val="24"/>
          <w:szCs w:val="24"/>
        </w:rPr>
        <w:t xml:space="preserve"> l’a eu pendant au moins six années au cours des dix années précédant le décès ;</w:t>
      </w:r>
    </w:p>
    <w:p>
      <w:pPr>
        <w:numPr>
          <w:ilvl w:val="0"/>
          <w:numId w:val="70"/>
        </w:numPr>
        <w:spacing w:after="240" w:line="330" w:lineRule="atLeast"/>
        <w:ind w:left="720" w:right="0" w:hanging="360"/>
        <w:jc w:val="left"/>
        <w:rPr>
          <w:color w:val="646464"/>
          <w:sz w:val="24"/>
          <w:szCs w:val="24"/>
        </w:rPr>
      </w:pPr>
      <w:r>
        <w:rPr>
          <w:color w:val="646464"/>
          <w:sz w:val="24"/>
          <w:szCs w:val="24"/>
        </w:rPr>
        <w:t>ou lorsque l’assuré a, au moment du décès, son domicile fiscal en France au sens du même article 4 B.</w:t>
      </w:r>
    </w:p>
    <w:p>
      <w:pPr>
        <w:pStyle w:val="Heading3"/>
        <w:pageBreakBefore w:val="0"/>
        <w:spacing w:before="0" w:after="240" w:line="330" w:lineRule="atLeast"/>
        <w:ind w:left="0" w:right="0"/>
        <w:rPr>
          <w:b/>
          <w:bCs/>
          <w:color w:val="202020"/>
          <w:sz w:val="28"/>
          <w:szCs w:val="24"/>
        </w:rPr>
      </w:pPr>
      <w:r>
        <w:rPr>
          <w:b/>
          <w:bCs/>
          <w:color w:val="202020"/>
          <w:sz w:val="24"/>
          <w:szCs w:val="24"/>
        </w:rPr>
        <w:t>7.3.</w:t>
      </w:r>
      <w:r>
        <w:rPr>
          <w:b/>
          <w:bCs/>
          <w:color w:val="202020"/>
          <w:sz w:val="24"/>
          <w:szCs w:val="24"/>
        </w:rPr>
        <w:t xml:space="preserve"> Les capitaux décès sont-ils soumis à l’impôt sur le revenu et aux prélèvements sociaux ?</w:t>
      </w:r>
    </w:p>
    <w:tbl>
      <w:tblPr>
        <w:tblStyle w:val="table"/>
        <w:tblW w:w="5000" w:type="pct"/>
        <w:tblInd w:w="16" w:type="dxa"/>
        <w:shd w:val="clear" w:color="auto" w:fill="FFFFFF"/>
        <w:tblCellMar>
          <w:top w:w="0" w:type="dxa"/>
          <w:left w:w="0" w:type="dxa"/>
          <w:bottom w:w="0" w:type="dxa"/>
          <w:right w:w="0" w:type="dxa"/>
        </w:tblCellMar>
        <w:tblLook w:val="05E0"/>
      </w:tblPr>
      <w:tblGrid>
        <w:gridCol w:w="3261"/>
        <w:gridCol w:w="7610"/>
      </w:tblGrid>
      <w:tr>
        <w:tblPrEx>
          <w:tblW w:w="5000" w:type="pct"/>
          <w:tblInd w:w="16" w:type="dxa"/>
          <w:shd w:val="clear" w:color="auto" w:fill="FFFFFF"/>
          <w:tblCellMar>
            <w:top w:w="0" w:type="dxa"/>
            <w:left w:w="0" w:type="dxa"/>
            <w:bottom w:w="0" w:type="dxa"/>
            <w:right w:w="0" w:type="dxa"/>
          </w:tblCellMar>
          <w:tblLook w:val="05E0"/>
        </w:tblPrEx>
        <w:trPr>
          <w:tblHeader/>
        </w:trPr>
        <w:tc>
          <w:tcPr>
            <w:tcW w:w="1500" w:type="pct"/>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b/>
                <w:bCs/>
                <w:color w:val="202020"/>
                <w:sz w:val="21"/>
                <w:szCs w:val="21"/>
              </w:rPr>
            </w:pPr>
            <w:r>
              <w:rPr>
                <w:b/>
                <w:bCs/>
                <w:color w:val="202020"/>
                <w:sz w:val="21"/>
                <w:szCs w:val="21"/>
              </w:rPr>
              <w:t>Impôt sur le revenu</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left"/>
              <w:rPr>
                <w:b w:val="0"/>
                <w:bCs w:val="0"/>
                <w:color w:val="646464"/>
                <w:sz w:val="21"/>
                <w:szCs w:val="21"/>
              </w:rPr>
            </w:pPr>
            <w:r>
              <w:rPr>
                <w:b w:val="0"/>
                <w:bCs w:val="0"/>
                <w:color w:val="646464"/>
                <w:sz w:val="21"/>
                <w:szCs w:val="21"/>
              </w:rPr>
              <w:t>Les capitaux versés ne sont pas soumis à l’impôt sur le revenu, y compris en ce qui concerne la part représentative des intérêts.</w:t>
            </w:r>
          </w:p>
        </w:tc>
      </w:tr>
      <w:tr>
        <w:tblPrEx>
          <w:tblW w:w="5000" w:type="pct"/>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Prélèvements sociaux</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pStyle w:val="p"/>
              <w:spacing w:before="0" w:after="180" w:line="300" w:lineRule="atLeast"/>
              <w:ind w:left="0" w:right="0"/>
              <w:jc w:val="left"/>
              <w:rPr>
                <w:b w:val="0"/>
                <w:bCs w:val="0"/>
                <w:color w:val="646464"/>
                <w:sz w:val="21"/>
                <w:szCs w:val="21"/>
              </w:rPr>
            </w:pPr>
            <w:r>
              <w:rPr>
                <w:b w:val="0"/>
                <w:bCs w:val="0"/>
                <w:color w:val="646464"/>
                <w:sz w:val="21"/>
                <w:szCs w:val="21"/>
              </w:rPr>
              <w:t>Le décès de l’assuré entraîne l’assujettissement aux prélèvements sociaux des produits qui ne les ont pas déjà supportés.</w:t>
            </w:r>
          </w:p>
          <w:p>
            <w:pPr>
              <w:spacing w:line="300" w:lineRule="atLeast"/>
              <w:jc w:val="left"/>
              <w:rPr>
                <w:b w:val="0"/>
                <w:bCs w:val="0"/>
                <w:color w:val="646464"/>
                <w:sz w:val="21"/>
                <w:szCs w:val="21"/>
              </w:rPr>
            </w:pPr>
            <w:r>
              <w:rPr>
                <w:b w:val="0"/>
                <w:bCs w:val="0"/>
                <w:color w:val="646464"/>
                <w:sz w:val="21"/>
                <w:szCs w:val="21"/>
              </w:rPr>
              <w:t>Le capital versé au bénéficiaire est donc net de ces prélèvements.</w:t>
            </w:r>
          </w:p>
        </w:tc>
      </w:tr>
    </w:tbl>
    <w:p>
      <w:pPr>
        <w:pStyle w:val="Heading3"/>
        <w:pageBreakBefore w:val="0"/>
        <w:spacing w:before="0" w:after="240" w:line="330" w:lineRule="atLeast"/>
        <w:ind w:left="0" w:right="0"/>
        <w:rPr>
          <w:b/>
          <w:bCs/>
          <w:color w:val="202020"/>
          <w:sz w:val="28"/>
          <w:szCs w:val="24"/>
        </w:rPr>
      </w:pPr>
      <w:r>
        <w:rPr>
          <w:b/>
          <w:bCs/>
          <w:color w:val="202020"/>
          <w:sz w:val="24"/>
          <w:szCs w:val="24"/>
        </w:rPr>
        <w:t>7.4.</w:t>
      </w:r>
      <w:r>
        <w:rPr>
          <w:b/>
          <w:bCs/>
          <w:color w:val="202020"/>
          <w:sz w:val="24"/>
          <w:szCs w:val="24"/>
        </w:rPr>
        <w:t xml:space="preserve"> Quelle est la situation des capitaux décès au regard des autres frais et charges liés au règlement successoral ?</w:t>
      </w:r>
    </w:p>
    <w:p>
      <w:pPr>
        <w:pStyle w:val="p"/>
        <w:spacing w:before="0" w:after="180" w:line="330" w:lineRule="atLeast"/>
        <w:ind w:left="0" w:right="0"/>
        <w:rPr>
          <w:color w:val="646464"/>
          <w:sz w:val="24"/>
          <w:szCs w:val="24"/>
        </w:rPr>
      </w:pPr>
      <w:r>
        <w:rPr>
          <w:rStyle w:val="pspannotpucenotfd-update"/>
          <w:color w:val="646464"/>
          <w:sz w:val="24"/>
          <w:szCs w:val="24"/>
          <w:u w:val="single" w:color="646464"/>
        </w:rPr>
        <w:t>Principe</w:t>
      </w:r>
      <w:r>
        <w:rPr>
          <w:color w:val="646464"/>
          <w:sz w:val="24"/>
          <w:szCs w:val="24"/>
        </w:rPr>
        <w:t xml:space="preserve"> : l’assurance-vie est par nature hors succession.</w:t>
      </w:r>
    </w:p>
    <w:p>
      <w:pPr>
        <w:pStyle w:val="p"/>
        <w:spacing w:before="0" w:after="180" w:line="330" w:lineRule="atLeast"/>
        <w:ind w:left="0" w:right="0"/>
        <w:rPr>
          <w:color w:val="646464"/>
          <w:sz w:val="24"/>
          <w:szCs w:val="24"/>
        </w:rPr>
      </w:pPr>
      <w:r>
        <w:rPr>
          <w:color w:val="646464"/>
          <w:sz w:val="24"/>
          <w:szCs w:val="24"/>
        </w:rPr>
        <w:t>Elle n’est donc pas soumise au aux règles successorales classiques, ce qui n’est pas neutre pour une série de frais et charges :</w:t>
      </w:r>
    </w:p>
    <w:p>
      <w:pPr>
        <w:pStyle w:val="linotnth-last-child1"/>
        <w:numPr>
          <w:ilvl w:val="0"/>
          <w:numId w:val="71"/>
        </w:numPr>
        <w:spacing w:before="240" w:after="240" w:line="330" w:lineRule="atLeast"/>
        <w:ind w:left="720" w:right="0" w:hanging="360"/>
        <w:jc w:val="left"/>
        <w:rPr>
          <w:color w:val="646464"/>
          <w:sz w:val="24"/>
          <w:szCs w:val="24"/>
        </w:rPr>
      </w:pPr>
      <w:r>
        <w:rPr>
          <w:color w:val="646464"/>
          <w:sz w:val="24"/>
          <w:szCs w:val="24"/>
          <w:u w:val="single" w:color="646464"/>
        </w:rPr>
        <w:t>pas d’émolument de notaire</w:t>
      </w:r>
      <w:r>
        <w:rPr>
          <w:color w:val="646464"/>
          <w:sz w:val="24"/>
          <w:szCs w:val="24"/>
        </w:rPr>
        <w:t xml:space="preserve"> sur les capitaux décès qui ne sont pas soumis aux droits de succession. Les émoluments ne sont donc dus qu’en cas d’application de l’article 757 B du CGI.</w:t>
      </w:r>
    </w:p>
    <w:p>
      <w:pPr>
        <w:numPr>
          <w:ilvl w:val="0"/>
          <w:numId w:val="71"/>
        </w:numPr>
        <w:spacing w:after="240" w:line="330" w:lineRule="atLeast"/>
        <w:ind w:left="720" w:right="0" w:hanging="360"/>
        <w:jc w:val="left"/>
        <w:rPr>
          <w:color w:val="646464"/>
          <w:sz w:val="24"/>
          <w:szCs w:val="24"/>
        </w:rPr>
      </w:pPr>
      <w:r>
        <w:rPr>
          <w:color w:val="646464"/>
          <w:sz w:val="24"/>
          <w:szCs w:val="24"/>
          <w:u w:val="single" w:color="646464"/>
        </w:rPr>
        <w:t>pas de droit de partage</w:t>
      </w:r>
      <w:r>
        <w:rPr>
          <w:color w:val="646464"/>
          <w:sz w:val="24"/>
          <w:szCs w:val="24"/>
        </w:rPr>
        <w:t xml:space="preserve"> sur les capitaux décès versés aux bénéficiaires des contrats d’assurance-vie.</w:t>
      </w:r>
    </w:p>
    <w:p>
      <w:pPr>
        <w:pStyle w:val="Heading3"/>
        <w:pageBreakBefore w:val="0"/>
        <w:spacing w:before="0" w:after="240" w:line="330" w:lineRule="atLeast"/>
        <w:ind w:left="0" w:right="0"/>
        <w:rPr>
          <w:b/>
          <w:bCs/>
          <w:color w:val="202020"/>
          <w:sz w:val="28"/>
          <w:szCs w:val="24"/>
        </w:rPr>
      </w:pPr>
      <w:r>
        <w:rPr>
          <w:b/>
          <w:bCs/>
          <w:color w:val="202020"/>
          <w:sz w:val="24"/>
          <w:szCs w:val="24"/>
        </w:rPr>
        <w:t>7.5.</w:t>
      </w:r>
      <w:r>
        <w:rPr>
          <w:b/>
          <w:bCs/>
          <w:color w:val="202020"/>
          <w:sz w:val="24"/>
          <w:szCs w:val="24"/>
        </w:rPr>
        <w:t xml:space="preserve"> Est-ce qu'au décès du souscripteur, un recours en récupération des aides sociales peut être intenté à l'encontre du bénéficiaire du contrat d'assurance vie  ?</w:t>
      </w:r>
    </w:p>
    <w:p>
      <w:pPr>
        <w:pStyle w:val="p"/>
        <w:spacing w:before="0" w:after="240" w:line="330" w:lineRule="atLeast"/>
        <w:ind w:left="0" w:right="0"/>
        <w:rPr>
          <w:color w:val="646464"/>
          <w:sz w:val="24"/>
          <w:szCs w:val="24"/>
        </w:rPr>
      </w:pPr>
      <w:r>
        <w:rPr>
          <w:color w:val="646464"/>
          <w:sz w:val="24"/>
          <w:szCs w:val="24"/>
        </w:rPr>
        <w:t xml:space="preserve">L’article 83 de </w:t>
      </w:r>
      <w:hyperlink r:id="rId7" w:tgtFrame="_blank" w:history="1">
        <w:r>
          <w:rPr>
            <w:rStyle w:val="a"/>
            <w:color w:val="4623EB"/>
            <w:sz w:val="24"/>
            <w:szCs w:val="24"/>
          </w:rPr>
          <w:t>la loi du 28 décembre 2015 relative à l'adaptation de la société au vieillissement</w:t>
        </w:r>
      </w:hyperlink>
      <w:r>
        <w:rPr>
          <w:color w:val="646464"/>
          <w:sz w:val="24"/>
          <w:szCs w:val="24"/>
        </w:rPr>
        <w:t xml:space="preserve"> a complété l’article L132-8 du Code de l’action sociale (voir </w:t>
      </w:r>
      <w:hyperlink r:id="rId8" w:tgtFrame="_blank" w:history="1">
        <w:r>
          <w:rPr>
            <w:rStyle w:val="a"/>
            <w:color w:val="4623EB"/>
            <w:sz w:val="24"/>
            <w:szCs w:val="24"/>
          </w:rPr>
          <w:t>flash</w:t>
        </w:r>
      </w:hyperlink>
      <w:r>
        <w:rPr>
          <w:color w:val="646464"/>
          <w:sz w:val="24"/>
          <w:szCs w:val="24"/>
        </w:rPr>
        <w:t xml:space="preserve">) et des familles relatif à la récupération des aides sociales et prévoit la possibilité d’un recours à titre subsidiaire </w:t>
      </w:r>
      <w:r>
        <w:rPr>
          <w:rStyle w:val="pspannotpucenotfd-update"/>
          <w:color w:val="646464"/>
          <w:sz w:val="24"/>
          <w:szCs w:val="24"/>
          <w:u w:val="single" w:color="646464"/>
        </w:rPr>
        <w:t>contre le bénéficiaire d'un contrat d'assurance-vie souscrit par le bénéficiaire de l'aide sociale</w:t>
      </w:r>
      <w:r>
        <w:rPr>
          <w:color w:val="646464"/>
          <w:sz w:val="24"/>
          <w:szCs w:val="24"/>
        </w:rPr>
        <w:t>, à concurrence de la fraction des primes versées après l'âge de soixante-dix ans. Quand la récupération concerne plusieurs bénéficiaires, celle-ci s'effectue au prorata des sommes versées à chacun de ceux-ci.</w:t>
      </w:r>
      <w:r>
        <w:rPr>
          <w:color w:val="646464"/>
          <w:sz w:val="24"/>
          <w:szCs w:val="24"/>
        </w:rPr>
        <w:br/>
      </w:r>
      <w:r>
        <w:rPr>
          <w:color w:val="646464"/>
          <w:sz w:val="24"/>
          <w:szCs w:val="24"/>
        </w:rPr>
        <w:t xml:space="preserve">(voir </w:t>
      </w:r>
      <w:hyperlink r:id="rId9" w:tgtFrame="_blank" w:history="1">
        <w:r>
          <w:rPr>
            <w:rStyle w:val="a"/>
            <w:color w:val="4623EB"/>
            <w:sz w:val="24"/>
            <w:szCs w:val="24"/>
          </w:rPr>
          <w:t>flash</w:t>
        </w:r>
      </w:hyperlink>
      <w:r>
        <w:rPr>
          <w:color w:val="646464"/>
          <w:sz w:val="24"/>
          <w:szCs w:val="24"/>
        </w:rPr>
        <w:t>)</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8.</w:t>
      </w:r>
      <w:r>
        <w:rPr>
          <w:b/>
          <w:bCs/>
          <w:caps w:val="0"/>
          <w:color w:val="202020"/>
          <w:sz w:val="27"/>
          <w:szCs w:val="27"/>
        </w:rPr>
        <w:t xml:space="preserve"> Les autres avantages de l'assurance-vie</w:t>
      </w:r>
    </w:p>
    <w:p>
      <w:pPr>
        <w:pStyle w:val="Heading3"/>
        <w:pageBreakBefore w:val="0"/>
        <w:spacing w:before="240" w:after="240" w:line="330" w:lineRule="atLeast"/>
        <w:ind w:left="0" w:right="0"/>
        <w:rPr>
          <w:b/>
          <w:bCs/>
          <w:color w:val="202020"/>
          <w:sz w:val="28"/>
          <w:szCs w:val="24"/>
        </w:rPr>
      </w:pPr>
      <w:r>
        <w:rPr>
          <w:b/>
          <w:bCs/>
          <w:color w:val="202020"/>
          <w:sz w:val="24"/>
          <w:szCs w:val="24"/>
        </w:rPr>
        <w:t>8.1.</w:t>
      </w:r>
      <w:r>
        <w:rPr>
          <w:b/>
          <w:bCs/>
          <w:color w:val="202020"/>
          <w:sz w:val="24"/>
          <w:szCs w:val="24"/>
        </w:rPr>
        <w:t xml:space="preserve"> Disponibilité de l'épargne</w:t>
      </w:r>
    </w:p>
    <w:p>
      <w:pPr>
        <w:pStyle w:val="linotnth-last-child1"/>
        <w:numPr>
          <w:ilvl w:val="0"/>
          <w:numId w:val="72"/>
        </w:numPr>
        <w:spacing w:before="240" w:after="240" w:line="330" w:lineRule="atLeast"/>
        <w:ind w:left="720" w:right="0" w:hanging="360"/>
        <w:jc w:val="left"/>
        <w:rPr>
          <w:color w:val="646464"/>
          <w:sz w:val="24"/>
          <w:szCs w:val="24"/>
        </w:rPr>
      </w:pPr>
      <w:r>
        <w:rPr>
          <w:color w:val="646464"/>
          <w:sz w:val="24"/>
          <w:szCs w:val="24"/>
        </w:rPr>
        <w:t xml:space="preserve">Le souscripteur a la </w:t>
      </w:r>
      <w:r>
        <w:rPr>
          <w:color w:val="646464"/>
          <w:sz w:val="24"/>
          <w:szCs w:val="24"/>
          <w:u w:val="single" w:color="646464"/>
        </w:rPr>
        <w:t xml:space="preserve">possibilité de faire des rachats partiels ou un rachat total </w:t>
      </w:r>
      <w:r>
        <w:rPr>
          <w:color w:val="646464"/>
          <w:sz w:val="24"/>
          <w:szCs w:val="24"/>
          <w:u w:val="single" w:color="646464"/>
        </w:rPr>
        <w:t>à tout moment.</w:t>
      </w:r>
    </w:p>
    <w:p>
      <w:pPr>
        <w:pStyle w:val="linotnth-last-child1"/>
        <w:numPr>
          <w:ilvl w:val="0"/>
          <w:numId w:val="72"/>
        </w:numPr>
        <w:spacing w:after="240" w:line="330" w:lineRule="atLeast"/>
        <w:ind w:left="720" w:right="0" w:hanging="360"/>
        <w:jc w:val="left"/>
        <w:rPr>
          <w:color w:val="646464"/>
          <w:sz w:val="24"/>
          <w:szCs w:val="24"/>
        </w:rPr>
      </w:pPr>
      <w:r>
        <w:rPr>
          <w:color w:val="646464"/>
          <w:sz w:val="24"/>
          <w:szCs w:val="24"/>
        </w:rPr>
        <w:t xml:space="preserve">En cas d’un besoin ponctuel de trésorerie, il est également possible de demander </w:t>
      </w:r>
      <w:r>
        <w:rPr>
          <w:color w:val="646464"/>
          <w:sz w:val="24"/>
          <w:szCs w:val="24"/>
          <w:u w:val="single" w:color="646464"/>
        </w:rPr>
        <w:t>une avance sur le contrat.</w:t>
      </w:r>
      <w:r>
        <w:rPr>
          <w:color w:val="646464"/>
          <w:sz w:val="24"/>
          <w:szCs w:val="24"/>
          <w:u w:val="single" w:color="646464"/>
        </w:rPr>
        <w:br/>
      </w:r>
      <w:r>
        <w:rPr>
          <w:color w:val="646464"/>
          <w:sz w:val="24"/>
          <w:szCs w:val="24"/>
        </w:rPr>
        <w:t>Il s'agit d'un prêt consenti par l'assureur et auquel est appliqué un taux d'intérêt prévu au contrat. Cela permet au souscripteur de percevoir des liquidités sans que la valeur de rachat de son contrat soit diminuée et sans fiscalité.</w:t>
      </w:r>
      <w:r>
        <w:rPr>
          <w:color w:val="646464"/>
          <w:sz w:val="24"/>
          <w:szCs w:val="24"/>
        </w:rPr>
        <w:br/>
      </w:r>
      <w:r>
        <w:rPr>
          <w:color w:val="646464"/>
          <w:sz w:val="24"/>
          <w:szCs w:val="24"/>
        </w:rPr>
        <w:t>Le contrat ne prend pas fin et continue à se valoriser sur la même base qu’avant l’avance.</w:t>
      </w:r>
    </w:p>
    <w:p>
      <w:pPr>
        <w:numPr>
          <w:ilvl w:val="0"/>
          <w:numId w:val="72"/>
        </w:numPr>
        <w:spacing w:after="240" w:line="330" w:lineRule="atLeast"/>
        <w:ind w:left="720" w:right="0" w:hanging="360"/>
        <w:jc w:val="left"/>
        <w:rPr>
          <w:color w:val="646464"/>
          <w:sz w:val="24"/>
          <w:szCs w:val="24"/>
        </w:rPr>
      </w:pPr>
      <w:r>
        <w:rPr>
          <w:color w:val="646464"/>
          <w:sz w:val="24"/>
          <w:szCs w:val="24"/>
        </w:rPr>
        <w:t xml:space="preserve">En outre, pendant toute la durée du contrat, le souscripteur peut </w:t>
      </w:r>
      <w:r>
        <w:rPr>
          <w:color w:val="646464"/>
          <w:sz w:val="24"/>
          <w:szCs w:val="24"/>
          <w:u w:val="single" w:color="646464"/>
        </w:rPr>
        <w:t>en modifier les caractéristiques financières</w:t>
      </w:r>
      <w:r>
        <w:rPr>
          <w:color w:val="646464"/>
          <w:sz w:val="24"/>
          <w:szCs w:val="24"/>
        </w:rPr>
        <w:t>.</w:t>
      </w:r>
    </w:p>
    <w:p>
      <w:pPr>
        <w:pStyle w:val="p"/>
        <w:spacing w:before="0" w:after="240" w:line="330" w:lineRule="atLeast"/>
        <w:ind w:left="0" w:right="0"/>
        <w:rPr>
          <w:color w:val="646464"/>
          <w:sz w:val="24"/>
          <w:szCs w:val="24"/>
        </w:rPr>
      </w:pPr>
      <w:r>
        <w:rPr>
          <w:color w:val="646464"/>
          <w:sz w:val="24"/>
          <w:szCs w:val="24"/>
        </w:rPr>
        <w:t>Pour en savoir plus sur ces points voir </w:t>
      </w:r>
      <w:hyperlink r:id="rId10" w:tgtFrame="_blank" w:history="1">
        <w:r>
          <w:rPr>
            <w:rStyle w:val="a"/>
            <w:color w:val="4623EB"/>
            <w:sz w:val="24"/>
            <w:szCs w:val="24"/>
          </w:rPr>
          <w:t>Assurance-vie pour obtenir des revenus complémentaires</w:t>
        </w:r>
      </w:hyperlink>
    </w:p>
    <w:p>
      <w:pPr>
        <w:pStyle w:val="Heading3"/>
        <w:pageBreakBefore w:val="0"/>
        <w:spacing w:before="0" w:after="240" w:line="330" w:lineRule="atLeast"/>
        <w:ind w:left="0" w:right="0"/>
        <w:rPr>
          <w:b/>
          <w:bCs/>
          <w:color w:val="202020"/>
          <w:sz w:val="28"/>
          <w:szCs w:val="24"/>
        </w:rPr>
      </w:pPr>
      <w:r>
        <w:rPr>
          <w:b/>
          <w:bCs/>
          <w:color w:val="202020"/>
          <w:sz w:val="24"/>
          <w:szCs w:val="24"/>
        </w:rPr>
        <w:t>8.2.</w:t>
      </w:r>
      <w:r>
        <w:rPr>
          <w:b/>
          <w:bCs/>
          <w:color w:val="202020"/>
          <w:sz w:val="24"/>
          <w:szCs w:val="24"/>
        </w:rPr>
        <w:t xml:space="preserve"> Possibilité d'obtenir des revenus complémentaires immédiats ou à terme en bénéficiant d'une fiscalité avantageuse et dégressive dans le temps</w:t>
      </w:r>
    </w:p>
    <w:p>
      <w:pPr>
        <w:pStyle w:val="p"/>
        <w:spacing w:before="0" w:after="180" w:line="330" w:lineRule="atLeast"/>
        <w:ind w:left="0" w:right="0"/>
        <w:rPr>
          <w:color w:val="646464"/>
          <w:sz w:val="24"/>
          <w:szCs w:val="24"/>
        </w:rPr>
      </w:pPr>
      <w:r>
        <w:rPr>
          <w:color w:val="646464"/>
          <w:sz w:val="24"/>
          <w:szCs w:val="24"/>
        </w:rPr>
        <w:t>La mise en place de rachats programmés peut permettre d’obtenir des revenus complémentaires réguliers.</w:t>
      </w:r>
    </w:p>
    <w:p>
      <w:pPr>
        <w:pStyle w:val="p"/>
        <w:spacing w:before="0" w:after="180" w:line="330" w:lineRule="atLeast"/>
        <w:ind w:left="0" w:right="0"/>
        <w:rPr>
          <w:color w:val="646464"/>
          <w:sz w:val="24"/>
          <w:szCs w:val="24"/>
        </w:rPr>
      </w:pPr>
      <w:r>
        <w:rPr>
          <w:color w:val="646464"/>
          <w:sz w:val="24"/>
          <w:szCs w:val="24"/>
          <w:u w:val="single" w:color="646464"/>
        </w:rPr>
        <w:t>Lors d’un rachat, seuls les intérêts (plus-values ou gains) compris dans le montant racheté sont soumis à imposition</w:t>
      </w:r>
      <w:r>
        <w:rPr>
          <w:color w:val="646464"/>
          <w:sz w:val="24"/>
          <w:szCs w:val="24"/>
        </w:rPr>
        <w:t>.</w:t>
      </w:r>
    </w:p>
    <w:p>
      <w:pPr>
        <w:pStyle w:val="p"/>
        <w:spacing w:before="0" w:after="180" w:line="330" w:lineRule="atLeast"/>
        <w:ind w:left="0" w:right="0"/>
        <w:rPr>
          <w:color w:val="646464"/>
          <w:sz w:val="24"/>
          <w:szCs w:val="24"/>
        </w:rPr>
      </w:pPr>
      <w:r>
        <w:rPr>
          <w:color w:val="646464"/>
          <w:sz w:val="24"/>
          <w:szCs w:val="24"/>
        </w:rPr>
        <w:t>Les gains constatés sur des versements effectués après le 27 septembre 2017 sont imposés :</w:t>
      </w:r>
    </w:p>
    <w:p>
      <w:pPr>
        <w:pStyle w:val="linotnth-last-child1"/>
        <w:numPr>
          <w:ilvl w:val="0"/>
          <w:numId w:val="73"/>
        </w:numPr>
        <w:spacing w:before="240" w:after="240" w:line="330" w:lineRule="atLeast"/>
        <w:ind w:left="720" w:right="0" w:hanging="360"/>
        <w:jc w:val="left"/>
        <w:rPr>
          <w:color w:val="646464"/>
          <w:sz w:val="24"/>
          <w:szCs w:val="24"/>
        </w:rPr>
      </w:pPr>
      <w:r>
        <w:rPr>
          <w:color w:val="646464"/>
          <w:sz w:val="24"/>
          <w:szCs w:val="24"/>
          <w:u w:val="single" w:color="646464"/>
        </w:rPr>
        <w:t>si le retrait a lieu avant 8 ans</w:t>
      </w:r>
      <w:r>
        <w:rPr>
          <w:color w:val="646464"/>
          <w:sz w:val="24"/>
          <w:szCs w:val="24"/>
        </w:rPr>
        <w:t xml:space="preserve"> :  au taux de 12,8 % </w:t>
      </w:r>
    </w:p>
    <w:p>
      <w:pPr>
        <w:numPr>
          <w:ilvl w:val="0"/>
          <w:numId w:val="73"/>
        </w:numPr>
        <w:spacing w:line="330" w:lineRule="atLeast"/>
        <w:ind w:left="720" w:right="0" w:hanging="360"/>
        <w:jc w:val="left"/>
        <w:rPr>
          <w:color w:val="646464"/>
          <w:sz w:val="24"/>
          <w:szCs w:val="24"/>
        </w:rPr>
      </w:pPr>
      <w:r>
        <w:rPr>
          <w:color w:val="646464"/>
          <w:sz w:val="24"/>
          <w:szCs w:val="24"/>
          <w:u w:val="single" w:color="646464"/>
        </w:rPr>
        <w:t>si le retrait a lieu après 8 ans</w:t>
      </w:r>
      <w:r>
        <w:rPr>
          <w:color w:val="646464"/>
          <w:sz w:val="24"/>
          <w:szCs w:val="24"/>
        </w:rPr>
        <w:t xml:space="preserve"> :  </w:t>
      </w:r>
    </w:p>
    <w:p>
      <w:pPr>
        <w:pStyle w:val="linotnth-last-child1"/>
        <w:numPr>
          <w:ilvl w:val="1"/>
          <w:numId w:val="73"/>
        </w:numPr>
        <w:spacing w:before="240" w:after="240" w:line="330" w:lineRule="atLeast"/>
        <w:ind w:left="1440" w:right="0" w:hanging="360"/>
        <w:jc w:val="left"/>
        <w:rPr>
          <w:color w:val="646464"/>
          <w:sz w:val="24"/>
          <w:szCs w:val="24"/>
        </w:rPr>
      </w:pPr>
      <w:r>
        <w:rPr>
          <w:color w:val="646464"/>
          <w:sz w:val="24"/>
          <w:szCs w:val="24"/>
        </w:rPr>
        <w:t>au taux de 7,5 % pour leur fraction se rapportant à des versements inférieurs à 150 000 €, </w:t>
      </w:r>
    </w:p>
    <w:p>
      <w:pPr>
        <w:numPr>
          <w:ilvl w:val="1"/>
          <w:numId w:val="73"/>
        </w:numPr>
        <w:spacing w:after="240" w:line="330" w:lineRule="atLeast"/>
        <w:ind w:left="1440" w:right="0" w:hanging="360"/>
        <w:jc w:val="left"/>
        <w:rPr>
          <w:color w:val="646464"/>
          <w:sz w:val="24"/>
          <w:szCs w:val="24"/>
        </w:rPr>
      </w:pPr>
      <w:r>
        <w:rPr>
          <w:color w:val="646464"/>
          <w:sz w:val="24"/>
          <w:szCs w:val="24"/>
        </w:rPr>
        <w:t>au taux de 12,8 % pour le surplus.</w:t>
      </w:r>
    </w:p>
    <w:p>
      <w:pPr>
        <w:spacing w:line="330" w:lineRule="atLeast"/>
        <w:rPr>
          <w:color w:val="646464"/>
          <w:sz w:val="24"/>
          <w:szCs w:val="24"/>
        </w:rPr>
      </w:pPr>
      <w:r>
        <w:rPr>
          <w:color w:val="646464"/>
          <w:sz w:val="24"/>
          <w:szCs w:val="24"/>
        </w:rPr>
        <w:br/>
      </w:r>
      <w:r>
        <w:rPr>
          <w:color w:val="646464"/>
          <w:sz w:val="24"/>
          <w:szCs w:val="24"/>
        </w:rPr>
        <w:t>Le titulaire a la possibilité d'opter pour que les gains soient ajoutés à son revenu imposable et soumis au barème progressif.</w:t>
      </w:r>
      <w:r>
        <w:rPr>
          <w:color w:val="646464"/>
          <w:sz w:val="24"/>
          <w:szCs w:val="24"/>
        </w:rPr>
        <w:br/>
      </w:r>
      <w:r>
        <w:rPr>
          <w:color w:val="646464"/>
          <w:sz w:val="24"/>
          <w:szCs w:val="24"/>
        </w:rPr>
        <w:t> </w:t>
      </w:r>
    </w:p>
    <w:p>
      <w:pPr>
        <w:pStyle w:val="p"/>
        <w:spacing w:before="0" w:after="180" w:line="330" w:lineRule="atLeast"/>
        <w:ind w:left="0" w:right="0"/>
        <w:rPr>
          <w:color w:val="646464"/>
          <w:sz w:val="24"/>
          <w:szCs w:val="24"/>
        </w:rPr>
      </w:pPr>
      <w:r>
        <w:rPr>
          <w:color w:val="646464"/>
          <w:sz w:val="24"/>
          <w:szCs w:val="24"/>
        </w:rPr>
        <w:t xml:space="preserve">En cas de retrait après 8 ans,  les produits sont soumis à l’impôt sur le revenu après </w:t>
      </w:r>
      <w:r>
        <w:rPr>
          <w:color w:val="646464"/>
          <w:sz w:val="24"/>
          <w:szCs w:val="24"/>
          <w:u w:val="single" w:color="646464"/>
        </w:rPr>
        <w:t>un abattement annuel de 4 600 €</w:t>
      </w:r>
      <w:r>
        <w:rPr>
          <w:color w:val="646464"/>
          <w:sz w:val="24"/>
          <w:szCs w:val="24"/>
        </w:rPr>
        <w:t xml:space="preserve"> (personne seule) ou </w:t>
      </w:r>
      <w:r>
        <w:rPr>
          <w:color w:val="646464"/>
          <w:sz w:val="24"/>
          <w:szCs w:val="24"/>
          <w:u w:val="single" w:color="646464"/>
        </w:rPr>
        <w:t>9 200 €</w:t>
      </w:r>
      <w:r>
        <w:rPr>
          <w:color w:val="646464"/>
          <w:sz w:val="24"/>
          <w:szCs w:val="24"/>
        </w:rPr>
        <w:t xml:space="preserve"> (couple marié ou lié par un PACS soumis à une imposition commune).</w:t>
      </w:r>
    </w:p>
    <w:p>
      <w:pPr>
        <w:pStyle w:val="p"/>
        <w:spacing w:before="0" w:after="180" w:line="330" w:lineRule="atLeast"/>
        <w:ind w:left="0" w:right="0"/>
        <w:rPr>
          <w:color w:val="646464"/>
          <w:sz w:val="24"/>
          <w:szCs w:val="24"/>
        </w:rPr>
      </w:pPr>
      <w:r>
        <w:rPr>
          <w:color w:val="646464"/>
          <w:sz w:val="24"/>
          <w:szCs w:val="24"/>
          <w:u w:val="single" w:color="646464"/>
        </w:rPr>
        <w:t>Les prélèvements sociaux sont exigibles dans tous les cas</w:t>
      </w:r>
      <w:r>
        <w:rPr>
          <w:color w:val="646464"/>
          <w:sz w:val="24"/>
          <w:szCs w:val="24"/>
        </w:rPr>
        <w:t xml:space="preserve"> : ils sont prélevés lors de leur inscription en compte s’il s’agit de produits générés par les fonds en euros, ou seulement au moment du rachat lorsque les capitaux sont investis sur d’autres supports.</w:t>
      </w:r>
    </w:p>
    <w:p>
      <w:pPr>
        <w:spacing w:after="240" w:line="330" w:lineRule="atLeast"/>
        <w:rPr>
          <w:color w:val="646464"/>
          <w:sz w:val="24"/>
          <w:szCs w:val="24"/>
        </w:rPr>
      </w:pPr>
      <w:r>
        <w:rPr>
          <w:color w:val="646464"/>
          <w:sz w:val="24"/>
          <w:szCs w:val="24"/>
        </w:rPr>
        <w:t>Pour en savoir plus sur ce point  voir </w:t>
      </w:r>
      <w:hyperlink r:id="rId10" w:tgtFrame="_blank" w:history="1">
        <w:r>
          <w:rPr>
            <w:rStyle w:val="a"/>
            <w:color w:val="4623EB"/>
            <w:sz w:val="24"/>
            <w:szCs w:val="24"/>
          </w:rPr>
          <w:t>Assurance-vie pour obtenir des revenus complémentaires</w:t>
        </w:r>
      </w:hyperlink>
    </w:p>
    <w:p>
      <w:pPr>
        <w:pStyle w:val="Heading3"/>
        <w:pageBreakBefore w:val="0"/>
        <w:spacing w:before="0" w:after="240" w:line="330" w:lineRule="atLeast"/>
        <w:ind w:left="0" w:right="0"/>
        <w:rPr>
          <w:b/>
          <w:bCs/>
          <w:color w:val="202020"/>
          <w:sz w:val="28"/>
          <w:szCs w:val="24"/>
        </w:rPr>
      </w:pPr>
      <w:r>
        <w:rPr>
          <w:b/>
          <w:bCs/>
          <w:color w:val="202020"/>
          <w:sz w:val="24"/>
          <w:szCs w:val="24"/>
        </w:rPr>
        <w:t>8.3.</w:t>
      </w:r>
      <w:r>
        <w:rPr>
          <w:b/>
          <w:bCs/>
          <w:color w:val="202020"/>
          <w:sz w:val="24"/>
          <w:szCs w:val="24"/>
        </w:rPr>
        <w:t xml:space="preserve"> L'insaisissabilité de l'épargne constituée</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Principe :</w:t>
      </w:r>
    </w:p>
    <w:p>
      <w:pPr>
        <w:pStyle w:val="p"/>
        <w:spacing w:before="0" w:after="180" w:line="330" w:lineRule="atLeast"/>
        <w:ind w:left="0" w:right="0"/>
        <w:rPr>
          <w:color w:val="646464"/>
          <w:sz w:val="24"/>
          <w:szCs w:val="24"/>
        </w:rPr>
      </w:pPr>
      <w:r>
        <w:rPr>
          <w:rStyle w:val="pspannotpucenotfd-update"/>
          <w:color w:val="646464"/>
          <w:sz w:val="24"/>
          <w:szCs w:val="24"/>
          <w:u w:val="single" w:color="646464"/>
        </w:rPr>
        <w:t>En cours de contrat</w:t>
      </w:r>
      <w:r>
        <w:rPr>
          <w:color w:val="646464"/>
          <w:sz w:val="24"/>
          <w:szCs w:val="24"/>
        </w:rPr>
        <w:t>, la valeur de rachat d’un contrat d’assurance-vie est par principe insaisissable par les créanciers.</w:t>
      </w:r>
      <w:r>
        <w:rPr>
          <w:color w:val="646464"/>
          <w:sz w:val="24"/>
          <w:szCs w:val="24"/>
        </w:rPr>
        <w:br/>
      </w:r>
      <w:r>
        <w:rPr>
          <w:color w:val="646464"/>
          <w:sz w:val="24"/>
          <w:szCs w:val="24"/>
        </w:rPr>
        <w:t>En effet, tant que le contrat n’est pas dénoué, le souscripteur est simplement titulaire du droit de demander le rachat du contrat et de désigner ou modifier le bénéficiaire.  Ces droits sont strictement personnels et ne peuvent être exercés par un tiers.</w:t>
      </w:r>
    </w:p>
    <w:p>
      <w:pPr>
        <w:pStyle w:val="p"/>
        <w:spacing w:before="0" w:after="180" w:line="330" w:lineRule="atLeast"/>
        <w:ind w:left="0" w:right="0"/>
        <w:rPr>
          <w:color w:val="646464"/>
          <w:sz w:val="24"/>
          <w:szCs w:val="24"/>
        </w:rPr>
      </w:pPr>
      <w:r>
        <w:rPr>
          <w:rStyle w:val="pspannotpucenotfd-update"/>
          <w:color w:val="646464"/>
          <w:sz w:val="24"/>
          <w:szCs w:val="24"/>
          <w:u w:val="single" w:color="646464"/>
        </w:rPr>
        <w:t>Au terme du contrat</w:t>
      </w:r>
      <w:r>
        <w:rPr>
          <w:color w:val="646464"/>
          <w:sz w:val="24"/>
          <w:szCs w:val="24"/>
        </w:rPr>
        <w:t>, les sommes perçues par le bénéficiaire suite au décès de l’assuré sont considérées comme n’ayant jamais fait partie du patrimoine du souscripteur. Les créanciers du souscripteur ont seulement droit au remboursement des primes versées si celles sont manifestement exagérées (voir supra).</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Les exceptions à l'insaisissabilité :</w:t>
      </w:r>
    </w:p>
    <w:p>
      <w:pPr>
        <w:pStyle w:val="fd-chevron-lvl2"/>
        <w:pBdr>
          <w:left w:val="none" w:sz="0" w:space="18" w:color="auto"/>
        </w:pBdr>
        <w:spacing w:before="0" w:after="180" w:line="330" w:lineRule="atLeast"/>
        <w:ind w:left="360" w:right="0"/>
        <w:rPr>
          <w:b w:val="0"/>
          <w:bCs w:val="0"/>
          <w:color w:val="202020"/>
          <w:sz w:val="24"/>
          <w:szCs w:val="24"/>
        </w:rPr>
      </w:pPr>
      <w:r>
        <w:rPr>
          <w:b w:val="0"/>
          <w:bCs w:val="0"/>
          <w:color w:val="202020"/>
          <w:sz w:val="24"/>
          <w:szCs w:val="24"/>
        </w:rPr>
        <w:t>Le droit de saisie de l'administration fiscale :</w:t>
      </w:r>
    </w:p>
    <w:p>
      <w:pPr>
        <w:pStyle w:val="p"/>
        <w:spacing w:before="0" w:after="180" w:line="330" w:lineRule="atLeast"/>
        <w:ind w:left="0" w:right="0"/>
        <w:rPr>
          <w:color w:val="646464"/>
          <w:sz w:val="24"/>
          <w:szCs w:val="24"/>
        </w:rPr>
      </w:pPr>
      <w:r>
        <w:rPr>
          <w:color w:val="646464"/>
          <w:sz w:val="24"/>
          <w:szCs w:val="24"/>
        </w:rPr>
        <w:t>Depuis la loi du 06 décembre 2013, l’administration fiscale peut sous certaines conditions utiliser les procédures simplifiées de saisie afin d’appréhender les sommes placées en assurance-vie.</w:t>
      </w:r>
    </w:p>
    <w:p>
      <w:pPr>
        <w:pStyle w:val="p"/>
        <w:spacing w:before="0" w:after="180" w:line="330" w:lineRule="atLeast"/>
        <w:ind w:left="0" w:right="0"/>
        <w:rPr>
          <w:color w:val="646464"/>
          <w:sz w:val="24"/>
          <w:szCs w:val="24"/>
        </w:rPr>
      </w:pPr>
      <w:r>
        <w:rPr>
          <w:rStyle w:val="pspannotpucenotfd-update"/>
          <w:color w:val="646464"/>
          <w:sz w:val="24"/>
          <w:szCs w:val="24"/>
          <w:u w:val="single" w:color="646464"/>
        </w:rPr>
        <w:t>Sont uniquement concernés les contrats rachetables</w:t>
      </w:r>
      <w:r>
        <w:rPr>
          <w:color w:val="646464"/>
          <w:sz w:val="24"/>
          <w:szCs w:val="24"/>
        </w:rPr>
        <w:t>, qu’ils soient individuels ou collectifs, en euros ou en unités de compte.</w:t>
      </w:r>
    </w:p>
    <w:p>
      <w:pPr>
        <w:pStyle w:val="p"/>
        <w:spacing w:before="0" w:after="180" w:line="330" w:lineRule="atLeast"/>
        <w:ind w:left="0" w:right="0"/>
        <w:rPr>
          <w:color w:val="646464"/>
          <w:sz w:val="24"/>
          <w:szCs w:val="24"/>
        </w:rPr>
      </w:pPr>
      <w:r>
        <w:rPr>
          <w:rStyle w:val="pspannotpucenotfd-update"/>
          <w:color w:val="646464"/>
          <w:sz w:val="24"/>
          <w:szCs w:val="24"/>
          <w:u w:val="single" w:color="646464"/>
        </w:rPr>
        <w:t xml:space="preserve">Nature des actes de poursuite pouvant être exercés </w:t>
      </w:r>
      <w:r>
        <w:rPr>
          <w:color w:val="646464"/>
          <w:sz w:val="24"/>
          <w:szCs w:val="24"/>
        </w:rPr>
        <w:t>:</w:t>
      </w:r>
    </w:p>
    <w:p>
      <w:pPr>
        <w:pStyle w:val="linotnth-last-child1"/>
        <w:numPr>
          <w:ilvl w:val="0"/>
          <w:numId w:val="74"/>
        </w:numPr>
        <w:spacing w:before="240" w:after="240" w:line="330" w:lineRule="atLeast"/>
        <w:ind w:left="720" w:right="0" w:hanging="360"/>
        <w:jc w:val="left"/>
        <w:rPr>
          <w:color w:val="646464"/>
          <w:sz w:val="24"/>
          <w:szCs w:val="24"/>
        </w:rPr>
      </w:pPr>
      <w:r>
        <w:rPr>
          <w:color w:val="646464"/>
          <w:sz w:val="24"/>
          <w:szCs w:val="24"/>
        </w:rPr>
        <w:t>l’avis à tiers détenteur pour le recouvrement des créances fiscales, quelle que soit la catégorie de l’impôt dont il s’agit ;</w:t>
      </w:r>
    </w:p>
    <w:p>
      <w:pPr>
        <w:pStyle w:val="linotnth-last-child1"/>
        <w:numPr>
          <w:ilvl w:val="0"/>
          <w:numId w:val="74"/>
        </w:numPr>
        <w:spacing w:after="240" w:line="330" w:lineRule="atLeast"/>
        <w:ind w:left="720" w:right="0" w:hanging="360"/>
        <w:jc w:val="left"/>
        <w:rPr>
          <w:color w:val="646464"/>
          <w:sz w:val="24"/>
          <w:szCs w:val="24"/>
        </w:rPr>
      </w:pPr>
      <w:r>
        <w:rPr>
          <w:color w:val="646464"/>
          <w:sz w:val="24"/>
          <w:szCs w:val="24"/>
        </w:rPr>
        <w:t>l’opposition à tiers détenteur pour le recouvrement des recettes de collectivités territoriales et de leurs établissements publics ;</w:t>
      </w:r>
    </w:p>
    <w:p>
      <w:pPr>
        <w:pStyle w:val="linotnth-last-child1"/>
        <w:numPr>
          <w:ilvl w:val="0"/>
          <w:numId w:val="74"/>
        </w:numPr>
        <w:spacing w:after="240" w:line="330" w:lineRule="atLeast"/>
        <w:ind w:left="720" w:right="0" w:hanging="360"/>
        <w:jc w:val="left"/>
        <w:rPr>
          <w:color w:val="646464"/>
          <w:sz w:val="24"/>
          <w:szCs w:val="24"/>
        </w:rPr>
      </w:pPr>
      <w:r>
        <w:rPr>
          <w:color w:val="646464"/>
          <w:sz w:val="24"/>
          <w:szCs w:val="24"/>
        </w:rPr>
        <w:t>la saisie à tiers détenteur pour le recouvrement des produits divers de l’état,</w:t>
      </w:r>
    </w:p>
    <w:p>
      <w:pPr>
        <w:numPr>
          <w:ilvl w:val="0"/>
          <w:numId w:val="74"/>
        </w:numPr>
        <w:spacing w:after="240" w:line="330" w:lineRule="atLeast"/>
        <w:ind w:left="720" w:right="0" w:hanging="360"/>
        <w:jc w:val="left"/>
        <w:rPr>
          <w:color w:val="646464"/>
          <w:sz w:val="24"/>
          <w:szCs w:val="24"/>
        </w:rPr>
      </w:pPr>
      <w:r>
        <w:rPr>
          <w:color w:val="646464"/>
          <w:sz w:val="24"/>
          <w:szCs w:val="24"/>
        </w:rPr>
        <w:t>l’opposition administrative pour celui des amendes et condamnations pécuniaires.</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En cas d'acceptation de la clause bénéficiaire, le contrat d'assurance-vie est insaisissable.</w:t>
      </w:r>
      <w:r>
        <w:rPr>
          <w:color w:val="646464"/>
          <w:sz w:val="21"/>
          <w:szCs w:val="21"/>
        </w:rPr>
        <w:br/>
      </w:r>
      <w:r>
        <w:rPr>
          <w:color w:val="646464"/>
          <w:sz w:val="21"/>
          <w:szCs w:val="21"/>
        </w:rPr>
        <w:t>Voir Actualité - </w:t>
      </w:r>
      <w:hyperlink r:id="rId11" w:tgtFrame="_blank" w:history="1">
        <w:r>
          <w:rPr>
            <w:rStyle w:val="a"/>
            <w:color w:val="4623EB"/>
            <w:sz w:val="21"/>
            <w:szCs w:val="21"/>
          </w:rPr>
          <w:t>Assurance-vie : bénéfice accepté, saisie du fisc écartée (BOFiP 28/08/2017)</w:t>
        </w:r>
      </w:hyperlink>
      <w:r>
        <w:rPr>
          <w:rStyle w:val="a"/>
          <w:color w:val="4623EB"/>
          <w:sz w:val="21"/>
          <w:szCs w:val="21"/>
        </w:rPr>
        <w:br/>
      </w:r>
      <w:r>
        <w:rPr>
          <w:rStyle w:val="a"/>
          <w:color w:val="4623EB"/>
          <w:sz w:val="21"/>
          <w:szCs w:val="21"/>
        </w:rPr>
        <w:br/>
      </w:r>
      <w:r>
        <w:rPr>
          <w:color w:val="646464"/>
          <w:sz w:val="21"/>
          <w:szCs w:val="21"/>
        </w:rPr>
        <w:t>En cas de nantissement du contrat, le contrat d'assurance-vie n'est pas saisissable</w:t>
      </w:r>
      <w:r>
        <w:rPr>
          <w:color w:val="646464"/>
          <w:sz w:val="21"/>
          <w:szCs w:val="21"/>
        </w:rPr>
        <w:br/>
      </w:r>
      <w:r>
        <w:rPr>
          <w:color w:val="646464"/>
          <w:sz w:val="21"/>
          <w:szCs w:val="21"/>
        </w:rPr>
        <w:t>Voir Actualité - </w:t>
      </w:r>
      <w:hyperlink r:id="rId12" w:tgtFrame="_blank" w:history="1">
        <w:r>
          <w:rPr>
            <w:rStyle w:val="a"/>
            <w:color w:val="4623EB"/>
            <w:sz w:val="21"/>
            <w:szCs w:val="21"/>
          </w:rPr>
          <w:t>Assurance-vie : Finalement le nantissement accordé à la banque supplante le privilège du fisc ! (Cass. civ. 2 02/07/2020)</w:t>
        </w:r>
      </w:hyperlink>
    </w:p>
    <w:p>
      <w:pPr>
        <w:pStyle w:val="content"/>
        <w:spacing w:line="330" w:lineRule="atLeast"/>
        <w:rPr>
          <w:color w:val="646464"/>
          <w:sz w:val="24"/>
          <w:szCs w:val="24"/>
        </w:rPr>
      </w:pPr>
      <w:r>
        <w:rPr>
          <w:color w:val="646464"/>
          <w:sz w:val="24"/>
          <w:szCs w:val="24"/>
        </w:rPr>
        <w:t> </w:t>
      </w:r>
      <w:r>
        <w:rPr>
          <w:color w:val="646464"/>
          <w:sz w:val="24"/>
          <w:szCs w:val="24"/>
        </w:rPr>
        <w:br/>
      </w:r>
      <w:r>
        <w:rPr>
          <w:color w:val="646464"/>
          <w:sz w:val="24"/>
          <w:szCs w:val="24"/>
          <w:u w:val="single" w:color="646464"/>
        </w:rPr>
        <w:t>Étendue de la saisie</w:t>
      </w:r>
      <w:r>
        <w:rPr>
          <w:color w:val="646464"/>
          <w:sz w:val="24"/>
          <w:szCs w:val="24"/>
        </w:rPr>
        <w:t xml:space="preserve"> : la saisie est limitée à la valeur de rachat du contrat à la date de notification de la poursuite.</w:t>
      </w:r>
      <w:r>
        <w:rPr>
          <w:color w:val="646464"/>
          <w:sz w:val="24"/>
          <w:szCs w:val="24"/>
        </w:rPr>
        <w:br/>
      </w:r>
      <w:r>
        <w:rPr>
          <w:color w:val="646464"/>
          <w:sz w:val="24"/>
          <w:szCs w:val="24"/>
        </w:rPr>
        <w:t xml:space="preserve">  </w:t>
      </w:r>
    </w:p>
    <w:p>
      <w:pPr>
        <w:pStyle w:val="fd-chevron-lvl2"/>
        <w:pBdr>
          <w:left w:val="none" w:sz="0" w:space="18" w:color="auto"/>
        </w:pBdr>
        <w:spacing w:before="0" w:after="180" w:line="330" w:lineRule="atLeast"/>
        <w:ind w:left="360" w:right="0"/>
        <w:rPr>
          <w:b w:val="0"/>
          <w:bCs w:val="0"/>
          <w:color w:val="202020"/>
          <w:sz w:val="24"/>
          <w:szCs w:val="24"/>
        </w:rPr>
      </w:pPr>
      <w:r>
        <w:rPr>
          <w:b w:val="0"/>
          <w:bCs w:val="0"/>
          <w:color w:val="202020"/>
          <w:sz w:val="24"/>
          <w:szCs w:val="24"/>
        </w:rPr>
        <w:t>Saisie et confiscation en matière pénale :</w:t>
      </w:r>
    </w:p>
    <w:p>
      <w:pPr>
        <w:pStyle w:val="p"/>
        <w:spacing w:before="0" w:after="180" w:line="330" w:lineRule="atLeast"/>
        <w:ind w:left="0" w:right="0"/>
        <w:rPr>
          <w:color w:val="646464"/>
          <w:sz w:val="24"/>
          <w:szCs w:val="24"/>
        </w:rPr>
      </w:pPr>
      <w:r>
        <w:rPr>
          <w:color w:val="646464"/>
          <w:sz w:val="24"/>
          <w:szCs w:val="24"/>
        </w:rPr>
        <w:t>La loi du 09 juillet 2010 permet la confiscation des sommes placées sur un contrat d’assurance-vie dès lors que cet argent provient d’une infraction.</w:t>
      </w:r>
    </w:p>
    <w:p>
      <w:pPr>
        <w:pStyle w:val="p"/>
        <w:spacing w:before="0" w:after="240" w:line="330" w:lineRule="atLeast"/>
        <w:ind w:left="0" w:right="0"/>
        <w:rPr>
          <w:color w:val="646464"/>
          <w:sz w:val="24"/>
          <w:szCs w:val="24"/>
        </w:rPr>
      </w:pPr>
      <w:r>
        <w:rPr>
          <w:color w:val="646464"/>
          <w:sz w:val="24"/>
          <w:szCs w:val="24"/>
        </w:rPr>
        <w:t>La loi du 06 décembre 2013 prévoit que la condamnation définitive par une juridiction pénale à la peine de confiscation d’un contrat d’assurance-vie dont l’origine est frauduleuse entraîne sa résolution judiciaire et le transfert des fonds confisqués à l’État.</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9.</w:t>
      </w:r>
      <w:r>
        <w:rPr>
          <w:b/>
          <w:bCs/>
          <w:caps w:val="0"/>
          <w:color w:val="202020"/>
          <w:sz w:val="27"/>
          <w:szCs w:val="27"/>
        </w:rPr>
        <w:t xml:space="preserve"> Devoir de conseil - information sur les risques de l'opération</w:t>
      </w:r>
    </w:p>
    <w:p>
      <w:pPr>
        <w:pStyle w:val="Heading3"/>
        <w:pageBreakBefore w:val="0"/>
        <w:spacing w:before="240" w:after="240" w:line="330" w:lineRule="atLeast"/>
        <w:ind w:left="0" w:right="0"/>
        <w:rPr>
          <w:b/>
          <w:bCs/>
          <w:color w:val="202020"/>
          <w:sz w:val="28"/>
          <w:szCs w:val="24"/>
        </w:rPr>
      </w:pPr>
      <w:r>
        <w:rPr>
          <w:b/>
          <w:bCs/>
          <w:color w:val="202020"/>
          <w:sz w:val="24"/>
          <w:szCs w:val="24"/>
        </w:rPr>
        <w:t>9.1.</w:t>
      </w:r>
      <w:r>
        <w:rPr>
          <w:b/>
          <w:bCs/>
          <w:color w:val="202020"/>
          <w:sz w:val="24"/>
          <w:szCs w:val="24"/>
        </w:rPr>
        <w:t xml:space="preserve"> Sur la faculté de renonciation</w:t>
      </w:r>
    </w:p>
    <w:p>
      <w:pPr>
        <w:spacing w:line="330" w:lineRule="atLeast"/>
        <w:rPr>
          <w:color w:val="646464"/>
          <w:sz w:val="24"/>
          <w:szCs w:val="24"/>
        </w:rPr>
      </w:pPr>
      <w:r>
        <w:rPr>
          <w:color w:val="646464"/>
          <w:sz w:val="24"/>
          <w:szCs w:val="24"/>
          <w:u w:val="single" w:color="646464"/>
        </w:rPr>
        <w:t>Délai de 30 jours calendaires</w:t>
      </w:r>
      <w:r>
        <w:rPr>
          <w:color w:val="646464"/>
          <w:sz w:val="24"/>
          <w:szCs w:val="24"/>
        </w:rPr>
        <w:t xml:space="preserve"> pour renoncer au contrat par lettre recommandée avec demande d’accusé de réception, sans aucune justification à donner.</w:t>
      </w:r>
      <w:r>
        <w:rPr>
          <w:color w:val="646464"/>
          <w:sz w:val="24"/>
          <w:szCs w:val="24"/>
        </w:rPr>
        <w:br/>
      </w:r>
      <w:r>
        <w:rPr>
          <w:color w:val="646464"/>
          <w:sz w:val="24"/>
          <w:szCs w:val="24"/>
        </w:rPr>
        <w:t xml:space="preserve">  </w:t>
      </w:r>
    </w:p>
    <w:p>
      <w:pPr>
        <w:pStyle w:val="fd-document-box-purplefd-document-box-title"/>
        <w:pageBreakBefore w:val="0"/>
        <w:pBdr>
          <w:top w:val="single" w:sz="6" w:space="12" w:color="D6D6D6"/>
          <w:left w:val="single" w:sz="24" w:space="24" w:color="C882FF"/>
          <w:bottom w:val="single" w:sz="6" w:space="0"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Précisions :</w:t>
      </w:r>
    </w:p>
    <w:p>
      <w:pPr>
        <w:pStyle w:val="fd-document-box-purpleulli"/>
        <w:pBdr>
          <w:top w:val="single" w:sz="6" w:space="12" w:color="D6D6D6"/>
          <w:left w:val="single" w:sz="24" w:space="24" w:color="C882FF"/>
          <w:bottom w:val="single" w:sz="6" w:space="0" w:color="D6D6D6"/>
          <w:right w:val="single" w:sz="6" w:space="0" w:color="D6D6D6"/>
        </w:pBdr>
        <w:shd w:val="clear" w:color="auto" w:fill="F5F5F5"/>
        <w:spacing w:before="240" w:after="0" w:line="300" w:lineRule="atLeast"/>
        <w:ind w:left="1050" w:right="525"/>
        <w:jc w:val="left"/>
        <w:rPr>
          <w:color w:val="646464"/>
          <w:sz w:val="21"/>
          <w:szCs w:val="21"/>
        </w:rPr>
      </w:pPr>
      <w:r>
        <w:rPr>
          <w:color w:val="646464"/>
          <w:sz w:val="21"/>
          <w:szCs w:val="21"/>
        </w:rPr>
        <w:t>le délai prorogé si le contrat définitif n’est pas conforme à la proposition initiale ou si l’assureur n’a pas fourni au souscripteur les documents d’information prévus par le Code des assurances (proposition d’assurance et note d’information)</w:t>
      </w:r>
    </w:p>
    <w:p>
      <w:pPr>
        <w:pStyle w:val="fd-document-box-purpleulli"/>
        <w:pBdr>
          <w:top w:val="single" w:sz="6" w:space="12" w:color="D6D6D6"/>
          <w:left w:val="single" w:sz="24" w:space="24" w:color="C882FF"/>
          <w:bottom w:val="single" w:sz="6" w:space="0" w:color="D6D6D6"/>
          <w:right w:val="single" w:sz="6" w:space="0" w:color="D6D6D6"/>
        </w:pBdr>
        <w:shd w:val="clear" w:color="auto" w:fill="F5F5F5"/>
        <w:spacing w:after="600" w:line="300" w:lineRule="atLeast"/>
        <w:ind w:left="1050" w:right="525"/>
        <w:jc w:val="left"/>
        <w:rPr>
          <w:color w:val="646464"/>
          <w:sz w:val="21"/>
          <w:szCs w:val="21"/>
        </w:rPr>
      </w:pPr>
      <w:r>
        <w:rPr>
          <w:color w:val="646464"/>
          <w:sz w:val="21"/>
          <w:szCs w:val="21"/>
        </w:rPr>
        <w:t>Pour les contrats souscrits après le 1er mars 2006, la faculté de renonciation ne peut pas être exercée au-delà du délai de 8 ans à compter de la date à laquelle le souscripteur a été informé de la souscription du contrat. En outre, le souscripteur ne peut plus renoncer à son contrat s’il en a demandé le rachat total).</w:t>
      </w:r>
    </w:p>
    <w:p>
      <w:pPr>
        <w:pStyle w:val="Heading3"/>
        <w:pageBreakBefore w:val="0"/>
        <w:spacing w:before="0" w:after="240" w:line="330" w:lineRule="atLeast"/>
        <w:ind w:left="0" w:right="0"/>
        <w:rPr>
          <w:b/>
          <w:bCs/>
          <w:color w:val="202020"/>
          <w:sz w:val="28"/>
          <w:szCs w:val="24"/>
        </w:rPr>
      </w:pPr>
      <w:r>
        <w:rPr>
          <w:b/>
          <w:bCs/>
          <w:color w:val="202020"/>
          <w:sz w:val="24"/>
          <w:szCs w:val="24"/>
        </w:rPr>
        <w:t>9.2.</w:t>
      </w:r>
      <w:r>
        <w:rPr>
          <w:b/>
          <w:bCs/>
          <w:color w:val="202020"/>
          <w:sz w:val="24"/>
          <w:szCs w:val="24"/>
        </w:rPr>
        <w:t xml:space="preserve"> Sur la clause bénéficiaire</w:t>
      </w:r>
    </w:p>
    <w:p>
      <w:pPr>
        <w:pStyle w:val="linotnth-last-child1"/>
        <w:numPr>
          <w:ilvl w:val="0"/>
          <w:numId w:val="75"/>
        </w:numPr>
        <w:spacing w:before="240" w:after="240" w:line="330" w:lineRule="atLeast"/>
        <w:ind w:left="720" w:right="0" w:hanging="360"/>
        <w:jc w:val="left"/>
        <w:rPr>
          <w:color w:val="646464"/>
          <w:sz w:val="24"/>
          <w:szCs w:val="24"/>
        </w:rPr>
      </w:pPr>
      <w:r>
        <w:rPr>
          <w:color w:val="646464"/>
          <w:sz w:val="24"/>
          <w:szCs w:val="24"/>
        </w:rPr>
        <w:t>La désignation du bénéficiaire doit correspondre à la volonté du souscripteur et l’adoption d’une clause pré-imprimée peut être source de responsabilité en matière de devoir de conseil.</w:t>
      </w:r>
    </w:p>
    <w:p>
      <w:pPr>
        <w:pStyle w:val="linotnth-last-child1"/>
        <w:numPr>
          <w:ilvl w:val="0"/>
          <w:numId w:val="75"/>
        </w:numPr>
        <w:spacing w:after="240" w:line="330" w:lineRule="atLeast"/>
        <w:ind w:left="720" w:right="0" w:hanging="360"/>
        <w:jc w:val="left"/>
        <w:rPr>
          <w:color w:val="646464"/>
          <w:sz w:val="24"/>
          <w:szCs w:val="24"/>
        </w:rPr>
      </w:pPr>
      <w:r>
        <w:rPr>
          <w:color w:val="646464"/>
          <w:sz w:val="24"/>
          <w:szCs w:val="24"/>
        </w:rPr>
        <w:t>Obligation d’information sur les tenants et aboutissants des institutions bénéficiaires.</w:t>
      </w:r>
    </w:p>
    <w:p>
      <w:pPr>
        <w:pStyle w:val="linotnth-last-child1"/>
        <w:numPr>
          <w:ilvl w:val="0"/>
          <w:numId w:val="75"/>
        </w:numPr>
        <w:spacing w:after="240" w:line="330" w:lineRule="atLeast"/>
        <w:ind w:left="720" w:right="0" w:hanging="360"/>
        <w:jc w:val="left"/>
        <w:rPr>
          <w:color w:val="646464"/>
          <w:sz w:val="24"/>
          <w:szCs w:val="24"/>
        </w:rPr>
      </w:pPr>
      <w:r>
        <w:rPr>
          <w:color w:val="646464"/>
          <w:sz w:val="24"/>
          <w:szCs w:val="24"/>
        </w:rPr>
        <w:t>Information sur l’acceptation par le bénéficiaire</w:t>
      </w:r>
    </w:p>
    <w:p>
      <w:pPr>
        <w:numPr>
          <w:ilvl w:val="0"/>
          <w:numId w:val="75"/>
        </w:numPr>
        <w:spacing w:after="240" w:line="330" w:lineRule="atLeast"/>
        <w:ind w:left="720" w:right="0" w:hanging="360"/>
        <w:jc w:val="left"/>
        <w:rPr>
          <w:color w:val="646464"/>
          <w:sz w:val="24"/>
          <w:szCs w:val="24"/>
        </w:rPr>
      </w:pPr>
      <w:r>
        <w:rPr>
          <w:color w:val="646464"/>
          <w:sz w:val="24"/>
          <w:szCs w:val="24"/>
        </w:rPr>
        <w:t>Obligation de suivi et nécessité de faire vivre la clause bénéficiaire dans le temps : adaptation à la situation du client, évolution la clause avec la jurisprudence.</w:t>
      </w:r>
    </w:p>
    <w:p>
      <w:pPr>
        <w:pStyle w:val="Heading3"/>
        <w:pageBreakBefore w:val="0"/>
        <w:spacing w:before="0" w:after="240" w:line="330" w:lineRule="atLeast"/>
        <w:ind w:left="0" w:right="0"/>
        <w:rPr>
          <w:b/>
          <w:bCs/>
          <w:color w:val="202020"/>
          <w:sz w:val="28"/>
          <w:szCs w:val="24"/>
        </w:rPr>
      </w:pPr>
      <w:r>
        <w:rPr>
          <w:b/>
          <w:bCs/>
          <w:color w:val="202020"/>
          <w:sz w:val="24"/>
          <w:szCs w:val="24"/>
        </w:rPr>
        <w:t>9.3.</w:t>
      </w:r>
      <w:r>
        <w:rPr>
          <w:b/>
          <w:bCs/>
          <w:color w:val="202020"/>
          <w:sz w:val="24"/>
          <w:szCs w:val="24"/>
        </w:rPr>
        <w:t xml:space="preserve"> Éviter les risques de requalification</w:t>
      </w:r>
    </w:p>
    <w:p>
      <w:pPr>
        <w:pStyle w:val="linotnth-last-child1"/>
        <w:numPr>
          <w:ilvl w:val="0"/>
          <w:numId w:val="76"/>
        </w:numPr>
        <w:spacing w:before="240" w:after="240" w:line="330" w:lineRule="atLeast"/>
        <w:ind w:left="720" w:right="0" w:hanging="360"/>
        <w:jc w:val="left"/>
        <w:rPr>
          <w:color w:val="646464"/>
          <w:sz w:val="24"/>
          <w:szCs w:val="24"/>
        </w:rPr>
      </w:pPr>
      <w:r>
        <w:rPr>
          <w:color w:val="646464"/>
          <w:sz w:val="24"/>
          <w:szCs w:val="24"/>
        </w:rPr>
        <w:t>Attention au montant des primes versées en tenant compte des objectifs du souscripteur et la composition de son patrimoine</w:t>
      </w:r>
    </w:p>
    <w:p>
      <w:pPr>
        <w:numPr>
          <w:ilvl w:val="0"/>
          <w:numId w:val="76"/>
        </w:numPr>
        <w:spacing w:after="240" w:line="330" w:lineRule="atLeast"/>
        <w:ind w:left="720" w:right="0" w:hanging="360"/>
        <w:jc w:val="left"/>
        <w:rPr>
          <w:color w:val="646464"/>
          <w:sz w:val="24"/>
          <w:szCs w:val="24"/>
        </w:rPr>
      </w:pPr>
      <w:r>
        <w:rPr>
          <w:color w:val="646464"/>
          <w:sz w:val="24"/>
          <w:szCs w:val="24"/>
        </w:rPr>
        <w:t>Attention à l’âge du souscripteur et aux risques de requalification</w:t>
      </w:r>
    </w:p>
    <w:p>
      <w:pPr>
        <w:pStyle w:val="Heading3"/>
        <w:pageBreakBefore w:val="0"/>
        <w:spacing w:before="0" w:after="240" w:line="330" w:lineRule="atLeast"/>
        <w:ind w:left="0" w:right="0"/>
        <w:rPr>
          <w:b/>
          <w:bCs/>
          <w:color w:val="202020"/>
          <w:sz w:val="28"/>
          <w:szCs w:val="24"/>
        </w:rPr>
      </w:pPr>
      <w:r>
        <w:rPr>
          <w:b/>
          <w:bCs/>
          <w:color w:val="202020"/>
          <w:sz w:val="24"/>
          <w:szCs w:val="24"/>
        </w:rPr>
        <w:t>9.4.</w:t>
      </w:r>
      <w:r>
        <w:rPr>
          <w:b/>
          <w:bCs/>
          <w:color w:val="202020"/>
          <w:sz w:val="24"/>
          <w:szCs w:val="24"/>
        </w:rPr>
        <w:t xml:space="preserve"> Sur les obligations déclaratives</w:t>
      </w:r>
    </w:p>
    <w:p>
      <w:pPr>
        <w:pStyle w:val="linotnth-last-child1"/>
        <w:numPr>
          <w:ilvl w:val="0"/>
          <w:numId w:val="77"/>
        </w:numPr>
        <w:spacing w:before="240" w:after="240" w:line="330" w:lineRule="atLeast"/>
        <w:ind w:left="720" w:right="0" w:hanging="360"/>
        <w:jc w:val="left"/>
        <w:rPr>
          <w:color w:val="646464"/>
          <w:sz w:val="24"/>
          <w:szCs w:val="24"/>
        </w:rPr>
      </w:pPr>
      <w:r>
        <w:rPr>
          <w:color w:val="646464"/>
          <w:sz w:val="24"/>
          <w:szCs w:val="24"/>
        </w:rPr>
        <w:t>Obligation de déclarer dans la déclaration de revenus annuelle les contrats d’assurance-vie souscrits à l’étranger</w:t>
      </w:r>
    </w:p>
    <w:p>
      <w:pPr>
        <w:numPr>
          <w:ilvl w:val="0"/>
          <w:numId w:val="77"/>
        </w:numPr>
        <w:spacing w:after="240" w:line="330" w:lineRule="atLeast"/>
        <w:ind w:left="720" w:right="0" w:hanging="360"/>
        <w:jc w:val="left"/>
        <w:rPr>
          <w:color w:val="646464"/>
          <w:sz w:val="24"/>
          <w:szCs w:val="24"/>
        </w:rPr>
      </w:pPr>
      <w:r>
        <w:rPr>
          <w:color w:val="646464"/>
          <w:sz w:val="24"/>
          <w:szCs w:val="24"/>
        </w:rPr>
        <w:t>Obligations déclaratives des bénéficiaires au dénouement.</w:t>
      </w:r>
    </w:p>
    <w:p>
      <w:pPr>
        <w:pStyle w:val="legal-notice"/>
        <w:spacing w:before="1920" w:line="240" w:lineRule="atLeast"/>
        <w:jc w:val="center"/>
        <w:rPr>
          <w:color w:val="9A9A9A"/>
          <w:sz w:val="18"/>
          <w:szCs w:val="18"/>
        </w:rPr>
      </w:pPr>
      <w:r>
        <w:rPr>
          <w:color w:val="9A9A9A"/>
          <w:sz w:val="18"/>
          <w:szCs w:val="18"/>
        </w:rPr>
        <w:t>Bonjour Développement – S.A.R.L. à capital variable (capital minimum de 10 000 €uros) enregistrée au RCS de Toulouse sous le n° 524 683 489 – Code APE 7010Z - TVA INTRACOMMUNAUTAIRE FR51524683489 - 14/16 place Laganne 31300 TOULOUSE – Téléphone : 05 61 52 17 01 – contact@gestiondepatrimoine.com – www.gestiondepatrimoine.com Bonjour Développement exploite le site internet www.gestiondepatrimoine.com qui est la vitrine web et marketing des cabinets PYRENEES FINANCE CONSEIL et CGP ONE qui détiennent en propre l’intégralité des habilitations nécessaires pour l’exercice de la profession de Conseil en Gestion de Patrimoine - Enregistrées respectivement à l’ORIAS sous le n° 07 002 919 et sous le n° 07 008 066 (https://www.orias.fr) en qualité de Courtier en Assurance positionné dans la catégorie « b », de Courtier en opérations de banque et en services de paiement et de Conseiller en Investissements Financiers adhérents à la Chambre Nationale des Conseillers en Gestion de Patrimoine (CNCGP), association agréée par l'AMF (Autorité des Marchés Financiers) – Activité de transaction sur immeuble et fonds de commerce carte professionnelle n° CPI 3101 2018 000 035 300 délivrée par la CCI de Toulouse pour CGP ONE et n°CPI 6501 2021 000 000 001 délivrée par la CCI de Tarbes et des Hautes-Pyrénées pour PYRENEES FINANCE CONSEIL - RCP et garantie financière n°112.786.342 (adhérent n°224545 pour CGP ONE et n°232188 pour PYRENEES FINANCE CONSEIL) auprès de la Compagnie MMA IARD Assurances Mutuelles / MMA IARD, 14 Bd Marie et Alexandre Oyon 72030 LE MANS CEDEX 9. Ne peut recevoir aucun fonds, effet ou valeur.</w:t>
      </w:r>
    </w:p>
    <w:sectPr>
      <w:headerReference w:type="default" r:id="rId13"/>
      <w:footerReference w:type="default" r:id="rId14"/>
      <w:pgSz w:w="11906" w:h="16838"/>
      <w:pgMar w:top="454" w:right="680" w:bottom="794" w:left="851" w:header="454" w:footer="454"/>
      <w:pgNumType w:start="1"/>
      <w:cols w:space="708"/>
      <w:titlePg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Style w:val="TableNormal"/>
      <w:tblW w:w="5000" w:type="pct"/>
      <w:jc w:val="center"/>
      <w:tblCellSpacing w:w="-8" w:type="dxa"/>
      <w:tblLayout w:type="fixed"/>
      <w:tblCellMar>
        <w:top w:w="15" w:type="dxa"/>
        <w:left w:w="45" w:type="dxa"/>
        <w:bottom w:w="15" w:type="dxa"/>
        <w:right w:w="45" w:type="dxa"/>
      </w:tblCellMar>
      <w:tblLook w:val="04A0"/>
    </w:tblPr>
    <w:tblGrid>
      <w:gridCol w:w="9887"/>
      <w:gridCol w:w="578"/>
    </w:tblGrid>
    <w:tr w:rsidTr="00650C20">
      <w:tblPrEx>
        <w:tblW w:w="5000" w:type="pct"/>
        <w:jc w:val="center"/>
        <w:tblCellSpacing w:w="-8" w:type="dxa"/>
        <w:tblLayout w:type="fixed"/>
        <w:tblCellMar>
          <w:top w:w="15" w:type="dxa"/>
          <w:left w:w="45" w:type="dxa"/>
          <w:bottom w:w="15" w:type="dxa"/>
          <w:right w:w="45" w:type="dxa"/>
        </w:tblCellMar>
        <w:tblLook w:val="04A0"/>
      </w:tblPrEx>
      <w:trPr>
        <w:tblCellSpacing w:w="-8" w:type="dxa"/>
        <w:jc w:val="center"/>
      </w:trPr>
      <w:tc>
        <w:tcPr>
          <w:tcW w:w="4724" w:type="pct"/>
        </w:tcPr>
        <w:p w:rsidR="00A80841" w:rsidRPr="00D46CF9" w:rsidP="00650C20">
          <w:pPr>
            <w:jc w:val="center"/>
          </w:pPr>
        </w:p>
      </w:tc>
      <w:tc>
        <w:tcPr>
          <w:tcW w:w="299" w:type="pct"/>
        </w:tcPr>
        <w:p w:rsidR="00A80841" w:rsidRPr="00D46CF9" w:rsidP="00650C20">
          <w:pPr>
            <w:jc w:val="center"/>
          </w:pPr>
          <w:r w:rsidRPr="00D46CF9">
            <w:rPr>
              <w:b/>
            </w:rPr>
            <w:fldChar w:fldCharType="begin"/>
          </w:r>
          <w:r w:rsidRPr="00D46CF9" w:rsidR="00320D97">
            <w:rPr>
              <w:b/>
            </w:rPr>
            <w:instrText xml:space="preserve">PAGE </w:instrText>
          </w:r>
          <w:r w:rsidRPr="00D46CF9">
            <w:rPr>
              <w:b/>
            </w:rPr>
            <w:fldChar w:fldCharType="separate"/>
          </w:r>
          <w:r w:rsidRPr="00D46CF9" w:rsidR="00320D97">
            <w:rPr>
              <w:b/>
            </w:rPr>
            <w:t>24</w:t>
          </w:r>
          <w:r w:rsidRPr="00D46CF9">
            <w:rPr>
              <w:b/>
            </w:rPr>
            <w:fldChar w:fldCharType="end"/>
          </w:r>
        </w:p>
      </w:tc>
    </w:tr>
  </w:tbl>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B301D">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7C"/>
    <w:multiLevelType w:val="singleLevel"/>
    <w:tmpl w:val="630082B0"/>
    <w:lvl w:ilvl="0">
      <w:start w:val="1"/>
      <w:numFmt w:val="decimal"/>
      <w:lvlText w:val="%1."/>
      <w:lvlJc w:val="left"/>
      <w:pPr>
        <w:tabs>
          <w:tab w:val="num" w:pos="1492"/>
        </w:tabs>
        <w:ind w:left="1492" w:hanging="360"/>
      </w:pPr>
    </w:lvl>
  </w:abstractNum>
  <w:abstractNum w:abstractNumId="1">
    <w:nsid w:val="FFFFFF7D"/>
    <w:multiLevelType w:val="singleLevel"/>
    <w:tmpl w:val="658ACEFE"/>
    <w:lvl w:ilvl="0">
      <w:start w:val="1"/>
      <w:numFmt w:val="decimal"/>
      <w:lvlText w:val="%1."/>
      <w:lvlJc w:val="left"/>
      <w:pPr>
        <w:tabs>
          <w:tab w:val="num" w:pos="1209"/>
        </w:tabs>
        <w:ind w:left="1209" w:hanging="360"/>
      </w:pPr>
    </w:lvl>
  </w:abstractNum>
  <w:abstractNum w:abstractNumId="2">
    <w:nsid w:val="FFFFFF7E"/>
    <w:multiLevelType w:val="singleLevel"/>
    <w:tmpl w:val="228496FA"/>
    <w:lvl w:ilvl="0">
      <w:start w:val="1"/>
      <w:numFmt w:val="decimal"/>
      <w:lvlText w:val="%1."/>
      <w:lvlJc w:val="left"/>
      <w:pPr>
        <w:tabs>
          <w:tab w:val="num" w:pos="926"/>
        </w:tabs>
        <w:ind w:left="926" w:hanging="360"/>
      </w:pPr>
    </w:lvl>
  </w:abstractNum>
  <w:abstractNum w:abstractNumId="3">
    <w:nsid w:val="FFFFFF7F"/>
    <w:multiLevelType w:val="singleLevel"/>
    <w:tmpl w:val="1884BF30"/>
    <w:lvl w:ilvl="0">
      <w:start w:val="1"/>
      <w:numFmt w:val="decimal"/>
      <w:lvlText w:val="%1."/>
      <w:lvlJc w:val="left"/>
      <w:pPr>
        <w:tabs>
          <w:tab w:val="num" w:pos="643"/>
        </w:tabs>
        <w:ind w:left="643" w:hanging="360"/>
      </w:pPr>
    </w:lvl>
  </w:abstractNum>
  <w:abstractNum w:abstractNumId="4">
    <w:nsid w:val="FFFFFF80"/>
    <w:multiLevelType w:val="singleLevel"/>
    <w:tmpl w:val="D06EA2F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61CF4C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F78431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624982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25258C6"/>
    <w:lvl w:ilvl="0">
      <w:start w:val="1"/>
      <w:numFmt w:val="decimal"/>
      <w:lvlText w:val="%1."/>
      <w:lvlJc w:val="left"/>
      <w:pPr>
        <w:tabs>
          <w:tab w:val="num" w:pos="360"/>
        </w:tabs>
        <w:ind w:left="360" w:hanging="360"/>
      </w:pPr>
    </w:lvl>
  </w:abstractNum>
  <w:abstractNum w:abstractNumId="9">
    <w:nsid w:val="FFFFFF89"/>
    <w:multiLevelType w:val="singleLevel"/>
    <w:tmpl w:val="2B523E04"/>
    <w:lvl w:ilvl="0">
      <w:start w:val="1"/>
      <w:numFmt w:val="bullet"/>
      <w:lvlText w:val=""/>
      <w:lvlJc w:val="left"/>
      <w:pPr>
        <w:tabs>
          <w:tab w:val="num" w:pos="360"/>
        </w:tabs>
        <w:ind w:left="360" w:hanging="360"/>
      </w:pPr>
      <w:rPr>
        <w:rFonts w:ascii="Symbol" w:hAnsi="Symbol" w:hint="default"/>
      </w:rPr>
    </w:lvl>
  </w:abstractNum>
  <w:abstractNum w:abstractNumId="10">
    <w:nsid w:val="00000004"/>
    <w:multiLevelType w:val="hybridMultilevel"/>
    <w:tmpl w:val="1A082E12"/>
    <w:lvl w:ilvl="0">
      <w:start w:val="1"/>
      <w:numFmt w:val="bullet"/>
      <w:pStyle w:val="Listepuce3"/>
      <w:lvlText w:val=""/>
      <w:lvlJc w:val="left"/>
      <w:pPr>
        <w:ind w:left="927" w:hanging="360"/>
      </w:pPr>
      <w:rPr>
        <w:rFonts w:ascii="Wingdings" w:hAnsi="Wingdings" w:cs="Wingdings" w:hint="default"/>
        <w:color w:val="4B575F"/>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
    <w:nsid w:val="0000001A"/>
    <w:multiLevelType w:val="singleLevel"/>
    <w:tmpl w:val="2AA099C8"/>
    <w:lvl w:ilvl="0">
      <w:start w:val="1"/>
      <w:numFmt w:val="bullet"/>
      <w:pStyle w:val="Listepuce2"/>
      <w:lvlText w:val="-"/>
      <w:lvlJc w:val="left"/>
      <w:pPr>
        <w:ind w:left="435" w:hanging="360"/>
      </w:pPr>
      <w:rPr>
        <w:rFonts w:ascii="Arial" w:hAnsi="Arial" w:hint="default"/>
        <w:noProof/>
        <w:color w:val="4B575F"/>
        <w:sz w:val="20"/>
      </w:rPr>
    </w:lvl>
  </w:abstractNum>
  <w:abstractNum w:abstractNumId="12">
    <w:nsid w:val="07A6EE8B"/>
    <w:multiLevelType w:val="singleLevel"/>
    <w:tmpl w:val="D3F4C88C"/>
    <w:lvl w:ilvl="0">
      <w:start w:val="0"/>
      <w:numFmt w:val="bullet"/>
      <w:lvlText w:val="§"/>
      <w:lvlJc w:val="left"/>
      <w:pPr>
        <w:tabs>
          <w:tab w:val="num" w:pos="840"/>
        </w:tabs>
        <w:ind w:left="840" w:hanging="285"/>
      </w:pPr>
      <w:rPr>
        <w:rFonts w:ascii="Wingdings" w:hAnsi="Wingdings" w:cs="Wingdings"/>
        <w:sz w:val="20"/>
        <w:szCs w:val="20"/>
      </w:rPr>
    </w:lvl>
  </w:abstractNum>
  <w:abstractNum w:abstractNumId="13">
    <w:nsid w:val="24C37607"/>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26263294"/>
    <w:multiLevelType w:val="hybridMultilevel"/>
    <w:tmpl w:val="0418487C"/>
    <w:lvl w:ilvl="0">
      <w:start w:val="1"/>
      <w:numFmt w:val="bullet"/>
      <w:lvlText w:val="i"/>
      <w:lvlJc w:val="left"/>
      <w:pPr>
        <w:ind w:left="644" w:hanging="360"/>
      </w:pPr>
      <w:rPr>
        <w:rFonts w:ascii="Webdings" w:hAnsi="Webdings" w:cs="Wingdings" w:hint="default"/>
        <w:color w:val="5B9BD5" w:themeColor="accent1"/>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nsid w:val="2D734BCD"/>
    <w:multiLevelType w:val="hybridMultilevel"/>
    <w:tmpl w:val="5228430C"/>
    <w:lvl w:ilvl="0">
      <w:start w:val="1"/>
      <w:numFmt w:val="bullet"/>
      <w:lvlText w:val="·"/>
      <w:lvlJc w:val="left"/>
      <w:pPr>
        <w:tabs>
          <w:tab w:val="num" w:pos="284"/>
        </w:tabs>
        <w:ind w:left="284" w:hanging="284"/>
      </w:pPr>
      <w:rPr>
        <w:rFonts w:ascii="Symbol" w:hAnsi="Symbol" w:cs="Wingdings" w:hint="default"/>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nsid w:val="302B16B9"/>
    <w:multiLevelType w:val="multilevel"/>
    <w:tmpl w:val="5D1C4DFA"/>
    <w:lvl w:ilvl="0">
      <w:start w:val="1"/>
      <w:numFmt w:val="bullet"/>
      <w:lvlText w:val="·"/>
      <w:lvlJc w:val="left"/>
      <w:pPr>
        <w:tabs>
          <w:tab w:val="num" w:pos="269"/>
        </w:tabs>
        <w:ind w:left="-299" w:firstLine="299"/>
      </w:pPr>
      <w:rPr>
        <w:rFonts w:ascii="Symbol" w:hAnsi="Symbol" w:cs="Wingdings"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34B1309B"/>
    <w:multiLevelType w:val="singleLevel"/>
    <w:tmpl w:val="5C9EA41E"/>
    <w:lvl w:ilvl="0">
      <w:start w:val="1"/>
      <w:numFmt w:val="bullet"/>
      <w:lvlText w:val="i"/>
      <w:lvlJc w:val="left"/>
      <w:pPr>
        <w:tabs>
          <w:tab w:val="num" w:pos="555"/>
        </w:tabs>
        <w:ind w:hanging="285"/>
      </w:pPr>
      <w:rPr>
        <w:rFonts w:ascii="Webdings" w:hAnsi="Webdings"/>
        <w:color w:val="C84040"/>
        <w:sz w:val="20"/>
      </w:rPr>
    </w:lvl>
  </w:abstractNum>
  <w:abstractNum w:abstractNumId="18">
    <w:nsid w:val="38D45865"/>
    <w:multiLevelType w:val="multilevel"/>
    <w:tmpl w:val="8C120BA8"/>
    <w:lvl w:ilvl="0">
      <w:start w:val="1"/>
      <w:numFmt w:val="bullet"/>
      <w:lvlText w:val="-"/>
      <w:lvlJc w:val="left"/>
      <w:pPr>
        <w:tabs>
          <w:tab w:val="num" w:pos="1122"/>
        </w:tabs>
        <w:ind w:left="555" w:hanging="284"/>
      </w:pPr>
      <w:rPr>
        <w:rFonts w:ascii="Symbol" w:hAnsi="Symbol" w:cs="Wingdings"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3B363A21"/>
    <w:multiLevelType w:val="hybridMultilevel"/>
    <w:tmpl w:val="4F4434A4"/>
    <w:lvl w:ilvl="0">
      <w:start w:val="1"/>
      <w:numFmt w:val="bullet"/>
      <w:lvlText w:val="-"/>
      <w:lvlJc w:val="left"/>
      <w:pPr>
        <w:tabs>
          <w:tab w:val="num" w:pos="567"/>
        </w:tabs>
        <w:ind w:left="567" w:hanging="296"/>
      </w:pPr>
      <w:rPr>
        <w:rFonts w:ascii="Symbol" w:hAnsi="Symbol" w:cs="Wingdings" w:hint="default"/>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0">
    <w:nsid w:val="46A6F06B"/>
    <w:multiLevelType w:val="singleLevel"/>
    <w:tmpl w:val="5EC9667B"/>
    <w:lvl w:ilvl="0">
      <w:start w:val="1"/>
      <w:numFmt w:val="bullet"/>
      <w:lvlText w:val="·"/>
      <w:lvlJc w:val="left"/>
      <w:pPr>
        <w:tabs>
          <w:tab w:val="num" w:pos="270"/>
        </w:tabs>
        <w:ind w:hanging="285"/>
      </w:pPr>
      <w:rPr>
        <w:rFonts w:ascii="Symbol" w:hAnsi="Symbol"/>
        <w:noProof/>
        <w:sz w:val="20"/>
      </w:rPr>
    </w:lvl>
  </w:abstractNum>
  <w:abstractNum w:abstractNumId="21">
    <w:nsid w:val="4C43CD31"/>
    <w:multiLevelType w:val="singleLevel"/>
    <w:tmpl w:val="45622109"/>
    <w:lvl w:ilvl="0">
      <w:start w:val="1"/>
      <w:numFmt w:val="bullet"/>
      <w:lvlText w:val="§"/>
      <w:lvlJc w:val="left"/>
      <w:pPr>
        <w:tabs>
          <w:tab w:val="num" w:pos="840"/>
        </w:tabs>
        <w:ind w:hanging="285"/>
      </w:pPr>
      <w:rPr>
        <w:rFonts w:ascii="Wingdings" w:hAnsi="Wingdings"/>
        <w:noProof/>
        <w:sz w:val="20"/>
      </w:rPr>
    </w:lvl>
  </w:abstractNum>
  <w:abstractNum w:abstractNumId="22">
    <w:nsid w:val="5EAE291D"/>
    <w:multiLevelType w:val="singleLevel"/>
    <w:tmpl w:val="D41CDB52"/>
    <w:lvl w:ilvl="0">
      <w:start w:val="0"/>
      <w:numFmt w:val="bullet"/>
      <w:lvlText w:val="i"/>
      <w:lvlJc w:val="left"/>
      <w:pPr>
        <w:tabs>
          <w:tab w:val="num" w:pos="555"/>
        </w:tabs>
        <w:ind w:left="555" w:hanging="285"/>
      </w:pPr>
      <w:rPr>
        <w:rFonts w:ascii="Webdings" w:hAnsi="Webdings" w:cs="Webdings"/>
        <w:color w:val="C84040"/>
        <w:sz w:val="20"/>
        <w:szCs w:val="20"/>
      </w:rPr>
    </w:lvl>
  </w:abstractNum>
  <w:abstractNum w:abstractNumId="23">
    <w:nsid w:val="5FEC2877"/>
    <w:multiLevelType w:val="hybridMultilevel"/>
    <w:tmpl w:val="74A8DB74"/>
    <w:lvl w:ilvl="0">
      <w:start w:val="1"/>
      <w:numFmt w:val="bullet"/>
      <w:pStyle w:val="Bulleinfo"/>
      <w:lvlText w:val=""/>
      <w:lvlJc w:val="left"/>
      <w:pPr>
        <w:ind w:left="717" w:hanging="360"/>
      </w:pPr>
      <w:rPr>
        <w:rFonts w:ascii="Webdings" w:hAnsi="Webdings" w:cs="Wingdings" w:hint="default"/>
        <w:color w:val="39659F"/>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615D72BF"/>
    <w:multiLevelType w:val="multilevel"/>
    <w:tmpl w:val="CFD80868"/>
    <w:lvl w:ilvl="0">
      <w:start w:val="1"/>
      <w:numFmt w:val="bullet"/>
      <w:lvlText w:val=""/>
      <w:lvlJc w:val="left"/>
      <w:pPr>
        <w:tabs>
          <w:tab w:val="num" w:pos="851"/>
        </w:tabs>
        <w:ind w:left="851" w:hanging="284"/>
      </w:pPr>
      <w:rPr>
        <w:rFonts w:ascii="Wingdings" w:hAnsi="Wingdings" w:hint="default"/>
      </w:rPr>
    </w:lvl>
    <w:lvl w:ilvl="1">
      <w:start w:val="1"/>
      <w:numFmt w:val="bullet"/>
      <w:lvlText w:val="o"/>
      <w:lvlJc w:val="left"/>
      <w:pPr>
        <w:tabs>
          <w:tab w:val="num" w:pos="2280"/>
        </w:tabs>
        <w:ind w:left="2280" w:hanging="360"/>
      </w:pPr>
      <w:rPr>
        <w:rFonts w:ascii="Courier New" w:hAnsi="Courier New" w:cs="Courier New" w:hint="default"/>
      </w:rPr>
    </w:lvl>
    <w:lvl w:ilvl="2">
      <w:start w:val="1"/>
      <w:numFmt w:val="bullet"/>
      <w:lvlText w:val=""/>
      <w:lvlJc w:val="left"/>
      <w:pPr>
        <w:tabs>
          <w:tab w:val="num" w:pos="3000"/>
        </w:tabs>
        <w:ind w:left="3000" w:hanging="360"/>
      </w:pPr>
      <w:rPr>
        <w:rFonts w:ascii="Wingdings" w:hAnsi="Wingdings" w:hint="default"/>
      </w:rPr>
    </w:lvl>
    <w:lvl w:ilvl="3">
      <w:start w:val="1"/>
      <w:numFmt w:val="bullet"/>
      <w:lvlText w:val=""/>
      <w:lvlJc w:val="left"/>
      <w:pPr>
        <w:tabs>
          <w:tab w:val="num" w:pos="3720"/>
        </w:tabs>
        <w:ind w:left="3720" w:hanging="360"/>
      </w:pPr>
      <w:rPr>
        <w:rFonts w:ascii="Symbol" w:hAnsi="Symbol" w:hint="default"/>
      </w:rPr>
    </w:lvl>
    <w:lvl w:ilvl="4">
      <w:start w:val="1"/>
      <w:numFmt w:val="bullet"/>
      <w:lvlText w:val="o"/>
      <w:lvlJc w:val="left"/>
      <w:pPr>
        <w:tabs>
          <w:tab w:val="num" w:pos="4440"/>
        </w:tabs>
        <w:ind w:left="4440" w:hanging="360"/>
      </w:pPr>
      <w:rPr>
        <w:rFonts w:ascii="Courier New" w:hAnsi="Courier New" w:cs="Courier New" w:hint="default"/>
      </w:rPr>
    </w:lvl>
    <w:lvl w:ilvl="5">
      <w:start w:val="1"/>
      <w:numFmt w:val="bullet"/>
      <w:lvlText w:val=""/>
      <w:lvlJc w:val="left"/>
      <w:pPr>
        <w:tabs>
          <w:tab w:val="num" w:pos="5160"/>
        </w:tabs>
        <w:ind w:left="5160" w:hanging="360"/>
      </w:pPr>
      <w:rPr>
        <w:rFonts w:ascii="Wingdings" w:hAnsi="Wingdings" w:hint="default"/>
      </w:rPr>
    </w:lvl>
    <w:lvl w:ilvl="6">
      <w:start w:val="1"/>
      <w:numFmt w:val="bullet"/>
      <w:lvlText w:val=""/>
      <w:lvlJc w:val="left"/>
      <w:pPr>
        <w:tabs>
          <w:tab w:val="num" w:pos="5880"/>
        </w:tabs>
        <w:ind w:left="5880" w:hanging="360"/>
      </w:pPr>
      <w:rPr>
        <w:rFonts w:ascii="Symbol" w:hAnsi="Symbol" w:hint="default"/>
      </w:rPr>
    </w:lvl>
    <w:lvl w:ilvl="7">
      <w:start w:val="1"/>
      <w:numFmt w:val="bullet"/>
      <w:lvlText w:val="o"/>
      <w:lvlJc w:val="left"/>
      <w:pPr>
        <w:tabs>
          <w:tab w:val="num" w:pos="6600"/>
        </w:tabs>
        <w:ind w:left="6600" w:hanging="360"/>
      </w:pPr>
      <w:rPr>
        <w:rFonts w:ascii="Courier New" w:hAnsi="Courier New" w:cs="Courier New" w:hint="default"/>
      </w:rPr>
    </w:lvl>
    <w:lvl w:ilvl="8">
      <w:start w:val="1"/>
      <w:numFmt w:val="bullet"/>
      <w:lvlText w:val=""/>
      <w:lvlJc w:val="left"/>
      <w:pPr>
        <w:tabs>
          <w:tab w:val="num" w:pos="7320"/>
        </w:tabs>
        <w:ind w:left="7320" w:hanging="360"/>
      </w:pPr>
      <w:rPr>
        <w:rFonts w:ascii="Wingdings" w:hAnsi="Wingdings" w:hint="default"/>
      </w:rPr>
    </w:lvl>
  </w:abstractNum>
  <w:abstractNum w:abstractNumId="25">
    <w:nsid w:val="62249CE4"/>
    <w:multiLevelType w:val="singleLevel"/>
    <w:tmpl w:val="25F2EB60"/>
    <w:lvl w:ilvl="0">
      <w:start w:val="1"/>
      <w:numFmt w:val="bullet"/>
      <w:lvlText w:val="-"/>
      <w:lvlJc w:val="left"/>
      <w:pPr>
        <w:tabs>
          <w:tab w:val="num" w:pos="555"/>
        </w:tabs>
        <w:ind w:hanging="285"/>
      </w:pPr>
      <w:rPr>
        <w:rFonts w:ascii="Symbol" w:hAnsi="Symbol"/>
        <w:noProof/>
        <w:sz w:val="20"/>
      </w:rPr>
    </w:lvl>
  </w:abstractNum>
  <w:abstractNum w:abstractNumId="26">
    <w:nsid w:val="72404382"/>
    <w:multiLevelType w:val="hybridMultilevel"/>
    <w:tmpl w:val="0602BE92"/>
    <w:lvl w:ilvl="0">
      <w:start w:val="1"/>
      <w:numFmt w:val="bullet"/>
      <w:pStyle w:val="Listepuce"/>
      <w:lvlText w:val=""/>
      <w:lvlJc w:val="left"/>
      <w:pPr>
        <w:ind w:left="360" w:hanging="360"/>
      </w:pPr>
      <w:rPr>
        <w:rFonts w:ascii="Symbol" w:hAnsi="Symbol" w:hint="default"/>
        <w:color w:val="39659F"/>
        <w:sz w:val="26"/>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72404383"/>
    <w:multiLevelType w:val="hybridMultilevel"/>
    <w:tmpl w:val="7240438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8">
    <w:nsid w:val="72404384"/>
    <w:multiLevelType w:val="hybridMultilevel"/>
    <w:tmpl w:val="7240438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9">
    <w:nsid w:val="72404385"/>
    <w:multiLevelType w:val="hybridMultilevel"/>
    <w:tmpl w:val="7240438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0">
    <w:nsid w:val="72404386"/>
    <w:multiLevelType w:val="hybridMultilevel"/>
    <w:tmpl w:val="7240438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1">
    <w:nsid w:val="72404387"/>
    <w:multiLevelType w:val="hybridMultilevel"/>
    <w:tmpl w:val="7240438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2">
    <w:nsid w:val="72404388"/>
    <w:multiLevelType w:val="hybridMultilevel"/>
    <w:tmpl w:val="72404388"/>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3">
    <w:nsid w:val="72404389"/>
    <w:multiLevelType w:val="hybridMultilevel"/>
    <w:tmpl w:val="72404389"/>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4">
    <w:nsid w:val="7240438A"/>
    <w:multiLevelType w:val="hybridMultilevel"/>
    <w:tmpl w:val="7240438A"/>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5">
    <w:nsid w:val="7240438B"/>
    <w:multiLevelType w:val="hybridMultilevel"/>
    <w:tmpl w:val="7240438B"/>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6">
    <w:nsid w:val="7240438C"/>
    <w:multiLevelType w:val="hybridMultilevel"/>
    <w:tmpl w:val="7240438C"/>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7">
    <w:nsid w:val="7240438D"/>
    <w:multiLevelType w:val="hybridMultilevel"/>
    <w:tmpl w:val="7240438D"/>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8">
    <w:nsid w:val="7240438E"/>
    <w:multiLevelType w:val="hybridMultilevel"/>
    <w:tmpl w:val="7240438E"/>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9">
    <w:nsid w:val="7240438F"/>
    <w:multiLevelType w:val="hybridMultilevel"/>
    <w:tmpl w:val="7240438F"/>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0">
    <w:nsid w:val="72404390"/>
    <w:multiLevelType w:val="hybridMultilevel"/>
    <w:tmpl w:val="72404390"/>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1">
    <w:nsid w:val="72404391"/>
    <w:multiLevelType w:val="hybridMultilevel"/>
    <w:tmpl w:val="7240439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2">
    <w:nsid w:val="72404392"/>
    <w:multiLevelType w:val="hybridMultilevel"/>
    <w:tmpl w:val="7240439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3">
    <w:nsid w:val="72404393"/>
    <w:multiLevelType w:val="hybridMultilevel"/>
    <w:tmpl w:val="7240439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4">
    <w:nsid w:val="72404394"/>
    <w:multiLevelType w:val="hybridMultilevel"/>
    <w:tmpl w:val="7240439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5">
    <w:nsid w:val="72404395"/>
    <w:multiLevelType w:val="hybridMultilevel"/>
    <w:tmpl w:val="7240439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6">
    <w:nsid w:val="72404396"/>
    <w:multiLevelType w:val="hybridMultilevel"/>
    <w:tmpl w:val="7240439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7">
    <w:nsid w:val="72404397"/>
    <w:multiLevelType w:val="hybridMultilevel"/>
    <w:tmpl w:val="7240439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8">
    <w:nsid w:val="72404398"/>
    <w:multiLevelType w:val="hybridMultilevel"/>
    <w:tmpl w:val="72404398"/>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9">
    <w:nsid w:val="72404399"/>
    <w:multiLevelType w:val="hybridMultilevel"/>
    <w:tmpl w:val="72404399"/>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0">
    <w:nsid w:val="7240439A"/>
    <w:multiLevelType w:val="hybridMultilevel"/>
    <w:tmpl w:val="7240439A"/>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1">
    <w:nsid w:val="7240439B"/>
    <w:multiLevelType w:val="hybridMultilevel"/>
    <w:tmpl w:val="7240439B"/>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2">
    <w:nsid w:val="7240439C"/>
    <w:multiLevelType w:val="hybridMultilevel"/>
    <w:tmpl w:val="7240439C"/>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3">
    <w:nsid w:val="7240439D"/>
    <w:multiLevelType w:val="hybridMultilevel"/>
    <w:tmpl w:val="7240439D"/>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4">
    <w:nsid w:val="7240439E"/>
    <w:multiLevelType w:val="hybridMultilevel"/>
    <w:tmpl w:val="7240439E"/>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5">
    <w:nsid w:val="7240439F"/>
    <w:multiLevelType w:val="hybridMultilevel"/>
    <w:tmpl w:val="7240439F"/>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6">
    <w:nsid w:val="724043A0"/>
    <w:multiLevelType w:val="hybridMultilevel"/>
    <w:tmpl w:val="724043A0"/>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7">
    <w:nsid w:val="724043A1"/>
    <w:multiLevelType w:val="hybridMultilevel"/>
    <w:tmpl w:val="724043A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8">
    <w:nsid w:val="724043A2"/>
    <w:multiLevelType w:val="hybridMultilevel"/>
    <w:tmpl w:val="724043A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9">
    <w:nsid w:val="724043A3"/>
    <w:multiLevelType w:val="hybridMultilevel"/>
    <w:tmpl w:val="724043A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0">
    <w:nsid w:val="724043A4"/>
    <w:multiLevelType w:val="hybridMultilevel"/>
    <w:tmpl w:val="724043A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1">
    <w:nsid w:val="724043A5"/>
    <w:multiLevelType w:val="hybridMultilevel"/>
    <w:tmpl w:val="724043A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2">
    <w:nsid w:val="724043A6"/>
    <w:multiLevelType w:val="hybridMultilevel"/>
    <w:tmpl w:val="724043A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3">
    <w:nsid w:val="724043A7"/>
    <w:multiLevelType w:val="hybridMultilevel"/>
    <w:tmpl w:val="724043A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4">
    <w:nsid w:val="724043A8"/>
    <w:multiLevelType w:val="hybridMultilevel"/>
    <w:tmpl w:val="724043A8"/>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5">
    <w:nsid w:val="724043A9"/>
    <w:multiLevelType w:val="hybridMultilevel"/>
    <w:tmpl w:val="724043A9"/>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6">
    <w:nsid w:val="724043AA"/>
    <w:multiLevelType w:val="hybridMultilevel"/>
    <w:tmpl w:val="724043AA"/>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7">
    <w:nsid w:val="724043AB"/>
    <w:multiLevelType w:val="hybridMultilevel"/>
    <w:tmpl w:val="724043AB"/>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8">
    <w:nsid w:val="724043AC"/>
    <w:multiLevelType w:val="hybridMultilevel"/>
    <w:tmpl w:val="724043AC"/>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9">
    <w:nsid w:val="724043AD"/>
    <w:multiLevelType w:val="hybridMultilevel"/>
    <w:tmpl w:val="724043AD"/>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0">
    <w:nsid w:val="724043AE"/>
    <w:multiLevelType w:val="hybridMultilevel"/>
    <w:tmpl w:val="724043AE"/>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1">
    <w:nsid w:val="724043AF"/>
    <w:multiLevelType w:val="hybridMultilevel"/>
    <w:tmpl w:val="724043AF"/>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2">
    <w:nsid w:val="724043B0"/>
    <w:multiLevelType w:val="hybridMultilevel"/>
    <w:tmpl w:val="724043B0"/>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3">
    <w:nsid w:val="724043B1"/>
    <w:multiLevelType w:val="hybridMultilevel"/>
    <w:tmpl w:val="724043B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4">
    <w:nsid w:val="724043B2"/>
    <w:multiLevelType w:val="hybridMultilevel"/>
    <w:tmpl w:val="724043B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5">
    <w:nsid w:val="724043B3"/>
    <w:multiLevelType w:val="hybridMultilevel"/>
    <w:tmpl w:val="724043B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25"/>
  </w:num>
  <w:num w:numId="2">
    <w:abstractNumId w:val="20"/>
  </w:num>
  <w:num w:numId="3">
    <w:abstractNumId w:val="17"/>
  </w:num>
  <w:num w:numId="4">
    <w:abstractNumId w:val="21"/>
  </w:num>
  <w:num w:numId="5">
    <w:abstractNumId w:val="1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5"/>
  </w:num>
  <w:num w:numId="17">
    <w:abstractNumId w:val="19"/>
  </w:num>
  <w:num w:numId="18">
    <w:abstractNumId w:val="18"/>
  </w:num>
  <w:num w:numId="19">
    <w:abstractNumId w:val="24"/>
  </w:num>
  <w:num w:numId="20">
    <w:abstractNumId w:val="16"/>
  </w:num>
  <w:num w:numId="21">
    <w:abstractNumId w:val="22"/>
  </w:num>
  <w:num w:numId="22">
    <w:abstractNumId w:val="12"/>
  </w:num>
  <w:num w:numId="23">
    <w:abstractNumId w:val="13"/>
  </w:num>
  <w:num w:numId="24">
    <w:abstractNumId w:val="23"/>
  </w:num>
  <w:num w:numId="25">
    <w:abstractNumId w:val="23"/>
  </w:num>
  <w:num w:numId="26">
    <w:abstractNumId w:val="26"/>
  </w:num>
  <w:num w:numId="27">
    <w:abstractNumId w:val="11"/>
  </w:num>
  <w:num w:numId="28">
    <w:abstractNumId w:val="10"/>
  </w:num>
  <w:num w:numId="29">
    <w:abstractNumId w:val="27"/>
  </w:num>
  <w:num w:numId="30">
    <w:abstractNumId w:val="28"/>
  </w:num>
  <w:num w:numId="31">
    <w:abstractNumId w:val="29"/>
  </w:num>
  <w:num w:numId="32">
    <w:abstractNumId w:val="30"/>
  </w:num>
  <w:num w:numId="33">
    <w:abstractNumId w:val="31"/>
  </w:num>
  <w:num w:numId="34">
    <w:abstractNumId w:val="32"/>
  </w:num>
  <w:num w:numId="35">
    <w:abstractNumId w:val="33"/>
  </w:num>
  <w:num w:numId="36">
    <w:abstractNumId w:val="34"/>
  </w:num>
  <w:num w:numId="37">
    <w:abstractNumId w:val="35"/>
  </w:num>
  <w:num w:numId="38">
    <w:abstractNumId w:val="36"/>
  </w:num>
  <w:num w:numId="39">
    <w:abstractNumId w:val="37"/>
  </w:num>
  <w:num w:numId="40">
    <w:abstractNumId w:val="38"/>
  </w:num>
  <w:num w:numId="41">
    <w:abstractNumId w:val="39"/>
  </w:num>
  <w:num w:numId="42">
    <w:abstractNumId w:val="40"/>
  </w:num>
  <w:num w:numId="43">
    <w:abstractNumId w:val="41"/>
  </w:num>
  <w:num w:numId="44">
    <w:abstractNumId w:val="42"/>
  </w:num>
  <w:num w:numId="45">
    <w:abstractNumId w:val="43"/>
  </w:num>
  <w:num w:numId="46">
    <w:abstractNumId w:val="44"/>
  </w:num>
  <w:num w:numId="47">
    <w:abstractNumId w:val="45"/>
  </w:num>
  <w:num w:numId="48">
    <w:abstractNumId w:val="46"/>
  </w:num>
  <w:num w:numId="49">
    <w:abstractNumId w:val="47"/>
  </w:num>
  <w:num w:numId="50">
    <w:abstractNumId w:val="48"/>
  </w:num>
  <w:num w:numId="51">
    <w:abstractNumId w:val="49"/>
  </w:num>
  <w:num w:numId="52">
    <w:abstractNumId w:val="50"/>
  </w:num>
  <w:num w:numId="53">
    <w:abstractNumId w:val="51"/>
  </w:num>
  <w:num w:numId="54">
    <w:abstractNumId w:val="52"/>
  </w:num>
  <w:num w:numId="55">
    <w:abstractNumId w:val="53"/>
  </w:num>
  <w:num w:numId="56">
    <w:abstractNumId w:val="54"/>
  </w:num>
  <w:num w:numId="57">
    <w:abstractNumId w:val="55"/>
  </w:num>
  <w:num w:numId="58">
    <w:abstractNumId w:val="56"/>
  </w:num>
  <w:num w:numId="59">
    <w:abstractNumId w:val="57"/>
  </w:num>
  <w:num w:numId="60">
    <w:abstractNumId w:val="58"/>
  </w:num>
  <w:num w:numId="61">
    <w:abstractNumId w:val="59"/>
  </w:num>
  <w:num w:numId="62">
    <w:abstractNumId w:val="60"/>
  </w:num>
  <w:num w:numId="63">
    <w:abstractNumId w:val="61"/>
  </w:num>
  <w:num w:numId="64">
    <w:abstractNumId w:val="62"/>
  </w:num>
  <w:num w:numId="65">
    <w:abstractNumId w:val="63"/>
  </w:num>
  <w:num w:numId="66">
    <w:abstractNumId w:val="64"/>
  </w:num>
  <w:num w:numId="67">
    <w:abstractNumId w:val="65"/>
  </w:num>
  <w:num w:numId="68">
    <w:abstractNumId w:val="66"/>
  </w:num>
  <w:num w:numId="69">
    <w:abstractNumId w:val="67"/>
  </w:num>
  <w:num w:numId="70">
    <w:abstractNumId w:val="68"/>
  </w:num>
  <w:num w:numId="71">
    <w:abstractNumId w:val="69"/>
  </w:num>
  <w:num w:numId="72">
    <w:abstractNumId w:val="70"/>
  </w:num>
  <w:num w:numId="73">
    <w:abstractNumId w:val="71"/>
  </w:num>
  <w:num w:numId="74">
    <w:abstractNumId w:val="72"/>
  </w:num>
  <w:num w:numId="75">
    <w:abstractNumId w:val="73"/>
  </w:num>
  <w:num w:numId="76">
    <w:abstractNumId w:val="74"/>
  </w:num>
  <w:num w:numId="77">
    <w:abstractNumId w:val="7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stylePaneFormatFilter w:val="3001" w:allStyles="1" w:alternateStyleNames="0" w:clearFormatting="1" w:customStyles="0" w:directFormattingOnNumbering="0" w:directFormattingOnParagraphs="0" w:directFormattingOnRuns="0" w:directFormattingOnTables="0" w:headingStyles="0" w:latentStyles="0" w:numberingStyles="0" w:stylesInUse="0" w:tableStyles="0" w:top3HeadingStyles="1" w:visibleStyles="0"/>
  <w:stylePaneSortMethod w:val="name"/>
  <w:defaultTabStop w:val="720"/>
  <w:hyphenationZone w:val="425"/>
  <w:doNotShadeFormData/>
  <w:characterSpacingControl w:val="compressPunctuation"/>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901"/>
    <w:rsid w:val="000139BB"/>
    <w:rsid w:val="000169B4"/>
    <w:rsid w:val="00021B1D"/>
    <w:rsid w:val="0002488E"/>
    <w:rsid w:val="00030EDF"/>
    <w:rsid w:val="00046E08"/>
    <w:rsid w:val="000603F8"/>
    <w:rsid w:val="00092AEA"/>
    <w:rsid w:val="0009665C"/>
    <w:rsid w:val="000D575D"/>
    <w:rsid w:val="0013271A"/>
    <w:rsid w:val="00174B96"/>
    <w:rsid w:val="00180675"/>
    <w:rsid w:val="001A5821"/>
    <w:rsid w:val="001B0796"/>
    <w:rsid w:val="001B4BE8"/>
    <w:rsid w:val="001D3BC2"/>
    <w:rsid w:val="001F27E9"/>
    <w:rsid w:val="00204901"/>
    <w:rsid w:val="0020506C"/>
    <w:rsid w:val="00212F71"/>
    <w:rsid w:val="002156F2"/>
    <w:rsid w:val="00220EE7"/>
    <w:rsid w:val="00221880"/>
    <w:rsid w:val="00244652"/>
    <w:rsid w:val="0024758D"/>
    <w:rsid w:val="00251547"/>
    <w:rsid w:val="00274886"/>
    <w:rsid w:val="002762A5"/>
    <w:rsid w:val="002B3CDE"/>
    <w:rsid w:val="002B3FBD"/>
    <w:rsid w:val="002C1627"/>
    <w:rsid w:val="002D18D3"/>
    <w:rsid w:val="002D24EA"/>
    <w:rsid w:val="002D296B"/>
    <w:rsid w:val="002D2A2A"/>
    <w:rsid w:val="002E0D29"/>
    <w:rsid w:val="00320D97"/>
    <w:rsid w:val="003235C7"/>
    <w:rsid w:val="00330A1F"/>
    <w:rsid w:val="003656BA"/>
    <w:rsid w:val="00373012"/>
    <w:rsid w:val="003849EF"/>
    <w:rsid w:val="003B439B"/>
    <w:rsid w:val="003B49BA"/>
    <w:rsid w:val="003C20A4"/>
    <w:rsid w:val="003E02F8"/>
    <w:rsid w:val="003E38B5"/>
    <w:rsid w:val="003F08EB"/>
    <w:rsid w:val="004114DC"/>
    <w:rsid w:val="0042227E"/>
    <w:rsid w:val="0043194F"/>
    <w:rsid w:val="00437242"/>
    <w:rsid w:val="00442EA8"/>
    <w:rsid w:val="00455499"/>
    <w:rsid w:val="004649AC"/>
    <w:rsid w:val="004662EF"/>
    <w:rsid w:val="004663B5"/>
    <w:rsid w:val="004767DB"/>
    <w:rsid w:val="00491077"/>
    <w:rsid w:val="004A1928"/>
    <w:rsid w:val="004D4149"/>
    <w:rsid w:val="004D518C"/>
    <w:rsid w:val="004E4109"/>
    <w:rsid w:val="004F1898"/>
    <w:rsid w:val="004F74DA"/>
    <w:rsid w:val="00512E6D"/>
    <w:rsid w:val="00523FEB"/>
    <w:rsid w:val="0053205D"/>
    <w:rsid w:val="0053472E"/>
    <w:rsid w:val="00546B1B"/>
    <w:rsid w:val="0055180E"/>
    <w:rsid w:val="00554E4B"/>
    <w:rsid w:val="00565E3B"/>
    <w:rsid w:val="005868D0"/>
    <w:rsid w:val="00591A78"/>
    <w:rsid w:val="00593833"/>
    <w:rsid w:val="005A6ADE"/>
    <w:rsid w:val="005C4D8F"/>
    <w:rsid w:val="005E4F0A"/>
    <w:rsid w:val="005F6BB1"/>
    <w:rsid w:val="0060117A"/>
    <w:rsid w:val="00614A4A"/>
    <w:rsid w:val="00633941"/>
    <w:rsid w:val="00650C20"/>
    <w:rsid w:val="00652AD1"/>
    <w:rsid w:val="00652F5C"/>
    <w:rsid w:val="0066291B"/>
    <w:rsid w:val="0068574B"/>
    <w:rsid w:val="00691706"/>
    <w:rsid w:val="006A38E2"/>
    <w:rsid w:val="006E1B6F"/>
    <w:rsid w:val="006F1D65"/>
    <w:rsid w:val="007070B6"/>
    <w:rsid w:val="00717372"/>
    <w:rsid w:val="007234AA"/>
    <w:rsid w:val="00734164"/>
    <w:rsid w:val="00745C53"/>
    <w:rsid w:val="0075142C"/>
    <w:rsid w:val="00751C79"/>
    <w:rsid w:val="00753F6D"/>
    <w:rsid w:val="007752BC"/>
    <w:rsid w:val="00780EC2"/>
    <w:rsid w:val="00783662"/>
    <w:rsid w:val="00787BFC"/>
    <w:rsid w:val="007940CD"/>
    <w:rsid w:val="0079546B"/>
    <w:rsid w:val="00796A57"/>
    <w:rsid w:val="007A770C"/>
    <w:rsid w:val="007B4511"/>
    <w:rsid w:val="007B52DF"/>
    <w:rsid w:val="007C72EB"/>
    <w:rsid w:val="007D299A"/>
    <w:rsid w:val="007D6934"/>
    <w:rsid w:val="007F3411"/>
    <w:rsid w:val="0080257B"/>
    <w:rsid w:val="00823211"/>
    <w:rsid w:val="00825D56"/>
    <w:rsid w:val="0085094D"/>
    <w:rsid w:val="0085502C"/>
    <w:rsid w:val="008635AA"/>
    <w:rsid w:val="008848FC"/>
    <w:rsid w:val="008B1AB8"/>
    <w:rsid w:val="008B6750"/>
    <w:rsid w:val="008C6368"/>
    <w:rsid w:val="008D1ACF"/>
    <w:rsid w:val="00907DD4"/>
    <w:rsid w:val="00925C1D"/>
    <w:rsid w:val="0093022A"/>
    <w:rsid w:val="00931DB5"/>
    <w:rsid w:val="009350EE"/>
    <w:rsid w:val="00952EC1"/>
    <w:rsid w:val="00960279"/>
    <w:rsid w:val="00984DA7"/>
    <w:rsid w:val="00985BB2"/>
    <w:rsid w:val="00990866"/>
    <w:rsid w:val="009C1E14"/>
    <w:rsid w:val="009D5469"/>
    <w:rsid w:val="00A03ADD"/>
    <w:rsid w:val="00A125ED"/>
    <w:rsid w:val="00A36561"/>
    <w:rsid w:val="00A45601"/>
    <w:rsid w:val="00A57662"/>
    <w:rsid w:val="00A74E46"/>
    <w:rsid w:val="00A7702E"/>
    <w:rsid w:val="00A80841"/>
    <w:rsid w:val="00A86A16"/>
    <w:rsid w:val="00AA5CA0"/>
    <w:rsid w:val="00AA65D4"/>
    <w:rsid w:val="00AD4F2B"/>
    <w:rsid w:val="00AE7BE4"/>
    <w:rsid w:val="00AF7AAB"/>
    <w:rsid w:val="00B22D10"/>
    <w:rsid w:val="00B25956"/>
    <w:rsid w:val="00B31322"/>
    <w:rsid w:val="00B33FC3"/>
    <w:rsid w:val="00B35B4D"/>
    <w:rsid w:val="00B36C62"/>
    <w:rsid w:val="00B602B7"/>
    <w:rsid w:val="00B7261B"/>
    <w:rsid w:val="00B80B77"/>
    <w:rsid w:val="00BB6490"/>
    <w:rsid w:val="00BC51B5"/>
    <w:rsid w:val="00BC6D95"/>
    <w:rsid w:val="00BD6DE2"/>
    <w:rsid w:val="00BD6FDE"/>
    <w:rsid w:val="00BE1CFB"/>
    <w:rsid w:val="00BE5A10"/>
    <w:rsid w:val="00C10F77"/>
    <w:rsid w:val="00C16D63"/>
    <w:rsid w:val="00C44334"/>
    <w:rsid w:val="00C65EC2"/>
    <w:rsid w:val="00C768CF"/>
    <w:rsid w:val="00C8150A"/>
    <w:rsid w:val="00C94B6D"/>
    <w:rsid w:val="00CB61B3"/>
    <w:rsid w:val="00CC31AB"/>
    <w:rsid w:val="00CC3628"/>
    <w:rsid w:val="00CC6718"/>
    <w:rsid w:val="00CD6A3D"/>
    <w:rsid w:val="00CE189C"/>
    <w:rsid w:val="00D074D7"/>
    <w:rsid w:val="00D10EEE"/>
    <w:rsid w:val="00D21DE2"/>
    <w:rsid w:val="00D23348"/>
    <w:rsid w:val="00D30AFC"/>
    <w:rsid w:val="00D46CF9"/>
    <w:rsid w:val="00D632C8"/>
    <w:rsid w:val="00D639C4"/>
    <w:rsid w:val="00D72AD7"/>
    <w:rsid w:val="00D73B5E"/>
    <w:rsid w:val="00D769A0"/>
    <w:rsid w:val="00D83933"/>
    <w:rsid w:val="00DB2382"/>
    <w:rsid w:val="00DE2A07"/>
    <w:rsid w:val="00DF64AE"/>
    <w:rsid w:val="00E4236C"/>
    <w:rsid w:val="00E5215B"/>
    <w:rsid w:val="00E64F38"/>
    <w:rsid w:val="00E705F7"/>
    <w:rsid w:val="00E83749"/>
    <w:rsid w:val="00EA3A23"/>
    <w:rsid w:val="00EB5E62"/>
    <w:rsid w:val="00ED54CB"/>
    <w:rsid w:val="00F02C4A"/>
    <w:rsid w:val="00F07263"/>
    <w:rsid w:val="00F076FA"/>
    <w:rsid w:val="00F303C9"/>
    <w:rsid w:val="00F4442A"/>
    <w:rsid w:val="00F5342A"/>
    <w:rsid w:val="00F56170"/>
    <w:rsid w:val="00F81C3C"/>
    <w:rsid w:val="00F832EE"/>
    <w:rsid w:val="00F93B6B"/>
    <w:rsid w:val="00FA5A2A"/>
    <w:rsid w:val="00FB301D"/>
    <w:rsid w:val="00FB7D57"/>
    <w:rsid w:val="00FC0083"/>
    <w:rsid w:val="00FC1F08"/>
    <w:rsid w:val="00FC2E48"/>
    <w:rsid w:val="00FC6091"/>
  </w:rsids>
  <m:mathPr>
    <m:mathFont m:val="Cambria Math"/>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14:docId w14:val="5FD68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05F7"/>
    <w:rPr>
      <w:rFonts w:ascii="Franklin Gothic Book" w:hAnsi="Franklin Gothic Book" w:eastAsiaTheme="minorHAnsi" w:cstheme="minorBidi"/>
      <w:color w:val="5F5F5F"/>
      <w:sz w:val="22"/>
      <w:szCs w:val="22"/>
      <w:lang w:eastAsia="en-US"/>
    </w:rPr>
  </w:style>
  <w:style w:type="paragraph" w:styleId="Heading1">
    <w:name w:val="heading 1"/>
    <w:basedOn w:val="BodyText"/>
    <w:link w:val="Titre1Car"/>
    <w:autoRedefine/>
    <w:uiPriority w:val="9"/>
    <w:qFormat/>
    <w:rsid w:val="004A1928"/>
    <w:pPr>
      <w:keepNext/>
      <w:keepLines/>
      <w:pageBreakBefore/>
      <w:framePr w:w="10433" w:wrap="around" w:vAnchor="page" w:hAnchor="text" w:yAlign="center"/>
      <w:pBdr>
        <w:bottom w:val="single" w:sz="12" w:space="1" w:color="39659F"/>
      </w:pBdr>
      <w:spacing w:after="0"/>
      <w:outlineLvl w:val="0"/>
    </w:pPr>
    <w:rPr>
      <w:rFonts w:eastAsiaTheme="majorEastAsia" w:cstheme="majorBidi"/>
      <w:caps/>
      <w:color w:val="39659F"/>
      <w:spacing w:val="60"/>
      <w:sz w:val="60"/>
      <w:szCs w:val="32"/>
    </w:rPr>
  </w:style>
  <w:style w:type="paragraph" w:styleId="Heading2">
    <w:name w:val="heading 2"/>
    <w:basedOn w:val="BodyText"/>
    <w:next w:val="BodyText"/>
    <w:link w:val="Titre2Car"/>
    <w:uiPriority w:val="9"/>
    <w:unhideWhenUsed/>
    <w:qFormat/>
    <w:rsid w:val="004A1928"/>
    <w:pPr>
      <w:keepNext/>
      <w:keepLines/>
      <w:pageBreakBefore/>
      <w:spacing w:after="240"/>
      <w:outlineLvl w:val="1"/>
    </w:pPr>
    <w:rPr>
      <w:rFonts w:eastAsiaTheme="majorEastAsia" w:cstheme="majorBidi"/>
      <w:caps/>
      <w:color w:val="39659F"/>
      <w:sz w:val="40"/>
      <w:szCs w:val="26"/>
    </w:rPr>
  </w:style>
  <w:style w:type="paragraph" w:styleId="Heading3">
    <w:name w:val="heading 3"/>
    <w:basedOn w:val="BodyText"/>
    <w:next w:val="BodyText"/>
    <w:link w:val="Titre3Car"/>
    <w:uiPriority w:val="9"/>
    <w:unhideWhenUsed/>
    <w:qFormat/>
    <w:rsid w:val="00565E3B"/>
    <w:pPr>
      <w:keepNext/>
      <w:keepLines/>
      <w:pBdr>
        <w:bottom w:val="dotted" w:sz="4" w:space="1" w:color="39659F"/>
      </w:pBdr>
      <w:spacing w:before="480" w:after="240" w:line="320" w:lineRule="exact"/>
      <w:outlineLvl w:val="2"/>
    </w:pPr>
    <w:rPr>
      <w:rFonts w:eastAsiaTheme="majorEastAsia" w:cstheme="majorBidi"/>
      <w:color w:val="39659F"/>
      <w:sz w:val="28"/>
      <w:szCs w:val="30"/>
    </w:rPr>
  </w:style>
  <w:style w:type="paragraph" w:styleId="Heading4">
    <w:name w:val="heading 4"/>
    <w:basedOn w:val="BodyText"/>
    <w:next w:val="BodyText"/>
    <w:link w:val="Titre4Car"/>
    <w:uiPriority w:val="9"/>
    <w:unhideWhenUsed/>
    <w:qFormat/>
    <w:rsid w:val="00251547"/>
    <w:pPr>
      <w:keepNext/>
      <w:keepLines/>
      <w:spacing w:before="240" w:after="240"/>
      <w:outlineLvl w:val="3"/>
    </w:pPr>
    <w:rPr>
      <w:rFonts w:eastAsiaTheme="majorEastAsia" w:cstheme="majorBidi"/>
      <w:b/>
      <w:iCs/>
      <w:szCs w:val="28"/>
    </w:rPr>
  </w:style>
  <w:style w:type="paragraph" w:styleId="Heading5">
    <w:name w:val="heading 5"/>
    <w:basedOn w:val="BodyText"/>
    <w:next w:val="BodyText"/>
    <w:link w:val="Titre5Car"/>
    <w:uiPriority w:val="9"/>
    <w:unhideWhenUsed/>
    <w:qFormat/>
    <w:rsid w:val="00E83749"/>
    <w:pPr>
      <w:keepNext/>
      <w:keepLines/>
      <w:spacing w:before="120" w:after="120"/>
      <w:outlineLvl w:val="4"/>
    </w:pPr>
    <w:rPr>
      <w:rFonts w:eastAsiaTheme="majorEastAsia" w:cstheme="majorBidi"/>
      <w:color w:val="39659F"/>
    </w:rPr>
  </w:style>
  <w:style w:type="paragraph" w:styleId="Heading6">
    <w:name w:val="heading 6"/>
    <w:basedOn w:val="Normal"/>
    <w:next w:val="Normal"/>
    <w:uiPriority w:val="9"/>
    <w:semiHidden/>
    <w:unhideWhenUsed/>
    <w:qFormat/>
    <w:rsid w:val="00EF7B96"/>
    <w:pPr>
      <w:keepNext/>
      <w:keepLines/>
      <w:spacing w:before="200" w:after="0"/>
      <w:outlineLvl w:val="5"/>
    </w:pPr>
    <w:rPr>
      <w:rFonts w:ascii="Cambria" w:eastAsia="Times New Roman" w:hAnsi="Cambria" w:cs="Times New Roman"/>
      <w:i/>
      <w:iCs/>
      <w:color w:val="243F60" w:themeShade="7F"/>
    </w:rPr>
  </w:style>
  <w:style w:type="paragraph" w:styleId="Heading7">
    <w:name w:val="heading 7"/>
    <w:basedOn w:val="Normal"/>
    <w:next w:val="Normal"/>
    <w:uiPriority w:val="9"/>
    <w:semiHidden/>
    <w:unhideWhenUsed/>
    <w:qFormat/>
    <w:rsid w:val="00EF7B96"/>
    <w:pPr>
      <w:keepNext/>
      <w:keepLines/>
      <w:spacing w:before="200" w:after="0"/>
      <w:outlineLvl w:val="6"/>
    </w:pPr>
    <w:rPr>
      <w:rFonts w:ascii="Cambria" w:eastAsia="Times New Roman" w:hAnsi="Cambria" w:cs="Times New Roman"/>
      <w:i/>
      <w:iCs/>
      <w:color w:val="404040" w:themeTint="BF"/>
    </w:rPr>
  </w:style>
  <w:style w:type="paragraph" w:styleId="Heading8">
    <w:name w:val="heading 8"/>
    <w:basedOn w:val="Normal"/>
    <w:next w:val="Normal"/>
    <w:uiPriority w:val="9"/>
    <w:semiHidden/>
    <w:unhideWhenUsed/>
    <w:qFormat/>
    <w:rsid w:val="00EF7B96"/>
    <w:pPr>
      <w:keepNext/>
      <w:keepLines/>
      <w:spacing w:before="200" w:after="0"/>
      <w:outlineLvl w:val="7"/>
    </w:pPr>
    <w:rPr>
      <w:rFonts w:ascii="Cambria" w:eastAsia="Times New Roman" w:hAnsi="Cambria" w:cs="Times New Roman"/>
      <w:color w:val="404040" w:themeTint="BF"/>
      <w:sz w:val="20"/>
      <w:szCs w:val="20"/>
    </w:rPr>
  </w:style>
  <w:style w:type="paragraph" w:styleId="Heading9">
    <w:name w:val="heading 9"/>
    <w:basedOn w:val="Normal"/>
    <w:next w:val="Normal"/>
    <w:uiPriority w:val="9"/>
    <w:semiHidden/>
    <w:unhideWhenUsed/>
    <w:qFormat/>
    <w:rsid w:val="00EF7B96"/>
    <w:pPr>
      <w:keepNext/>
      <w:keepLines/>
      <w:spacing w:before="200" w:after="0"/>
      <w:outlineLvl w:val="8"/>
    </w:pPr>
    <w:rPr>
      <w:rFonts w:ascii="Cambria" w:eastAsia="Times New Roman" w:hAnsi="Cambria" w:cs="Times New Roman"/>
      <w:i/>
      <w:iCs/>
      <w:color w:val="404040"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CorpsdetexteCar"/>
    <w:uiPriority w:val="99"/>
    <w:rsid w:val="0024758D"/>
    <w:pPr>
      <w:pBdr>
        <w:top w:val="nil"/>
        <w:left w:val="nil"/>
        <w:bottom w:val="nil"/>
        <w:right w:val="nil"/>
        <w:between w:val="nil"/>
      </w:pBdr>
      <w:autoSpaceDE w:val="0"/>
      <w:autoSpaceDN w:val="0"/>
      <w:adjustRightInd w:val="0"/>
      <w:spacing w:after="160" w:line="259" w:lineRule="auto"/>
    </w:pPr>
    <w:rPr>
      <w:rFonts w:eastAsia="Arial" w:cs="Arial"/>
      <w:lang w:eastAsia="fr-FR"/>
    </w:rPr>
  </w:style>
  <w:style w:type="paragraph" w:customStyle="1" w:styleId="Listepuce2">
    <w:name w:val="Liste à puce 2"/>
    <w:basedOn w:val="Listepuce"/>
    <w:uiPriority w:val="1"/>
    <w:rsid w:val="00251547"/>
    <w:pPr>
      <w:numPr>
        <w:numId w:val="27"/>
      </w:numPr>
    </w:pPr>
    <w:rPr>
      <w:szCs w:val="24"/>
    </w:rPr>
  </w:style>
  <w:style w:type="paragraph" w:customStyle="1" w:styleId="Listepuce">
    <w:name w:val="Liste à puce"/>
    <w:basedOn w:val="BodyText"/>
    <w:qFormat/>
    <w:rsid w:val="00E83749"/>
    <w:pPr>
      <w:numPr>
        <w:numId w:val="26"/>
      </w:numPr>
      <w:spacing w:before="20" w:after="20"/>
      <w:contextualSpacing/>
    </w:pPr>
  </w:style>
  <w:style w:type="paragraph" w:customStyle="1" w:styleId="Titre2bis">
    <w:name w:val="Titre 2 bis"/>
    <w:basedOn w:val="Heading2"/>
    <w:next w:val="BodyText"/>
    <w:rsid w:val="00787BFC"/>
    <w:pPr>
      <w:outlineLvl w:val="9"/>
    </w:pPr>
  </w:style>
  <w:style w:type="paragraph" w:styleId="TOC1">
    <w:name w:val="toc 1"/>
    <w:basedOn w:val="BodyText"/>
    <w:uiPriority w:val="39"/>
    <w:unhideWhenUsed/>
    <w:rsid w:val="00E83749"/>
    <w:pPr>
      <w:spacing w:before="240" w:after="100"/>
    </w:pPr>
    <w:rPr>
      <w:caps/>
      <w:color w:val="39659F"/>
      <w:sz w:val="24"/>
    </w:rPr>
  </w:style>
  <w:style w:type="paragraph" w:styleId="TOC2">
    <w:name w:val="toc 2"/>
    <w:basedOn w:val="BodyText"/>
    <w:next w:val="BodyText"/>
    <w:uiPriority w:val="39"/>
    <w:unhideWhenUsed/>
    <w:rsid w:val="004649AC"/>
    <w:pPr>
      <w:spacing w:after="100"/>
    </w:pPr>
  </w:style>
  <w:style w:type="paragraph" w:customStyle="1" w:styleId="Important">
    <w:name w:val="Important"/>
    <w:basedOn w:val="BodyText"/>
    <w:next w:val="BodyText"/>
    <w:qFormat/>
    <w:rsid w:val="00565E3B"/>
    <w:pPr>
      <w:pBdr>
        <w:top w:val="none" w:sz="0" w:space="0" w:color="auto"/>
        <w:left w:val="single" w:sz="12" w:space="4" w:color="39659F"/>
        <w:bottom w:val="none" w:sz="0" w:space="0" w:color="auto"/>
        <w:right w:val="none" w:sz="0" w:space="0" w:color="auto"/>
        <w:between w:val="none" w:sz="0" w:space="0" w:color="auto"/>
      </w:pBdr>
      <w:shd w:val="clear" w:color="AFABB7" w:fill="auto"/>
      <w:spacing w:before="360" w:after="240"/>
      <w:ind w:left="284"/>
    </w:pPr>
    <w:rPr>
      <w:color w:val="39659F"/>
    </w:rPr>
  </w:style>
  <w:style w:type="paragraph" w:customStyle="1" w:styleId="Bulleinfo">
    <w:name w:val="Bulle info"/>
    <w:basedOn w:val="Listepuce"/>
    <w:rsid w:val="00E83749"/>
    <w:pPr>
      <w:numPr>
        <w:numId w:val="25"/>
      </w:num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between w:val="none" w:sz="0" w:space="0" w:color="auto"/>
      </w:pBdr>
      <w:shd w:val="clear" w:color="auto" w:fill="F2F2F2" w:themeFill="background1" w:themeFillShade="F2"/>
      <w:spacing w:before="0" w:after="160"/>
    </w:pPr>
    <w:rPr>
      <w:sz w:val="20"/>
    </w:rPr>
  </w:style>
  <w:style w:type="paragraph" w:customStyle="1" w:styleId="Legende">
    <w:name w:val="Legende"/>
    <w:basedOn w:val="Normal"/>
    <w:qFormat/>
    <w:rsid w:val="004E4109"/>
    <w:pPr>
      <w:spacing w:before="120" w:after="120"/>
      <w:contextualSpacing/>
    </w:pPr>
    <w:rPr>
      <w:i/>
      <w:sz w:val="16"/>
    </w:rPr>
  </w:style>
  <w:style w:type="paragraph" w:customStyle="1" w:styleId="Listepuce3">
    <w:name w:val="Liste à puce 3"/>
    <w:basedOn w:val="Listepuce"/>
    <w:rsid w:val="00251547"/>
    <w:pPr>
      <w:numPr>
        <w:numId w:val="28"/>
      </w:numPr>
    </w:pPr>
    <w:rPr>
      <w:szCs w:val="24"/>
    </w:rPr>
  </w:style>
  <w:style w:type="paragraph" w:styleId="ListContinue">
    <w:name w:val="List Continue"/>
    <w:basedOn w:val="BodyText"/>
    <w:rsid w:val="007C72EB"/>
    <w:pPr>
      <w:spacing w:before="20" w:after="20"/>
      <w:ind w:left="284"/>
      <w:contextualSpacing/>
    </w:pPr>
    <w:rPr>
      <w:szCs w:val="24"/>
    </w:rPr>
  </w:style>
  <w:style w:type="paragraph" w:customStyle="1" w:styleId="Cellule2defaut">
    <w:name w:val="Cellule 2 defaut"/>
    <w:basedOn w:val="Celluledefaut"/>
    <w:link w:val="Cellule2defautCar"/>
    <w:rsid w:val="00593833"/>
    <w:rPr>
      <w:sz w:val="16"/>
      <w:szCs w:val="22"/>
    </w:rPr>
  </w:style>
  <w:style w:type="paragraph" w:styleId="ListContinue2">
    <w:name w:val="List Continue 2"/>
    <w:basedOn w:val="ListContinue"/>
    <w:rsid w:val="007C72EB"/>
    <w:pPr>
      <w:ind w:left="567"/>
    </w:pPr>
  </w:style>
  <w:style w:type="paragraph" w:styleId="ListContinue3">
    <w:name w:val="List Continue 3"/>
    <w:basedOn w:val="ListContinue"/>
    <w:rsid w:val="007C72EB"/>
    <w:pPr>
      <w:ind w:left="851"/>
    </w:pPr>
  </w:style>
  <w:style w:type="paragraph" w:customStyle="1" w:styleId="Celluleentete">
    <w:name w:val="Cellule entete"/>
    <w:basedOn w:val="Celluledefaut"/>
    <w:qFormat/>
    <w:rsid w:val="00251547"/>
    <w:pPr>
      <w:spacing w:before="20"/>
    </w:pPr>
    <w:rPr>
      <w:rFonts w:eastAsiaTheme="majorEastAsia"/>
      <w:b/>
    </w:rPr>
  </w:style>
  <w:style w:type="paragraph" w:customStyle="1" w:styleId="Celluletotal">
    <w:name w:val="Cellule total"/>
    <w:basedOn w:val="Celluledefaut"/>
    <w:qFormat/>
    <w:rsid w:val="00EB5E62"/>
    <w:pPr>
      <w:spacing w:before="20"/>
    </w:pPr>
    <w:rPr>
      <w:b/>
    </w:rPr>
  </w:style>
  <w:style w:type="paragraph" w:customStyle="1" w:styleId="Celluleniveau1">
    <w:name w:val="Cellule niveau 1"/>
    <w:basedOn w:val="Celluledefaut"/>
    <w:qFormat/>
    <w:rsid w:val="00EB5E62"/>
    <w:pPr>
      <w:ind w:left="284"/>
    </w:pPr>
    <w:rPr>
      <w:rFonts w:eastAsiaTheme="majorEastAsia"/>
      <w:color w:val="777777"/>
    </w:rPr>
  </w:style>
  <w:style w:type="paragraph" w:customStyle="1" w:styleId="Celluleniveau2">
    <w:name w:val="Cellule niveau 2"/>
    <w:basedOn w:val="Celluledefaut"/>
    <w:qFormat/>
    <w:rsid w:val="002762A5"/>
    <w:pPr>
      <w:ind w:left="567" w:right="0"/>
    </w:pPr>
    <w:rPr>
      <w:color w:val="777777"/>
      <w:szCs w:val="18"/>
    </w:rPr>
  </w:style>
  <w:style w:type="paragraph" w:customStyle="1" w:styleId="Celluledefaut">
    <w:name w:val="Cellule defaut"/>
    <w:basedOn w:val="BodyText"/>
    <w:link w:val="CelluledefautCarCar"/>
    <w:qFormat/>
    <w:rsid w:val="00F02C4A"/>
    <w:pPr>
      <w:spacing w:before="60" w:after="20"/>
      <w:ind w:left="28" w:right="28"/>
    </w:pPr>
    <w:rPr>
      <w:rFonts w:eastAsia="Times New Roman"/>
      <w:sz w:val="20"/>
      <w:szCs w:val="20"/>
    </w:rPr>
  </w:style>
  <w:style w:type="table" w:styleId="TableGrid">
    <w:name w:val="Table Grid"/>
    <w:basedOn w:val="TableNormal"/>
    <w:uiPriority w:val="99"/>
    <w:rsid w:val="00F534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s-titre2">
    <w:name w:val="Sous-titre 2"/>
    <w:basedOn w:val="BodyText"/>
    <w:rsid w:val="00FC2E48"/>
    <w:pPr>
      <w:spacing w:after="480"/>
      <w:jc w:val="right"/>
    </w:pPr>
    <w:rPr>
      <w:rFonts w:eastAsia="Times New Roman"/>
      <w:sz w:val="28"/>
    </w:rPr>
  </w:style>
  <w:style w:type="paragraph" w:customStyle="1" w:styleId="Cellule2entete">
    <w:name w:val="Cellule 2 entete"/>
    <w:basedOn w:val="Cellule2defaut"/>
    <w:rsid w:val="00EB5E62"/>
    <w:rPr>
      <w:b/>
    </w:rPr>
  </w:style>
  <w:style w:type="paragraph" w:customStyle="1" w:styleId="Cellule2niveau1">
    <w:name w:val="Cellule 2 niveau 1"/>
    <w:basedOn w:val="Cellule2defaut"/>
    <w:rsid w:val="000169B4"/>
    <w:pPr>
      <w:ind w:left="284"/>
    </w:pPr>
  </w:style>
  <w:style w:type="paragraph" w:customStyle="1" w:styleId="Cellule2niveau2">
    <w:name w:val="Cellule 2 niveau 2"/>
    <w:basedOn w:val="Cellule2defaut"/>
    <w:rsid w:val="000169B4"/>
    <w:pPr>
      <w:ind w:left="567"/>
    </w:pPr>
  </w:style>
  <w:style w:type="paragraph" w:customStyle="1" w:styleId="Cellule2total">
    <w:name w:val="Cellule 2 total"/>
    <w:basedOn w:val="Cellule2defaut"/>
    <w:link w:val="Cellule2totalCar"/>
    <w:rsid w:val="00EB5E62"/>
    <w:rPr>
      <w:b/>
    </w:rPr>
  </w:style>
  <w:style w:type="character" w:customStyle="1" w:styleId="Cellule2defautCar">
    <w:name w:val="Cellule 2 defaut Car"/>
    <w:link w:val="Cellule2defaut"/>
    <w:rsid w:val="00593833"/>
    <w:rPr>
      <w:rFonts w:ascii="Century Gothic" w:hAnsi="Century Gothic"/>
      <w:sz w:val="16"/>
      <w:szCs w:val="22"/>
      <w:lang w:val="fr-FR" w:eastAsia="fr-FR" w:bidi="ar-SA"/>
    </w:rPr>
  </w:style>
  <w:style w:type="character" w:customStyle="1" w:styleId="Cellule2totalCar">
    <w:name w:val="Cellule 2 total Car"/>
    <w:link w:val="Cellule2total"/>
    <w:rsid w:val="00EB5E62"/>
    <w:rPr>
      <w:rFonts w:ascii="Source Sans Pro" w:eastAsia="Times New Roman" w:hAnsi="Source Sans Pro"/>
      <w:b/>
      <w:color w:val="5F5F5F"/>
      <w:sz w:val="16"/>
      <w:szCs w:val="22"/>
    </w:rPr>
  </w:style>
  <w:style w:type="table" w:customStyle="1" w:styleId="Tableauhvs">
    <w:name w:val="Tableau hvs"/>
    <w:basedOn w:val="TableNormal"/>
    <w:uiPriority w:val="99"/>
    <w:rsid w:val="0093022A"/>
    <w:rPr>
      <w:rFonts w:eastAsiaTheme="minorHAnsi" w:cstheme="minorBidi"/>
      <w:szCs w:val="22"/>
      <w:lang w:eastAsia="en-US"/>
    </w:rPr>
    <w:tblPr>
      <w:tblStyleRowBandSize w:val="1"/>
      <w:tblStyleColBandSize w:val="1"/>
    </w:tblPr>
    <w:tblStylePr w:type="firstRow">
      <w:rPr>
        <w:rFonts w:ascii="Arial" w:hAnsi="Arial"/>
        <w:sz w:val="20"/>
      </w:rPr>
      <w:tblPr/>
      <w:tcPr>
        <w:tcBorders>
          <w:top w:val="nil"/>
          <w:bottom w:val="single" w:sz="4" w:space="0" w:color="39659F"/>
        </w:tcBorders>
      </w:tcPr>
    </w:tblStylePr>
    <w:tblStylePr w:type="lastRow">
      <w:rPr>
        <w:rFonts w:ascii="Arial" w:hAnsi="Arial"/>
        <w:sz w:val="20"/>
      </w:rPr>
      <w:tblPr/>
      <w:tcPr>
        <w:tcBorders>
          <w:top w:val="single" w:sz="12" w:space="0" w:color="39659F"/>
          <w:left w:val="nil"/>
          <w:bottom w:val="single" w:sz="4" w:space="0" w:color="39659F"/>
          <w:right w:val="nil"/>
          <w:insideH w:val="nil"/>
          <w:insideV w:val="nil"/>
        </w:tcBorders>
      </w:tcPr>
    </w:tblStylePr>
  </w:style>
  <w:style w:type="paragraph" w:customStyle="1" w:styleId="TitreCouverture">
    <w:name w:val="TitreCouverture"/>
    <w:basedOn w:val="BodyText"/>
    <w:qFormat/>
    <w:rsid w:val="009350EE"/>
    <w:rPr>
      <w:b/>
      <w:sz w:val="96"/>
      <w:szCs w:val="120"/>
    </w:rPr>
  </w:style>
  <w:style w:type="character" w:customStyle="1" w:styleId="CorpsdetexteCar">
    <w:name w:val="Corps de texte Car"/>
    <w:link w:val="BodyText"/>
    <w:uiPriority w:val="99"/>
    <w:rsid w:val="0024758D"/>
    <w:rPr>
      <w:color w:val="5F5F5F"/>
      <w:sz w:val="22"/>
      <w:szCs w:val="22"/>
    </w:rPr>
  </w:style>
  <w:style w:type="character" w:customStyle="1" w:styleId="CelluledefautCarCar">
    <w:name w:val="Cellule defaut Car Car"/>
    <w:link w:val="Celluledefaut"/>
    <w:rsid w:val="00F02C4A"/>
    <w:rPr>
      <w:rFonts w:ascii="Source Sans Pro" w:eastAsia="Times New Roman" w:hAnsi="Source Sans Pro"/>
      <w:color w:val="5F5F5F"/>
    </w:rPr>
  </w:style>
  <w:style w:type="character" w:customStyle="1" w:styleId="Titre1Car">
    <w:name w:val="Titre 1 Car"/>
    <w:basedOn w:val="DefaultParagraphFont"/>
    <w:link w:val="Heading1"/>
    <w:uiPriority w:val="9"/>
    <w:rsid w:val="004A1928"/>
    <w:rPr>
      <w:rFonts w:ascii="Franklin Gothic Book" w:hAnsi="Franklin Gothic Book" w:eastAsiaTheme="majorEastAsia" w:cstheme="majorBidi"/>
      <w:caps/>
      <w:color w:val="39659F"/>
      <w:spacing w:val="60"/>
      <w:sz w:val="60"/>
      <w:szCs w:val="32"/>
    </w:rPr>
  </w:style>
  <w:style w:type="character" w:customStyle="1" w:styleId="Titre2Car">
    <w:name w:val="Titre 2 Car"/>
    <w:basedOn w:val="DefaultParagraphFont"/>
    <w:link w:val="Heading2"/>
    <w:uiPriority w:val="9"/>
    <w:rsid w:val="004A1928"/>
    <w:rPr>
      <w:rFonts w:ascii="Franklin Gothic Book" w:hAnsi="Franklin Gothic Book" w:eastAsiaTheme="majorEastAsia" w:cstheme="majorBidi"/>
      <w:caps/>
      <w:color w:val="39659F"/>
      <w:sz w:val="40"/>
      <w:szCs w:val="26"/>
    </w:rPr>
  </w:style>
  <w:style w:type="character" w:customStyle="1" w:styleId="Titre3Car">
    <w:name w:val="Titre 3 Car"/>
    <w:basedOn w:val="DefaultParagraphFont"/>
    <w:link w:val="Heading3"/>
    <w:uiPriority w:val="9"/>
    <w:rsid w:val="00565E3B"/>
    <w:rPr>
      <w:rFonts w:eastAsiaTheme="majorEastAsia" w:cstheme="majorBidi"/>
      <w:color w:val="39659F"/>
      <w:sz w:val="28"/>
      <w:szCs w:val="30"/>
    </w:rPr>
  </w:style>
  <w:style w:type="character" w:customStyle="1" w:styleId="Titre4Car">
    <w:name w:val="Titre 4 Car"/>
    <w:basedOn w:val="DefaultParagraphFont"/>
    <w:link w:val="Heading4"/>
    <w:uiPriority w:val="9"/>
    <w:rsid w:val="00CC3628"/>
    <w:rPr>
      <w:rFonts w:eastAsiaTheme="majorEastAsia" w:cstheme="majorBidi"/>
      <w:b/>
      <w:iCs/>
      <w:color w:val="5F5F5F"/>
      <w:sz w:val="22"/>
      <w:szCs w:val="28"/>
    </w:rPr>
  </w:style>
  <w:style w:type="character" w:customStyle="1" w:styleId="Titre5Car">
    <w:name w:val="Titre 5 Car"/>
    <w:basedOn w:val="DefaultParagraphFont"/>
    <w:link w:val="Heading5"/>
    <w:uiPriority w:val="9"/>
    <w:rsid w:val="00E83749"/>
    <w:rPr>
      <w:rFonts w:eastAsiaTheme="majorEastAsia" w:cstheme="majorBidi"/>
      <w:color w:val="39659F"/>
      <w:sz w:val="22"/>
      <w:szCs w:val="22"/>
    </w:rPr>
  </w:style>
  <w:style w:type="character" w:styleId="Strong">
    <w:name w:val="Strong"/>
    <w:basedOn w:val="DefaultParagraphFont"/>
    <w:uiPriority w:val="99"/>
    <w:qFormat/>
    <w:rsid w:val="000D575D"/>
    <w:rPr>
      <w:rFonts w:eastAsiaTheme="majorEastAsia"/>
      <w:b/>
      <w:color w:val="5F5F5F"/>
    </w:rPr>
  </w:style>
  <w:style w:type="paragraph" w:styleId="BodyTextFirstIndent">
    <w:name w:val="Body Text First Indent"/>
    <w:basedOn w:val="BodyText"/>
    <w:link w:val="Retrait1religneCar"/>
    <w:uiPriority w:val="99"/>
    <w:semiHidden/>
    <w:unhideWhenUsed/>
    <w:rsid w:val="00FC2E48"/>
    <w:pPr>
      <w:pBdr>
        <w:top w:val="none" w:sz="0" w:space="0" w:color="auto"/>
        <w:left w:val="none" w:sz="0" w:space="0" w:color="auto"/>
        <w:bottom w:val="none" w:sz="0" w:space="0" w:color="auto"/>
        <w:right w:val="none" w:sz="0" w:space="0" w:color="auto"/>
        <w:between w:val="none" w:sz="0" w:space="0" w:color="auto"/>
      </w:pBdr>
      <w:autoSpaceDE/>
      <w:autoSpaceDN/>
      <w:adjustRightInd/>
      <w:ind w:firstLine="360"/>
    </w:pPr>
    <w:rPr>
      <w:rFonts w:eastAsiaTheme="minorHAnsi" w:cstheme="minorBidi"/>
      <w:lang w:eastAsia="en-US"/>
    </w:rPr>
  </w:style>
  <w:style w:type="character" w:customStyle="1" w:styleId="Retrait1religneCar">
    <w:name w:val="Retrait 1re ligne Car"/>
    <w:basedOn w:val="CorpsdetexteCar"/>
    <w:link w:val="BodyTextFirstIndent"/>
    <w:uiPriority w:val="99"/>
    <w:semiHidden/>
    <w:rsid w:val="00FC2E48"/>
    <w:rPr>
      <w:rFonts w:eastAsiaTheme="minorHAnsi" w:cstheme="minorBidi"/>
      <w:color w:val="5F5F5F"/>
      <w:sz w:val="22"/>
      <w:szCs w:val="22"/>
      <w:lang w:eastAsia="en-US"/>
    </w:rPr>
  </w:style>
  <w:style w:type="paragraph" w:styleId="Header">
    <w:name w:val="header"/>
    <w:basedOn w:val="Normal"/>
    <w:link w:val="En-tteCar"/>
    <w:uiPriority w:val="99"/>
    <w:unhideWhenUsed/>
    <w:rsid w:val="00FB301D"/>
    <w:pPr>
      <w:tabs>
        <w:tab w:val="center" w:pos="4536"/>
        <w:tab w:val="right" w:pos="9072"/>
      </w:tabs>
    </w:pPr>
  </w:style>
  <w:style w:type="character" w:customStyle="1" w:styleId="En-tteCar">
    <w:name w:val="En-tête Car"/>
    <w:basedOn w:val="DefaultParagraphFont"/>
    <w:link w:val="Header"/>
    <w:uiPriority w:val="99"/>
    <w:rsid w:val="00FB301D"/>
    <w:rPr>
      <w:rFonts w:eastAsiaTheme="minorHAnsi" w:cstheme="minorBidi"/>
      <w:color w:val="5F5F5F"/>
      <w:sz w:val="22"/>
      <w:szCs w:val="22"/>
      <w:lang w:eastAsia="en-US"/>
    </w:rPr>
  </w:style>
  <w:style w:type="paragraph" w:styleId="Footer">
    <w:name w:val="footer"/>
    <w:basedOn w:val="Normal"/>
    <w:link w:val="PieddepageCar"/>
    <w:uiPriority w:val="99"/>
    <w:unhideWhenUsed/>
    <w:rsid w:val="00FB301D"/>
    <w:pPr>
      <w:tabs>
        <w:tab w:val="center" w:pos="4536"/>
        <w:tab w:val="right" w:pos="9072"/>
      </w:tabs>
    </w:pPr>
  </w:style>
  <w:style w:type="character" w:customStyle="1" w:styleId="PieddepageCar">
    <w:name w:val="Pied de page Car"/>
    <w:basedOn w:val="DefaultParagraphFont"/>
    <w:link w:val="Footer"/>
    <w:uiPriority w:val="99"/>
    <w:rsid w:val="00FB301D"/>
    <w:rPr>
      <w:rFonts w:eastAsiaTheme="minorHAnsi" w:cstheme="minorBidi"/>
      <w:color w:val="5F5F5F"/>
      <w:sz w:val="22"/>
      <w:szCs w:val="22"/>
      <w:lang w:eastAsia="en-US"/>
    </w:rPr>
  </w:style>
  <w:style w:type="character" w:styleId="BookTitle">
    <w:name w:val="Book Title"/>
    <w:basedOn w:val="DefaultParagraphFont"/>
    <w:uiPriority w:val="33"/>
    <w:qFormat/>
    <w:rsid w:val="00E705F7"/>
    <w:rPr>
      <w:b/>
      <w:bCs/>
      <w:i/>
      <w:iCs/>
      <w:spacing w:val="5"/>
    </w:rPr>
  </w:style>
  <w:style w:type="character" w:styleId="IntenseReference">
    <w:name w:val="Intense Reference"/>
    <w:basedOn w:val="DefaultParagraphFont"/>
    <w:uiPriority w:val="32"/>
    <w:qFormat/>
    <w:rsid w:val="00E705F7"/>
    <w:rPr>
      <w:b/>
      <w:bCs/>
      <w:smallCaps/>
      <w:color w:val="5B9BD5" w:themeColor="accent1"/>
      <w:spacing w:val="5"/>
    </w:rPr>
  </w:style>
  <w:style w:type="paragraph" w:styleId="NoSpacing">
    <w:name w:val="No Spacing"/>
    <w:uiPriority w:val="1"/>
    <w:qFormat/>
    <w:rsid w:val="00E705F7"/>
    <w:rPr>
      <w:rFonts w:ascii="Franklin Gothic Book" w:hAnsi="Franklin Gothic Book" w:eastAsiaTheme="minorHAnsi" w:cstheme="minorBidi"/>
      <w:color w:val="5F5F5F"/>
      <w:sz w:val="22"/>
      <w:szCs w:val="22"/>
      <w:lang w:eastAsia="en-US"/>
    </w:rPr>
  </w:style>
  <w:style w:type="character" w:styleId="SubtleEmphasis">
    <w:name w:val="Subtle Emphasis"/>
    <w:basedOn w:val="DefaultParagraphFont"/>
    <w:uiPriority w:val="19"/>
    <w:qFormat/>
    <w:rsid w:val="00E705F7"/>
    <w:rPr>
      <w:i/>
      <w:iCs/>
      <w:color w:val="404040" w:themeColor="text1" w:themeTint="BF"/>
    </w:rPr>
  </w:style>
  <w:style w:type="paragraph" w:styleId="Title">
    <w:name w:val="Title"/>
    <w:basedOn w:val="Normal"/>
    <w:uiPriority w:val="10"/>
    <w:qFormat/>
    <w:rsid w:val="00EF7B96"/>
    <w:pPr>
      <w:pBdr>
        <w:bottom w:val="single" w:sz="8" w:space="4" w:color="5B9BD5" w:themeColor="accent1"/>
      </w:pBdr>
      <w:spacing w:after="300" w:line="240" w:lineRule="auto"/>
      <w:contextualSpacing/>
      <w:outlineLvl w:val="9"/>
    </w:pPr>
    <w:rPr>
      <w:rFonts w:ascii="Cambria" w:eastAsia="Times New Roman" w:hAnsi="Cambria" w:cs="Times New Roman"/>
      <w:color w:val="17365D" w:themeShade="BF"/>
      <w:spacing w:val="5"/>
      <w:kern w:val="28"/>
      <w:sz w:val="52"/>
      <w:szCs w:val="52"/>
    </w:rPr>
  </w:style>
  <w:style w:type="paragraph" w:customStyle="1" w:styleId="h2title">
    <w:name w:val="h2_title"/>
    <w:basedOn w:val="Heading2"/>
    <w:pPr>
      <w:pageBreakBefore w:val="0"/>
      <w:spacing w:line="570" w:lineRule="atLeast"/>
      <w:jc w:val="center"/>
    </w:pPr>
    <w:rPr>
      <w:b/>
      <w:bCs/>
      <w:caps w:val="0"/>
      <w:color w:val="202020"/>
      <w:sz w:val="48"/>
      <w:szCs w:val="48"/>
    </w:rPr>
  </w:style>
  <w:style w:type="paragraph" w:customStyle="1" w:styleId="updated-at">
    <w:name w:val="updated-at"/>
    <w:basedOn w:val="Normal"/>
    <w:pPr>
      <w:spacing w:line="360" w:lineRule="atLeast"/>
    </w:pPr>
    <w:rPr>
      <w:sz w:val="27"/>
      <w:szCs w:val="27"/>
    </w:rPr>
  </w:style>
  <w:style w:type="paragraph" w:customStyle="1" w:styleId="description">
    <w:name w:val="description"/>
    <w:basedOn w:val="Normal"/>
    <w:pPr>
      <w:spacing w:line="360" w:lineRule="atLeast"/>
    </w:pPr>
    <w:rPr>
      <w:sz w:val="27"/>
      <w:szCs w:val="27"/>
    </w:rPr>
  </w:style>
  <w:style w:type="paragraph" w:customStyle="1" w:styleId="p">
    <w:name w:val="p"/>
    <w:basedOn w:val="Normal"/>
    <w:rPr>
      <w:color w:val="646464"/>
    </w:rPr>
  </w:style>
  <w:style w:type="paragraph" w:customStyle="1" w:styleId="linotnth-last-child1">
    <w:name w:val="li_not(:nth-last-child(1))"/>
    <w:basedOn w:val="Normal"/>
  </w:style>
  <w:style w:type="table" w:customStyle="1" w:styleId="figuretabletable">
    <w:name w:val="figure_table_table"/>
    <w:basedOn w:val="TableNormal"/>
    <w:tblPr/>
  </w:style>
  <w:style w:type="paragraph" w:customStyle="1" w:styleId="content">
    <w:name w:val="content"/>
    <w:basedOn w:val="Normal"/>
  </w:style>
  <w:style w:type="table" w:customStyle="1" w:styleId="table">
    <w:name w:val="table"/>
    <w:basedOn w:val="TableNormal"/>
    <w:tblPr/>
  </w:style>
  <w:style w:type="paragraph" w:customStyle="1" w:styleId="fd-document-box-red">
    <w:name w:val="fd-document-box-red"/>
    <w:basedOn w:val="Normal"/>
    <w:pPr>
      <w:pBdr>
        <w:top w:val="single" w:sz="6" w:space="0" w:color="D6D6D6"/>
        <w:left w:val="single" w:sz="24" w:space="0" w:color="FF6E6E"/>
        <w:bottom w:val="single" w:sz="6" w:space="0" w:color="D6D6D6"/>
        <w:right w:val="single" w:sz="6" w:space="0" w:color="D6D6D6"/>
      </w:pBdr>
      <w:shd w:val="clear" w:color="auto" w:fill="F5F5F5"/>
      <w:spacing w:line="300" w:lineRule="atLeast"/>
    </w:pPr>
    <w:rPr>
      <w:sz w:val="21"/>
      <w:szCs w:val="21"/>
      <w:bdr w:val="single" w:sz="6" w:space="0" w:color="D6D6D6"/>
      <w:shd w:val="clear" w:color="auto" w:fill="F5F5F5"/>
    </w:rPr>
  </w:style>
  <w:style w:type="paragraph" w:customStyle="1" w:styleId="fd-document-box-redfd-document-box-title">
    <w:name w:val="fd-document-box-red_fd-document-box-title"/>
    <w:basedOn w:val="Normal"/>
    <w:pPr>
      <w:pBdr>
        <w:top w:val="none" w:sz="0" w:space="12" w:color="auto"/>
        <w:left w:val="none" w:sz="0" w:space="24" w:color="auto"/>
        <w:bottom w:val="none" w:sz="0" w:space="0" w:color="auto"/>
        <w:right w:val="none" w:sz="0" w:space="24" w:color="auto"/>
      </w:pBdr>
    </w:pPr>
    <w:rPr>
      <w:color w:val="FF6E6E"/>
    </w:rPr>
  </w:style>
  <w:style w:type="paragraph" w:customStyle="1" w:styleId="fd-document-box-redfd-document-box-descriptionpnth-last-child1">
    <w:name w:val="fd-document-box-red_fd-document-box-description_p_nth-last-child(1)"/>
    <w:basedOn w:val="Normal"/>
    <w:pPr>
      <w:pBdr>
        <w:bottom w:val="none" w:sz="0" w:space="12" w:color="auto"/>
      </w:pBdr>
    </w:pPr>
  </w:style>
  <w:style w:type="paragraph" w:customStyle="1" w:styleId="fd-document-box-black">
    <w:name w:val="fd-document-box-black"/>
    <w:basedOn w:val="Normal"/>
    <w:pPr>
      <w:pBdr>
        <w:top w:val="single" w:sz="6" w:space="0" w:color="D6D6D6"/>
        <w:left w:val="single" w:sz="24" w:space="0" w:color="202020"/>
        <w:bottom w:val="single" w:sz="6" w:space="0" w:color="D6D6D6"/>
        <w:right w:val="single" w:sz="6" w:space="0" w:color="D6D6D6"/>
      </w:pBdr>
      <w:shd w:val="clear" w:color="auto" w:fill="F5F5F5"/>
      <w:spacing w:line="300" w:lineRule="atLeast"/>
    </w:pPr>
    <w:rPr>
      <w:sz w:val="21"/>
      <w:szCs w:val="21"/>
      <w:bdr w:val="single" w:sz="6" w:space="0" w:color="D6D6D6"/>
      <w:shd w:val="clear" w:color="auto" w:fill="F5F5F5"/>
    </w:rPr>
  </w:style>
  <w:style w:type="paragraph" w:customStyle="1" w:styleId="fd-document-box-blackfd-document-box-title">
    <w:name w:val="fd-document-box-black_fd-document-box-title"/>
    <w:basedOn w:val="Normal"/>
    <w:pPr>
      <w:pBdr>
        <w:top w:val="none" w:sz="0" w:space="12" w:color="auto"/>
        <w:left w:val="none" w:sz="0" w:space="24" w:color="auto"/>
        <w:bottom w:val="none" w:sz="0" w:space="0" w:color="auto"/>
        <w:right w:val="none" w:sz="0" w:space="24" w:color="auto"/>
      </w:pBdr>
    </w:pPr>
    <w:rPr>
      <w:color w:val="202020"/>
    </w:rPr>
  </w:style>
  <w:style w:type="character" w:customStyle="1" w:styleId="fd-document-box-blackfd-document-box-descriptionany">
    <w:name w:val="fd-document-box-black_fd-document-box-description &gt; any"/>
    <w:basedOn w:val="DefaultParagraphFont"/>
  </w:style>
  <w:style w:type="paragraph" w:customStyle="1" w:styleId="fd-document-box-blackfd-document-box-descriptionanyParagraph">
    <w:name w:val="fd-document-box-black_fd-document-box-description &gt; any Paragraph"/>
    <w:basedOn w:val="Normal"/>
    <w:pPr>
      <w:pBdr>
        <w:top w:val="none" w:sz="0" w:space="0" w:color="auto"/>
        <w:left w:val="none" w:sz="0" w:space="24" w:color="auto"/>
        <w:bottom w:val="none" w:sz="0" w:space="0" w:color="auto"/>
        <w:right w:val="none" w:sz="0" w:space="24" w:color="auto"/>
      </w:pBdr>
    </w:pPr>
  </w:style>
  <w:style w:type="paragraph" w:customStyle="1" w:styleId="fd-chevron-lvl1">
    <w:name w:val="fd-chevron-lvl1"/>
    <w:basedOn w:val="Normal"/>
    <w:pPr>
      <w:pBdr>
        <w:left w:val="none" w:sz="0" w:space="15" w:color="auto"/>
      </w:pBdr>
    </w:pPr>
    <w:rPr>
      <w:b w:val="0"/>
      <w:bCs w:val="0"/>
      <w:color w:val="202020"/>
    </w:rPr>
  </w:style>
  <w:style w:type="paragraph" w:customStyle="1" w:styleId="fd-document-box-purple">
    <w:name w:val="fd-document-box-purple"/>
    <w:basedOn w:val="Normal"/>
    <w:pPr>
      <w:pBdr>
        <w:top w:val="single" w:sz="6" w:space="0" w:color="D6D6D6"/>
        <w:left w:val="single" w:sz="24" w:space="0" w:color="C882FF"/>
        <w:bottom w:val="single" w:sz="6" w:space="0" w:color="D6D6D6"/>
        <w:right w:val="single" w:sz="6" w:space="0" w:color="D6D6D6"/>
      </w:pBdr>
      <w:shd w:val="clear" w:color="auto" w:fill="F5F5F5"/>
      <w:spacing w:line="300" w:lineRule="atLeast"/>
    </w:pPr>
    <w:rPr>
      <w:sz w:val="21"/>
      <w:szCs w:val="21"/>
      <w:bdr w:val="single" w:sz="6" w:space="0" w:color="D6D6D6"/>
      <w:shd w:val="clear" w:color="auto" w:fill="F5F5F5"/>
    </w:rPr>
  </w:style>
  <w:style w:type="paragraph" w:customStyle="1" w:styleId="fd-document-box-purplefd-document-box-title">
    <w:name w:val="fd-document-box-purple_fd-document-box-title"/>
    <w:basedOn w:val="Normal"/>
    <w:pPr>
      <w:pBdr>
        <w:top w:val="none" w:sz="0" w:space="12" w:color="auto"/>
        <w:left w:val="none" w:sz="0" w:space="24" w:color="auto"/>
        <w:bottom w:val="none" w:sz="0" w:space="0" w:color="auto"/>
        <w:right w:val="none" w:sz="0" w:space="24" w:color="auto"/>
      </w:pBdr>
    </w:pPr>
    <w:rPr>
      <w:color w:val="C882FF"/>
    </w:rPr>
  </w:style>
  <w:style w:type="paragraph" w:customStyle="1" w:styleId="fd-document-box-purplefd-document-box-descriptionpnth-last-child1">
    <w:name w:val="fd-document-box-purple_fd-document-box-description_p_nth-last-child(1)"/>
    <w:basedOn w:val="Normal"/>
    <w:pPr>
      <w:pBdr>
        <w:top w:val="none" w:sz="0" w:space="0" w:color="auto"/>
        <w:left w:val="none" w:sz="0" w:space="24" w:color="auto"/>
        <w:bottom w:val="none" w:sz="0" w:space="12" w:color="auto"/>
        <w:right w:val="none" w:sz="0" w:space="24" w:color="auto"/>
      </w:pBdr>
    </w:pPr>
  </w:style>
  <w:style w:type="paragraph" w:customStyle="1" w:styleId="fd-chevron-lvl2">
    <w:name w:val="fd-chevron-lvl2"/>
    <w:basedOn w:val="Normal"/>
    <w:pPr>
      <w:pBdr>
        <w:left w:val="none" w:sz="0" w:space="18" w:color="auto"/>
      </w:pBdr>
    </w:pPr>
    <w:rPr>
      <w:b w:val="0"/>
      <w:bCs w:val="0"/>
      <w:color w:val="202020"/>
    </w:rPr>
  </w:style>
  <w:style w:type="character" w:customStyle="1" w:styleId="a">
    <w:name w:val="a"/>
    <w:basedOn w:val="DefaultParagraphFont"/>
    <w:rPr>
      <w:color w:val="4623EB"/>
    </w:rPr>
  </w:style>
  <w:style w:type="character" w:customStyle="1" w:styleId="pspannotpucenotfd-update">
    <w:name w:val="p_span_not(.puce)_not(.fd-update)"/>
    <w:basedOn w:val="DefaultParagraphFont"/>
  </w:style>
  <w:style w:type="paragraph" w:customStyle="1" w:styleId="fd-document-box-blue">
    <w:name w:val="fd-document-box-blue"/>
    <w:basedOn w:val="Normal"/>
    <w:pPr>
      <w:pBdr>
        <w:top w:val="single" w:sz="6" w:space="0" w:color="D6D6D6"/>
        <w:left w:val="single" w:sz="24" w:space="0" w:color="4623EB"/>
        <w:bottom w:val="single" w:sz="6" w:space="0" w:color="D6D6D6"/>
        <w:right w:val="single" w:sz="6" w:space="0" w:color="D6D6D6"/>
      </w:pBdr>
      <w:shd w:val="clear" w:color="auto" w:fill="F5F5F5"/>
      <w:spacing w:line="300" w:lineRule="atLeast"/>
    </w:pPr>
    <w:rPr>
      <w:sz w:val="21"/>
      <w:szCs w:val="21"/>
      <w:bdr w:val="single" w:sz="6" w:space="0" w:color="D6D6D6"/>
      <w:shd w:val="clear" w:color="auto" w:fill="F5F5F5"/>
    </w:rPr>
  </w:style>
  <w:style w:type="paragraph" w:customStyle="1" w:styleId="fd-document-box-bluefd-document-box-title">
    <w:name w:val="fd-document-box-blue_fd-document-box-title"/>
    <w:basedOn w:val="Normal"/>
    <w:pPr>
      <w:pBdr>
        <w:top w:val="none" w:sz="0" w:space="12" w:color="auto"/>
        <w:left w:val="none" w:sz="0" w:space="24" w:color="auto"/>
        <w:bottom w:val="none" w:sz="0" w:space="0" w:color="auto"/>
        <w:right w:val="none" w:sz="0" w:space="24" w:color="auto"/>
      </w:pBdr>
    </w:pPr>
    <w:rPr>
      <w:color w:val="4623EB"/>
    </w:rPr>
  </w:style>
  <w:style w:type="paragraph" w:customStyle="1" w:styleId="fd-document-box-bluefd-document-box-descriptionpnth-last-child1">
    <w:name w:val="fd-document-box-blue_fd-document-box-description_p_nth-last-child(1)"/>
    <w:basedOn w:val="Normal"/>
    <w:pPr>
      <w:pBdr>
        <w:bottom w:val="none" w:sz="0" w:space="12" w:color="auto"/>
      </w:pBdr>
    </w:pPr>
  </w:style>
  <w:style w:type="paragraph" w:customStyle="1" w:styleId="fd-document-box-purpleulli">
    <w:name w:val="fd-document-box-purple_ul_li"/>
    <w:basedOn w:val="Normal"/>
    <w:pPr>
      <w:pBdr>
        <w:left w:val="none" w:sz="0" w:space="24" w:color="auto"/>
      </w:pBdr>
    </w:pPr>
  </w:style>
  <w:style w:type="paragraph" w:customStyle="1" w:styleId="fd-document-box-blackfd-document-box-descriptionpnth-last-child1">
    <w:name w:val="fd-document-box-black_fd-document-box-description_p_nth-last-child(1)"/>
    <w:basedOn w:val="Normal"/>
    <w:pPr>
      <w:pBdr>
        <w:bottom w:val="none" w:sz="0" w:space="12" w:color="auto"/>
      </w:pBdr>
    </w:pPr>
  </w:style>
  <w:style w:type="paragraph" w:customStyle="1" w:styleId="fd-document-box-redfd-document-box-descriptionany">
    <w:name w:val="fd-document-box-red_fd-document-box-description &gt; any"/>
    <w:basedOn w:val="Normal"/>
    <w:pPr>
      <w:pBdr>
        <w:top w:val="none" w:sz="0" w:space="0" w:color="auto"/>
        <w:left w:val="none" w:sz="0" w:space="24" w:color="auto"/>
        <w:bottom w:val="none" w:sz="0" w:space="0" w:color="auto"/>
        <w:right w:val="none" w:sz="0" w:space="24" w:color="auto"/>
      </w:pBdr>
    </w:pPr>
  </w:style>
  <w:style w:type="paragraph" w:customStyle="1" w:styleId="tablethp">
    <w:name w:val="table_th_p"/>
    <w:basedOn w:val="Normal"/>
    <w:pPr>
      <w:spacing w:line="330" w:lineRule="atLeast"/>
    </w:pPr>
    <w:rPr>
      <w:color w:val="FFFFFF"/>
      <w:sz w:val="24"/>
      <w:szCs w:val="24"/>
    </w:rPr>
  </w:style>
  <w:style w:type="paragraph" w:customStyle="1" w:styleId="legal-notice">
    <w:name w:val="legal-notice"/>
    <w:basedOn w:val="Normal"/>
    <w:pPr>
      <w:spacing w:line="240" w:lineRule="atLeast"/>
      <w:jc w:val="center"/>
    </w:pPr>
    <w:rPr>
      <w:color w:val="9A9A9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i.fidroit.fr/document/38966" TargetMode="External" /><Relationship Id="rId11" Type="http://schemas.openxmlformats.org/officeDocument/2006/relationships/hyperlink" Target="https://api.fidroit.fr/document/51115" TargetMode="External" /><Relationship Id="rId12" Type="http://schemas.openxmlformats.org/officeDocument/2006/relationships/hyperlink" Target="https://api.fidroit.fr/document/51887" TargetMode="External" /><Relationship Id="rId13" Type="http://schemas.openxmlformats.org/officeDocument/2006/relationships/header" Target="header1.xml" /><Relationship Id="rId14" Type="http://schemas.openxmlformats.org/officeDocument/2006/relationships/footer" Target="footer1.xml" /><Relationship Id="rId15" Type="http://schemas.openxmlformats.org/officeDocument/2006/relationships/theme" Target="theme/theme1.xm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jpeg" /><Relationship Id="rId6" Type="http://schemas.openxmlformats.org/officeDocument/2006/relationships/hyperlink" Target="https://api.fidroit.fr/document/49139" TargetMode="External" /><Relationship Id="rId7" Type="http://schemas.openxmlformats.org/officeDocument/2006/relationships/hyperlink" Target="https://api.fidroit.fr/api/technical-resource/attachment/old/legislation/loi-2015-1776-SAV-du-28-12-2015.pdf" TargetMode="External" /><Relationship Id="rId8" Type="http://schemas.openxmlformats.org/officeDocument/2006/relationships/hyperlink" Target="https://api.fidroit.fr/document/46025" TargetMode="External" /><Relationship Id="rId9" Type="http://schemas.openxmlformats.org/officeDocument/2006/relationships/hyperlink" Target="https://api.fidroit.fr/document/46020" TargetMode="External" /></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B4A46-50BC-4C60-85AE-62D660240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Template>
  <TotalTime>20</TotalTime>
  <Pages>24</Pages>
  <Words>111</Words>
  <Characters>612</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Manager>Harvest</Manager>
  <Company>Harvest</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Harvest</dc:creator>
  <cp:revision>20</cp:revision>
  <cp:lastPrinted>1899-12-31T23:00:00Z</cp:lastPrinted>
  <dcterms:created xsi:type="dcterms:W3CDTF">2023-08-17T11:58:54Z</dcterms:created>
  <dcterms:modified xsi:type="dcterms:W3CDTF">2023-08-17T11:58:54Z</dcterms:modified>
</cp:coreProperties>
</file>