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body>
    <w:p>
      <w:r>
        <w:rPr>
          <w:color w:val="646464"/>
          <w:sz w:val="24"/>
          <w:szCs w:val="24"/>
        </w:rPr>
        <w:drawing>
          <wp:inline>
            <wp:extent cx="3377424" cy="152400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
                    <pic:cNvPicPr>
                      <a:picLocks noChangeAspect="1"/>
                    </pic:cNvPicPr>
                  </pic:nvPicPr>
                  <pic:blipFill>
                    <a:blip xmlns:r="http://schemas.openxmlformats.org/officeDocument/2006/relationships" r:embed="rId5"/>
                    <a:stretch>
                      <a:fillRect/>
                    </a:stretch>
                  </pic:blipFill>
                  <pic:spPr>
                    <a:xfrm>
                      <a:off x="0" y="0"/>
                      <a:ext cx="3377424" cy="1524000"/>
                    </a:xfrm>
                    <a:prstGeom prst="rect">
                      <a:avLst/>
                    </a:prstGeom>
                  </pic:spPr>
                </pic:pic>
              </a:graphicData>
            </a:graphic>
          </wp:inline>
        </w:drawing>
      </w:r>
      <w:r>
        <w:rPr>
          <w:color w:val="646464"/>
          <w:sz w:val="24"/>
          <w:szCs w:val="24"/>
        </w:rPr>
        <w:t xml:space="preserve"> </w:t>
      </w:r>
    </w:p>
    <w:p>
      <w:pPr>
        <w:pStyle w:val="h2title"/>
        <w:pageBreakBefore w:val="0"/>
        <w:spacing w:before="240" w:after="240" w:line="570" w:lineRule="atLeast"/>
        <w:ind w:left="0" w:right="0"/>
        <w:jc w:val="center"/>
        <w:outlineLvl w:val="1"/>
        <w:rPr>
          <w:b/>
          <w:bCs/>
          <w:caps w:val="0"/>
          <w:color w:val="202020"/>
          <w:sz w:val="48"/>
          <w:szCs w:val="48"/>
        </w:rPr>
      </w:pPr>
      <w:r>
        <w:rPr>
          <w:b/>
          <w:bCs/>
          <w:caps w:val="0"/>
          <w:color w:val="202020"/>
          <w:sz w:val="48"/>
          <w:szCs w:val="48"/>
        </w:rPr>
        <w:t>Assurance-vie pour transmettre un capital</w:t>
      </w:r>
    </w:p>
    <w:p>
      <w:pPr>
        <w:pStyle w:val="updated-at"/>
        <w:spacing w:before="0" w:after="300" w:line="360" w:lineRule="atLeast"/>
        <w:ind w:left="0" w:right="0"/>
        <w:rPr>
          <w:color w:val="646464"/>
          <w:sz w:val="27"/>
          <w:szCs w:val="27"/>
        </w:rPr>
      </w:pPr>
      <w:r>
        <w:rPr>
          <w:color w:val="646464"/>
          <w:sz w:val="27"/>
          <w:szCs w:val="27"/>
        </w:rPr>
        <w:t>Mis à jour le 2 janv. 2023</w:t>
      </w:r>
    </w:p>
    <w:p>
      <w:pPr>
        <w:pStyle w:val="p"/>
        <w:spacing w:before="0" w:after="180" w:line="360" w:lineRule="atLeast"/>
        <w:ind w:left="0" w:right="0"/>
        <w:rPr>
          <w:color w:val="646464"/>
          <w:sz w:val="27"/>
          <w:szCs w:val="27"/>
        </w:rPr>
      </w:pPr>
      <w:r>
        <w:rPr>
          <w:color w:val="646464"/>
          <w:sz w:val="27"/>
          <w:szCs w:val="27"/>
        </w:rPr>
        <w:t>Vous avez besoin de présenter le conseil que vous souhaitez délivrer, Fidroit met à votre disposition ce document powerpoint, utile pour présenter la stratégie patrimoniale lors de votre rendez-vous client.</w:t>
      </w:r>
    </w:p>
    <w:p>
      <w:pPr>
        <w:pStyle w:val="p"/>
        <w:spacing w:before="0" w:after="180" w:line="360" w:lineRule="atLeast"/>
        <w:ind w:left="0" w:right="0"/>
        <w:rPr>
          <w:color w:val="646464"/>
          <w:sz w:val="27"/>
          <w:szCs w:val="27"/>
        </w:rPr>
      </w:pPr>
      <w:r>
        <w:rPr>
          <w:color w:val="646464"/>
          <w:sz w:val="27"/>
          <w:szCs w:val="27"/>
        </w:rPr>
        <w:t>Pour y accéder, cliquez ici : </w:t>
      </w:r>
      <w:hyperlink r:id="rId6" w:history="1">
        <w:r>
          <w:rPr>
            <w:rStyle w:val="a"/>
            <w:color w:val="4623EB"/>
            <w:sz w:val="27"/>
            <w:szCs w:val="27"/>
          </w:rPr>
          <w:t>Présentation - Assurance vie pour protéger ses proches et transmettre un capital</w:t>
        </w:r>
      </w:hyperlink>
    </w:p>
    <w:p>
      <w:pPr>
        <w:pStyle w:val="p"/>
        <w:spacing w:before="0" w:after="480" w:line="360" w:lineRule="atLeast"/>
        <w:ind w:left="0" w:right="0"/>
        <w:rPr>
          <w:color w:val="646464"/>
          <w:sz w:val="27"/>
          <w:szCs w:val="27"/>
        </w:rPr>
      </w:pPr>
      <w:r>
        <w:rPr>
          <w:color w:val="646464"/>
          <w:sz w:val="27"/>
          <w:szCs w:val="27"/>
        </w:rPr>
        <w:t>Ce document est personnalisable et exploitable en un clic, voir notre </w:t>
      </w:r>
      <w:hyperlink r:id="rId7" w:history="1">
        <w:r>
          <w:rPr>
            <w:rStyle w:val="a"/>
            <w:color w:val="4623EB"/>
            <w:sz w:val="27"/>
            <w:szCs w:val="27"/>
          </w:rPr>
          <w:t>Mode d'emploi présentation stratégie client</w:t>
        </w:r>
      </w:hyperlink>
    </w:p>
    <w:p>
      <w:pPr>
        <w:pStyle w:val="Heading2"/>
        <w:pageBreakBefore w:val="0"/>
        <w:spacing w:before="480" w:after="240" w:line="360" w:lineRule="atLeast"/>
        <w:ind w:left="0" w:right="0"/>
        <w:rPr>
          <w:b/>
          <w:bCs/>
          <w:caps w:val="0"/>
          <w:color w:val="202020"/>
          <w:sz w:val="40"/>
          <w:szCs w:val="27"/>
        </w:rPr>
      </w:pPr>
      <w:r>
        <w:rPr>
          <w:b/>
          <w:bCs/>
          <w:caps w:val="0"/>
          <w:color w:val="202020"/>
          <w:sz w:val="27"/>
          <w:szCs w:val="27"/>
        </w:rPr>
        <w:t>1.</w:t>
      </w:r>
      <w:r>
        <w:rPr>
          <w:b/>
          <w:bCs/>
          <w:caps w:val="0"/>
          <w:color w:val="202020"/>
          <w:sz w:val="27"/>
          <w:szCs w:val="27"/>
        </w:rPr>
        <w:t xml:space="preserve"> Les questions à poser</w:t>
      </w:r>
    </w:p>
    <w:p>
      <w:pPr>
        <w:pStyle w:val="linotnth-last-child1"/>
        <w:numPr>
          <w:ilvl w:val="0"/>
          <w:numId w:val="29"/>
        </w:numPr>
        <w:spacing w:before="240" w:after="240" w:line="330" w:lineRule="atLeast"/>
        <w:ind w:left="720" w:right="0" w:hanging="360"/>
        <w:jc w:val="left"/>
        <w:rPr>
          <w:color w:val="646464"/>
          <w:sz w:val="24"/>
          <w:szCs w:val="24"/>
        </w:rPr>
      </w:pPr>
      <w:r>
        <w:rPr>
          <w:color w:val="646464"/>
          <w:sz w:val="24"/>
          <w:szCs w:val="24"/>
        </w:rPr>
        <w:t>Combien d’enfants avez-vous ?</w:t>
      </w:r>
    </w:p>
    <w:p>
      <w:pPr>
        <w:pStyle w:val="linotnth-last-child1"/>
        <w:numPr>
          <w:ilvl w:val="0"/>
          <w:numId w:val="29"/>
        </w:numPr>
        <w:spacing w:after="240" w:line="330" w:lineRule="atLeast"/>
        <w:ind w:left="720" w:right="0" w:hanging="360"/>
        <w:jc w:val="left"/>
        <w:rPr>
          <w:color w:val="646464"/>
          <w:sz w:val="24"/>
          <w:szCs w:val="24"/>
        </w:rPr>
      </w:pPr>
      <w:r>
        <w:rPr>
          <w:color w:val="646464"/>
          <w:sz w:val="24"/>
          <w:szCs w:val="24"/>
        </w:rPr>
        <w:t>Avez-vous des enfants d’une précédente union ?</w:t>
      </w:r>
    </w:p>
    <w:p>
      <w:pPr>
        <w:pStyle w:val="linotnth-last-child1"/>
        <w:numPr>
          <w:ilvl w:val="0"/>
          <w:numId w:val="29"/>
        </w:numPr>
        <w:spacing w:after="240" w:line="330" w:lineRule="atLeast"/>
        <w:ind w:left="720" w:right="0" w:hanging="360"/>
        <w:jc w:val="left"/>
        <w:rPr>
          <w:color w:val="646464"/>
          <w:sz w:val="24"/>
          <w:szCs w:val="24"/>
        </w:rPr>
      </w:pPr>
      <w:r>
        <w:rPr>
          <w:color w:val="646464"/>
          <w:sz w:val="24"/>
          <w:szCs w:val="24"/>
        </w:rPr>
        <w:t>Avez-vous déjà chiffré les conséquences de votre prédécès en termes de droits de succession ?</w:t>
      </w:r>
    </w:p>
    <w:p>
      <w:pPr>
        <w:pStyle w:val="linotnth-last-child1"/>
        <w:numPr>
          <w:ilvl w:val="0"/>
          <w:numId w:val="29"/>
        </w:numPr>
        <w:spacing w:after="240" w:line="330" w:lineRule="atLeast"/>
        <w:ind w:left="720" w:right="0" w:hanging="360"/>
        <w:jc w:val="left"/>
        <w:rPr>
          <w:color w:val="646464"/>
          <w:sz w:val="24"/>
          <w:szCs w:val="24"/>
        </w:rPr>
      </w:pPr>
      <w:r>
        <w:rPr>
          <w:color w:val="646464"/>
          <w:sz w:val="24"/>
          <w:szCs w:val="24"/>
        </w:rPr>
        <w:t>Connaissez-vous les droits de votre conjoint dans votre succession ?</w:t>
      </w:r>
    </w:p>
    <w:p>
      <w:pPr>
        <w:pStyle w:val="linotnth-last-child1"/>
        <w:numPr>
          <w:ilvl w:val="0"/>
          <w:numId w:val="29"/>
        </w:numPr>
        <w:spacing w:after="240" w:line="330" w:lineRule="atLeast"/>
        <w:ind w:left="720" w:right="0" w:hanging="360"/>
        <w:jc w:val="left"/>
        <w:rPr>
          <w:color w:val="646464"/>
          <w:sz w:val="24"/>
          <w:szCs w:val="24"/>
        </w:rPr>
      </w:pPr>
      <w:r>
        <w:rPr>
          <w:color w:val="646464"/>
          <w:sz w:val="24"/>
          <w:szCs w:val="24"/>
        </w:rPr>
        <w:t>Que souhaitez-vous transmettre à vos enfants ?</w:t>
      </w:r>
    </w:p>
    <w:p>
      <w:pPr>
        <w:pStyle w:val="linotnth-last-child1"/>
        <w:numPr>
          <w:ilvl w:val="0"/>
          <w:numId w:val="29"/>
        </w:numPr>
        <w:spacing w:after="240" w:line="330" w:lineRule="atLeast"/>
        <w:ind w:left="720" w:right="0" w:hanging="360"/>
        <w:jc w:val="left"/>
        <w:rPr>
          <w:color w:val="646464"/>
          <w:sz w:val="24"/>
          <w:szCs w:val="24"/>
        </w:rPr>
      </w:pPr>
      <w:r>
        <w:rPr>
          <w:color w:val="646464"/>
          <w:sz w:val="24"/>
          <w:szCs w:val="24"/>
        </w:rPr>
        <w:t>Leur avez-vous déjà consenti une donation ?</w:t>
      </w:r>
    </w:p>
    <w:p>
      <w:pPr>
        <w:pStyle w:val="linotnth-last-child1"/>
        <w:numPr>
          <w:ilvl w:val="0"/>
          <w:numId w:val="29"/>
        </w:numPr>
        <w:spacing w:after="240" w:line="330" w:lineRule="atLeast"/>
        <w:ind w:left="720" w:right="0" w:hanging="360"/>
        <w:jc w:val="left"/>
        <w:rPr>
          <w:color w:val="646464"/>
          <w:sz w:val="24"/>
          <w:szCs w:val="24"/>
        </w:rPr>
      </w:pPr>
      <w:r>
        <w:rPr>
          <w:color w:val="646464"/>
          <w:sz w:val="24"/>
          <w:szCs w:val="24"/>
        </w:rPr>
        <w:t>Souhaitez-vous avantager en particulier un enfant ou une tierce personne ?</w:t>
      </w:r>
    </w:p>
    <w:p>
      <w:pPr>
        <w:numPr>
          <w:ilvl w:val="0"/>
          <w:numId w:val="29"/>
        </w:numPr>
        <w:spacing w:after="240" w:line="330" w:lineRule="atLeast"/>
        <w:ind w:left="720" w:right="0" w:hanging="360"/>
        <w:jc w:val="left"/>
        <w:rPr>
          <w:color w:val="646464"/>
          <w:sz w:val="24"/>
          <w:szCs w:val="24"/>
        </w:rPr>
      </w:pPr>
      <w:r>
        <w:rPr>
          <w:color w:val="646464"/>
          <w:sz w:val="24"/>
          <w:szCs w:val="24"/>
        </w:rPr>
        <w:t>Avez-vous déjà souscrit un contrat d’assurance-vie ?</w:t>
      </w:r>
    </w:p>
    <w:p>
      <w:pPr>
        <w:pStyle w:val="Heading2"/>
        <w:pageBreakBefore w:val="0"/>
        <w:spacing w:before="480" w:after="240" w:line="360" w:lineRule="atLeast"/>
        <w:ind w:left="0" w:right="0"/>
        <w:rPr>
          <w:b/>
          <w:bCs/>
          <w:caps w:val="0"/>
          <w:color w:val="202020"/>
          <w:sz w:val="40"/>
          <w:szCs w:val="27"/>
        </w:rPr>
      </w:pPr>
      <w:r>
        <w:rPr>
          <w:b/>
          <w:bCs/>
          <w:caps w:val="0"/>
          <w:color w:val="202020"/>
          <w:sz w:val="27"/>
          <w:szCs w:val="27"/>
        </w:rPr>
        <w:t>2.</w:t>
      </w:r>
      <w:r>
        <w:rPr>
          <w:b/>
          <w:bCs/>
          <w:caps w:val="0"/>
          <w:color w:val="202020"/>
          <w:sz w:val="27"/>
          <w:szCs w:val="27"/>
        </w:rPr>
        <w:t xml:space="preserve"> Points clés à mettre en avant</w:t>
      </w:r>
    </w:p>
    <w:p>
      <w:pPr>
        <w:pStyle w:val="Heading3"/>
        <w:pageBreakBefore w:val="0"/>
        <w:spacing w:before="240" w:after="240" w:line="330" w:lineRule="atLeast"/>
        <w:ind w:left="0" w:right="0"/>
        <w:rPr>
          <w:b/>
          <w:bCs/>
          <w:color w:val="202020"/>
          <w:sz w:val="28"/>
          <w:szCs w:val="24"/>
        </w:rPr>
      </w:pPr>
      <w:r>
        <w:rPr>
          <w:b/>
          <w:bCs/>
          <w:color w:val="202020"/>
          <w:sz w:val="24"/>
          <w:szCs w:val="24"/>
        </w:rPr>
        <w:t>2.1.</w:t>
      </w:r>
      <w:r>
        <w:rPr>
          <w:b/>
          <w:bCs/>
          <w:color w:val="202020"/>
          <w:sz w:val="24"/>
          <w:szCs w:val="24"/>
        </w:rPr>
        <w:t xml:space="preserve"> Un dispositif fiscal favorable</w:t>
      </w:r>
    </w:p>
    <w:tbl>
      <w:tblPr>
        <w:tblStyle w:val="table"/>
        <w:tblW w:w="5000" w:type="pct"/>
        <w:tblInd w:w="16" w:type="dxa"/>
        <w:shd w:val="clear" w:color="auto" w:fill="FFFFFF"/>
        <w:tblCellMar>
          <w:top w:w="0" w:type="dxa"/>
          <w:left w:w="0" w:type="dxa"/>
          <w:bottom w:w="0" w:type="dxa"/>
          <w:right w:w="0" w:type="dxa"/>
        </w:tblCellMar>
        <w:tblLook w:val="05E0"/>
      </w:tblPr>
      <w:tblGrid>
        <w:gridCol w:w="3261"/>
        <w:gridCol w:w="7610"/>
      </w:tblGrid>
      <w:tr>
        <w:tblPrEx>
          <w:tblW w:w="5000" w:type="pct"/>
          <w:tblInd w:w="16" w:type="dxa"/>
          <w:shd w:val="clear" w:color="auto" w:fill="FFFFFF"/>
          <w:tblCellMar>
            <w:top w:w="0" w:type="dxa"/>
            <w:left w:w="0" w:type="dxa"/>
            <w:bottom w:w="0" w:type="dxa"/>
            <w:right w:w="0" w:type="dxa"/>
          </w:tblCellMar>
          <w:tblLook w:val="05E0"/>
        </w:tblPrEx>
        <w:trPr>
          <w:tblHeader/>
        </w:trPr>
        <w:tc>
          <w:tcPr>
            <w:tcW w:w="1500" w:type="pct"/>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b/>
                <w:bCs/>
                <w:color w:val="202020"/>
                <w:sz w:val="21"/>
                <w:szCs w:val="21"/>
              </w:rPr>
            </w:pPr>
            <w:r>
              <w:rPr>
                <w:b/>
                <w:bCs/>
                <w:color w:val="202020"/>
                <w:sz w:val="21"/>
                <w:szCs w:val="21"/>
              </w:rPr>
              <w:t> Fiscalité privilégiée au décès</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jc w:val="left"/>
              <w:rPr>
                <w:b w:val="0"/>
                <w:bCs w:val="0"/>
                <w:color w:val="646464"/>
                <w:sz w:val="21"/>
                <w:szCs w:val="21"/>
              </w:rPr>
            </w:pPr>
            <w:r>
              <w:rPr>
                <w:b w:val="0"/>
                <w:bCs w:val="0"/>
                <w:color w:val="646464"/>
                <w:sz w:val="21"/>
                <w:szCs w:val="21"/>
              </w:rPr>
              <w:t>L’assurance-vie permet de bénéficier d’une fiscalité moins lourde que les droits de mutation par décès, avec une taxation différente selon que les versements ont été effectués ou non avant le 70ème anniversaire de l’assuré :</w:t>
            </w:r>
            <w:r>
              <w:rPr>
                <w:b w:val="0"/>
                <w:bCs w:val="0"/>
                <w:color w:val="646464"/>
                <w:sz w:val="21"/>
                <w:szCs w:val="21"/>
              </w:rPr>
              <w:br/>
            </w:r>
            <w:r>
              <w:rPr>
                <w:b w:val="0"/>
                <w:bCs w:val="0"/>
                <w:color w:val="646464"/>
                <w:sz w:val="21"/>
                <w:szCs w:val="21"/>
              </w:rPr>
              <w:br/>
            </w:r>
            <w:r>
              <w:rPr>
                <w:b w:val="0"/>
                <w:bCs w:val="0"/>
                <w:color w:val="646464"/>
                <w:sz w:val="21"/>
                <w:szCs w:val="21"/>
                <w:u w:val="single" w:color="646464"/>
              </w:rPr>
              <w:t>Article 990 I du CGI</w:t>
            </w:r>
            <w:r>
              <w:rPr>
                <w:b w:val="0"/>
                <w:bCs w:val="0"/>
                <w:color w:val="646464"/>
                <w:sz w:val="21"/>
                <w:szCs w:val="21"/>
              </w:rPr>
              <w:t xml:space="preserve"> : après un abattement de 152 500 € par bénéficiaire, les capitaux décès issus de versements effectués avant 70 ans sont soumis à un prélèvement forfaitaire de 20 % jusqu’à 700 000 € et 31,25 % au-delà.</w:t>
            </w:r>
            <w:r>
              <w:rPr>
                <w:b w:val="0"/>
                <w:bCs w:val="0"/>
                <w:color w:val="646464"/>
                <w:sz w:val="21"/>
                <w:szCs w:val="21"/>
              </w:rPr>
              <w:br/>
            </w:r>
            <w:r>
              <w:rPr>
                <w:b w:val="0"/>
                <w:bCs w:val="0"/>
                <w:i/>
                <w:iCs/>
                <w:color w:val="646464"/>
                <w:sz w:val="21"/>
                <w:szCs w:val="21"/>
              </w:rPr>
              <w:t>À noter : Le bénéficiaire d’un contrat "vie-génération" profite, en plus de l’abattement de 152 500 €, d’un abattement de 20 % sur les sommes imposables.</w:t>
            </w:r>
            <w:r>
              <w:rPr>
                <w:b w:val="0"/>
                <w:bCs w:val="0"/>
                <w:i/>
                <w:iCs/>
                <w:color w:val="646464"/>
                <w:sz w:val="21"/>
                <w:szCs w:val="21"/>
              </w:rPr>
              <w:br/>
            </w:r>
            <w:r>
              <w:rPr>
                <w:b w:val="0"/>
                <w:bCs w:val="0"/>
                <w:i/>
                <w:iCs/>
                <w:color w:val="646464"/>
                <w:sz w:val="21"/>
                <w:szCs w:val="21"/>
              </w:rPr>
              <w:br/>
            </w:r>
            <w:r>
              <w:rPr>
                <w:b w:val="0"/>
                <w:bCs w:val="0"/>
                <w:color w:val="646464"/>
                <w:sz w:val="21"/>
                <w:szCs w:val="21"/>
                <w:u w:val="single" w:color="646464"/>
              </w:rPr>
              <w:t xml:space="preserve">Article 757 B du CGI </w:t>
            </w:r>
            <w:r>
              <w:rPr>
                <w:b w:val="0"/>
                <w:bCs w:val="0"/>
                <w:color w:val="646464"/>
                <w:sz w:val="21"/>
                <w:szCs w:val="21"/>
              </w:rPr>
              <w:t>: les primes versées après 70 ans sont soumises aux droits de succession après un abattement de 30 500 €.</w:t>
            </w:r>
            <w:r>
              <w:rPr>
                <w:b w:val="0"/>
                <w:bCs w:val="0"/>
                <w:color w:val="646464"/>
                <w:sz w:val="21"/>
                <w:szCs w:val="21"/>
              </w:rPr>
              <w:br/>
            </w:r>
            <w:r>
              <w:rPr>
                <w:b w:val="0"/>
                <w:bCs w:val="0"/>
                <w:color w:val="646464"/>
                <w:sz w:val="21"/>
                <w:szCs w:val="21"/>
              </w:rPr>
              <w:br/>
            </w:r>
            <w:r>
              <w:rPr>
                <w:b w:val="0"/>
                <w:bCs w:val="0"/>
                <w:color w:val="646464"/>
                <w:sz w:val="21"/>
                <w:szCs w:val="21"/>
                <w:u w:val="single" w:color="646464"/>
              </w:rPr>
              <w:t>Totale exonération</w:t>
            </w:r>
            <w:r>
              <w:rPr>
                <w:b w:val="0"/>
                <w:bCs w:val="0"/>
                <w:color w:val="646464"/>
                <w:sz w:val="21"/>
                <w:szCs w:val="21"/>
              </w:rPr>
              <w:t xml:space="preserve"> lorsque le bénéficiaire est le conjoint ou le partenaire pacsé.</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r>
              <w:rPr>
                <w:color w:val="202020"/>
                <w:sz w:val="21"/>
                <w:szCs w:val="21"/>
              </w:rPr>
              <w:t>Non soumission des capitaux décès aux frais et charges liés au règlement successoral</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jc w:val="left"/>
              <w:rPr>
                <w:b w:val="0"/>
                <w:bCs w:val="0"/>
                <w:color w:val="646464"/>
                <w:sz w:val="21"/>
                <w:szCs w:val="21"/>
              </w:rPr>
            </w:pPr>
            <w:r>
              <w:rPr>
                <w:b w:val="0"/>
                <w:bCs w:val="0"/>
                <w:color w:val="646464"/>
                <w:sz w:val="21"/>
                <w:szCs w:val="21"/>
              </w:rPr>
              <w:t> Les capitaux décès ne sont pas compris dans l’assiette des émoluments du notaire (sauf si application de l’article 757B), ni ne supportent le droit de partage.</w:t>
            </w:r>
          </w:p>
        </w:tc>
      </w:tr>
    </w:tbl>
    <w:p>
      <w:pPr>
        <w:pStyle w:val="Heading3"/>
        <w:pageBreakBefore w:val="0"/>
        <w:spacing w:before="0" w:after="240" w:line="330" w:lineRule="atLeast"/>
        <w:ind w:left="0" w:right="0"/>
        <w:rPr>
          <w:b/>
          <w:bCs/>
          <w:color w:val="202020"/>
          <w:sz w:val="28"/>
          <w:szCs w:val="24"/>
        </w:rPr>
      </w:pPr>
      <w:r>
        <w:rPr>
          <w:b/>
          <w:bCs/>
          <w:color w:val="202020"/>
          <w:sz w:val="24"/>
          <w:szCs w:val="24"/>
        </w:rPr>
        <w:t>2.2.</w:t>
      </w:r>
      <w:r>
        <w:rPr>
          <w:b/>
          <w:bCs/>
          <w:color w:val="202020"/>
          <w:sz w:val="24"/>
          <w:szCs w:val="24"/>
        </w:rPr>
        <w:t xml:space="preserve"> Une grande liberté en terme de choix du bénéficiaire</w:t>
      </w:r>
    </w:p>
    <w:tbl>
      <w:tblPr>
        <w:tblStyle w:val="table"/>
        <w:tblW w:w="5000" w:type="pct"/>
        <w:tblInd w:w="16" w:type="dxa"/>
        <w:shd w:val="clear" w:color="auto" w:fill="FFFFFF"/>
        <w:tblCellMar>
          <w:top w:w="0" w:type="dxa"/>
          <w:left w:w="0" w:type="dxa"/>
          <w:bottom w:w="0" w:type="dxa"/>
          <w:right w:w="0" w:type="dxa"/>
        </w:tblCellMar>
        <w:tblLook w:val="05E0"/>
      </w:tblPr>
      <w:tblGrid>
        <w:gridCol w:w="3261"/>
        <w:gridCol w:w="7610"/>
      </w:tblGrid>
      <w:tr>
        <w:tblPrEx>
          <w:tblW w:w="5000" w:type="pct"/>
          <w:tblInd w:w="16" w:type="dxa"/>
          <w:shd w:val="clear" w:color="auto" w:fill="FFFFFF"/>
          <w:tblCellMar>
            <w:top w:w="0" w:type="dxa"/>
            <w:left w:w="0" w:type="dxa"/>
            <w:bottom w:w="0" w:type="dxa"/>
            <w:right w:w="0" w:type="dxa"/>
          </w:tblCellMar>
          <w:tblLook w:val="05E0"/>
        </w:tblPrEx>
        <w:trPr>
          <w:tblHeader/>
        </w:trPr>
        <w:tc>
          <w:tcPr>
            <w:tcW w:w="1500" w:type="pct"/>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b/>
                <w:bCs/>
                <w:color w:val="202020"/>
                <w:sz w:val="21"/>
                <w:szCs w:val="21"/>
              </w:rPr>
            </w:pPr>
            <w:r>
              <w:rPr>
                <w:b/>
                <w:bCs/>
                <w:color w:val="202020"/>
                <w:sz w:val="21"/>
                <w:szCs w:val="21"/>
              </w:rPr>
              <w:t>Protéger la personne de son choix</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linotnth-last-child1"/>
              <w:numPr>
                <w:ilvl w:val="0"/>
                <w:numId w:val="30"/>
              </w:numPr>
              <w:spacing w:before="240" w:after="240" w:line="300" w:lineRule="atLeast"/>
              <w:ind w:left="720" w:right="0" w:hanging="360"/>
              <w:jc w:val="left"/>
              <w:rPr>
                <w:b w:val="0"/>
                <w:bCs w:val="0"/>
                <w:color w:val="646464"/>
                <w:sz w:val="21"/>
                <w:szCs w:val="21"/>
              </w:rPr>
            </w:pPr>
            <w:r>
              <w:rPr>
                <w:b w:val="0"/>
                <w:bCs w:val="0"/>
                <w:color w:val="646464"/>
                <w:sz w:val="21"/>
                <w:szCs w:val="21"/>
              </w:rPr>
              <w:t>Le conjoint qui n’est pas assez protégé par la loi</w:t>
            </w:r>
          </w:p>
          <w:p>
            <w:pPr>
              <w:pStyle w:val="linotnth-last-child1"/>
              <w:numPr>
                <w:ilvl w:val="0"/>
                <w:numId w:val="30"/>
              </w:numPr>
              <w:spacing w:after="240" w:line="300" w:lineRule="atLeast"/>
              <w:ind w:left="720" w:right="0" w:hanging="360"/>
              <w:jc w:val="left"/>
              <w:rPr>
                <w:b w:val="0"/>
                <w:bCs w:val="0"/>
                <w:color w:val="646464"/>
                <w:sz w:val="21"/>
                <w:szCs w:val="21"/>
              </w:rPr>
            </w:pPr>
            <w:r>
              <w:rPr>
                <w:b w:val="0"/>
                <w:bCs w:val="0"/>
                <w:color w:val="646464"/>
                <w:sz w:val="21"/>
                <w:szCs w:val="21"/>
              </w:rPr>
              <w:t>Le partenaire pacsé ou le concubin qui n’est pas appelé à la succession par la loi à défaut de disposition testamentaire.</w:t>
            </w:r>
          </w:p>
          <w:p>
            <w:pPr>
              <w:numPr>
                <w:ilvl w:val="0"/>
                <w:numId w:val="30"/>
              </w:numPr>
              <w:spacing w:after="240" w:line="300" w:lineRule="atLeast"/>
              <w:ind w:left="720" w:right="0" w:hanging="360"/>
              <w:jc w:val="left"/>
              <w:rPr>
                <w:b w:val="0"/>
                <w:bCs w:val="0"/>
                <w:color w:val="646464"/>
                <w:sz w:val="21"/>
                <w:szCs w:val="21"/>
              </w:rPr>
            </w:pPr>
            <w:r>
              <w:rPr>
                <w:b w:val="0"/>
                <w:bCs w:val="0"/>
                <w:color w:val="646464"/>
                <w:sz w:val="21"/>
                <w:szCs w:val="21"/>
              </w:rPr>
              <w:t>Une personne qui n’est pas héritière.</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r>
              <w:rPr>
                <w:color w:val="202020"/>
                <w:sz w:val="21"/>
                <w:szCs w:val="21"/>
              </w:rPr>
              <w:t>Paiement des droits de succession ou financement d'une soulte</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jc w:val="left"/>
              <w:rPr>
                <w:b w:val="0"/>
                <w:bCs w:val="0"/>
                <w:color w:val="646464"/>
                <w:sz w:val="21"/>
                <w:szCs w:val="21"/>
              </w:rPr>
            </w:pPr>
            <w:r>
              <w:rPr>
                <w:b w:val="0"/>
                <w:bCs w:val="0"/>
                <w:color w:val="646464"/>
                <w:sz w:val="21"/>
                <w:szCs w:val="21"/>
              </w:rPr>
              <w:t>Le bénéfice d’un contrat d’assurance-vie peut permettre à son bénéficiaire de disposer de liquidités pour faciliter le règlement des droits de succession ou d’une soulte lors du partage.</w:t>
            </w:r>
          </w:p>
        </w:tc>
      </w:tr>
      <w:tr>
        <w:tblPrEx>
          <w:tblW w:w="5000" w:type="pct"/>
          <w:tblInd w:w="16" w:type="dxa"/>
          <w:shd w:val="clear" w:color="auto" w:fill="FFFFFF"/>
          <w:tblCellMar>
            <w:top w:w="0" w:type="dxa"/>
            <w:left w:w="0" w:type="dxa"/>
            <w:bottom w:w="0" w:type="dxa"/>
            <w:right w:w="0" w:type="dxa"/>
          </w:tblCellMar>
          <w:tblLook w:val="05E0"/>
        </w:tblPrEx>
        <w:tc>
          <w:tcPr>
            <w:tcW w:w="1500" w:type="pct"/>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r>
              <w:rPr>
                <w:color w:val="202020"/>
                <w:sz w:val="21"/>
                <w:szCs w:val="21"/>
              </w:rPr>
              <w:t>Facilité de disposition</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jc w:val="left"/>
              <w:rPr>
                <w:b w:val="0"/>
                <w:bCs w:val="0"/>
                <w:color w:val="646464"/>
                <w:sz w:val="21"/>
                <w:szCs w:val="21"/>
              </w:rPr>
            </w:pPr>
            <w:r>
              <w:rPr>
                <w:b w:val="0"/>
                <w:bCs w:val="0"/>
                <w:color w:val="646464"/>
                <w:sz w:val="21"/>
                <w:szCs w:val="21"/>
              </w:rPr>
              <w:t>Un époux commun en biens peut souscrire seul un contrat d’assurance-vie au moyen de fonds communs et d’en désigner librement le bénéficiaire.</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r>
              <w:rPr>
                <w:color w:val="202020"/>
                <w:sz w:val="21"/>
                <w:szCs w:val="21"/>
              </w:rPr>
              <w:t>Changer de bénéficiaire à tout moment</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jc w:val="left"/>
              <w:rPr>
                <w:b w:val="0"/>
                <w:bCs w:val="0"/>
                <w:color w:val="646464"/>
                <w:sz w:val="21"/>
                <w:szCs w:val="21"/>
              </w:rPr>
            </w:pPr>
            <w:r>
              <w:rPr>
                <w:b w:val="0"/>
                <w:bCs w:val="0"/>
                <w:color w:val="646464"/>
                <w:sz w:val="21"/>
                <w:szCs w:val="21"/>
              </w:rPr>
              <w:t>Le souscripteur est libre de modifier le bénéficiaire du contrat en fonction de l’évolution de sa situation, avec un formalisme très simple (à tout moment et selon toutes formes).</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r>
              <w:rPr>
                <w:color w:val="202020"/>
                <w:sz w:val="21"/>
                <w:szCs w:val="21"/>
              </w:rPr>
              <w:t>Grande liberté rédactionnelle</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jc w:val="left"/>
              <w:rPr>
                <w:b w:val="0"/>
                <w:bCs w:val="0"/>
                <w:color w:val="646464"/>
                <w:sz w:val="21"/>
                <w:szCs w:val="21"/>
              </w:rPr>
            </w:pPr>
            <w:r>
              <w:rPr>
                <w:b w:val="0"/>
                <w:bCs w:val="0"/>
                <w:color w:val="646464"/>
                <w:sz w:val="21"/>
                <w:szCs w:val="21"/>
              </w:rPr>
              <w:t xml:space="preserve">Il est possible de faire du sur-mesure et de désigner plusieurs bénéficiaires dans différentes proportions </w:t>
            </w:r>
            <w:r>
              <w:rPr>
                <w:b w:val="0"/>
                <w:bCs w:val="0"/>
                <w:i/>
                <w:iCs/>
                <w:color w:val="646464"/>
                <w:sz w:val="21"/>
                <w:szCs w:val="21"/>
              </w:rPr>
              <w:t>(ex. : une quotité nette de frais et de droits, une quotité en nue-propriété, etc</w:t>
            </w:r>
            <w:r>
              <w:rPr>
                <w:b w:val="0"/>
                <w:bCs w:val="0"/>
                <w:color w:val="646464"/>
                <w:sz w:val="21"/>
                <w:szCs w:val="21"/>
              </w:rPr>
              <w:t>).</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r>
              <w:rPr>
                <w:color w:val="202020"/>
                <w:sz w:val="21"/>
                <w:szCs w:val="21"/>
              </w:rPr>
              <w:t>Démembrement de la clause bénéficiaire</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jc w:val="left"/>
              <w:rPr>
                <w:b w:val="0"/>
                <w:bCs w:val="0"/>
                <w:color w:val="646464"/>
                <w:sz w:val="21"/>
                <w:szCs w:val="21"/>
              </w:rPr>
            </w:pPr>
            <w:r>
              <w:rPr>
                <w:b w:val="0"/>
                <w:bCs w:val="0"/>
                <w:color w:val="646464"/>
                <w:sz w:val="21"/>
                <w:szCs w:val="21"/>
              </w:rPr>
              <w:t>Il est possible de démembrer la clause bénéficiaire et de faire naître un quasi-usufruit, la reconstitution de la pleine propriété entre les mains du nu-propriétaire se faisant en franchise de droits.</w:t>
            </w:r>
            <w:r>
              <w:rPr>
                <w:b w:val="0"/>
                <w:bCs w:val="0"/>
                <w:color w:val="646464"/>
                <w:sz w:val="21"/>
                <w:szCs w:val="21"/>
              </w:rPr>
              <w:br/>
            </w:r>
            <w:r>
              <w:rPr>
                <w:b w:val="0"/>
                <w:bCs w:val="0"/>
                <w:color w:val="646464"/>
                <w:sz w:val="21"/>
                <w:szCs w:val="21"/>
              </w:rPr>
              <w:t> </w:t>
            </w:r>
          </w:p>
        </w:tc>
      </w:tr>
    </w:tbl>
    <w:p>
      <w:pPr>
        <w:pStyle w:val="Heading3"/>
        <w:pageBreakBefore w:val="0"/>
        <w:spacing w:before="0" w:after="240" w:line="330" w:lineRule="atLeast"/>
        <w:ind w:left="0" w:right="0"/>
        <w:rPr>
          <w:b/>
          <w:bCs/>
          <w:color w:val="202020"/>
          <w:sz w:val="28"/>
          <w:szCs w:val="24"/>
        </w:rPr>
      </w:pPr>
      <w:r>
        <w:rPr>
          <w:b/>
          <w:bCs/>
          <w:color w:val="202020"/>
          <w:sz w:val="24"/>
          <w:szCs w:val="24"/>
        </w:rPr>
        <w:t>2.3.</w:t>
      </w:r>
      <w:r>
        <w:rPr>
          <w:b/>
          <w:bCs/>
          <w:color w:val="202020"/>
          <w:sz w:val="24"/>
          <w:szCs w:val="24"/>
        </w:rPr>
        <w:t xml:space="preserve"> Un placement souple, sécurisé et disponible</w:t>
      </w:r>
    </w:p>
    <w:tbl>
      <w:tblPr>
        <w:tblStyle w:val="table"/>
        <w:tblW w:w="5000" w:type="pct"/>
        <w:tblInd w:w="16" w:type="dxa"/>
        <w:shd w:val="clear" w:color="auto" w:fill="FFFFFF"/>
        <w:tblCellMar>
          <w:top w:w="0" w:type="dxa"/>
          <w:left w:w="0" w:type="dxa"/>
          <w:bottom w:w="0" w:type="dxa"/>
          <w:right w:w="0" w:type="dxa"/>
        </w:tblCellMar>
        <w:tblLook w:val="05E0"/>
      </w:tblPr>
      <w:tblGrid>
        <w:gridCol w:w="3261"/>
        <w:gridCol w:w="7610"/>
      </w:tblGrid>
      <w:tr>
        <w:tblPrEx>
          <w:tblW w:w="5000" w:type="pct"/>
          <w:tblInd w:w="16" w:type="dxa"/>
          <w:shd w:val="clear" w:color="auto" w:fill="FFFFFF"/>
          <w:tblCellMar>
            <w:top w:w="0" w:type="dxa"/>
            <w:left w:w="0" w:type="dxa"/>
            <w:bottom w:w="0" w:type="dxa"/>
            <w:right w:w="0" w:type="dxa"/>
          </w:tblCellMar>
          <w:tblLook w:val="05E0"/>
        </w:tblPrEx>
        <w:trPr>
          <w:tblHeader/>
        </w:trPr>
        <w:tc>
          <w:tcPr>
            <w:tcW w:w="1500" w:type="pct"/>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b/>
                <w:bCs/>
                <w:color w:val="202020"/>
                <w:sz w:val="21"/>
                <w:szCs w:val="21"/>
              </w:rPr>
            </w:pPr>
            <w:r>
              <w:rPr>
                <w:b/>
                <w:bCs/>
                <w:color w:val="202020"/>
                <w:sz w:val="21"/>
                <w:szCs w:val="21"/>
              </w:rPr>
              <w:t>Disponibilité du capital</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jc w:val="left"/>
              <w:rPr>
                <w:b w:val="0"/>
                <w:bCs w:val="0"/>
                <w:color w:val="646464"/>
                <w:sz w:val="21"/>
                <w:szCs w:val="21"/>
              </w:rPr>
            </w:pPr>
            <w:r>
              <w:rPr>
                <w:b w:val="0"/>
                <w:bCs w:val="0"/>
                <w:color w:val="646464"/>
                <w:sz w:val="21"/>
                <w:szCs w:val="21"/>
              </w:rPr>
              <w:t>Le souscripteur ne se démunit pas de son épargne et peut à tout moment procéder à un rachat total ou partiel ou encore à une avance.</w:t>
            </w:r>
          </w:p>
        </w:tc>
      </w:tr>
      <w:tr>
        <w:tblPrEx>
          <w:tblW w:w="5000" w:type="pct"/>
          <w:tblInd w:w="16" w:type="dxa"/>
          <w:shd w:val="clear" w:color="auto" w:fill="FFFFFF"/>
          <w:tblCellMar>
            <w:top w:w="0" w:type="dxa"/>
            <w:left w:w="0" w:type="dxa"/>
            <w:bottom w:w="0" w:type="dxa"/>
            <w:right w:w="0" w:type="dxa"/>
          </w:tblCellMar>
          <w:tblLook w:val="05E0"/>
        </w:tblPrEx>
        <w:tc>
          <w:tcPr>
            <w:tcW w:w="1500" w:type="pct"/>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r>
              <w:rPr>
                <w:color w:val="202020"/>
                <w:sz w:val="21"/>
                <w:szCs w:val="21"/>
              </w:rPr>
              <w:t>Sécurité d’investissement</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jc w:val="left"/>
              <w:rPr>
                <w:b w:val="0"/>
                <w:bCs w:val="0"/>
                <w:color w:val="646464"/>
                <w:sz w:val="21"/>
                <w:szCs w:val="21"/>
              </w:rPr>
            </w:pPr>
            <w:r>
              <w:rPr>
                <w:b w:val="0"/>
                <w:bCs w:val="0"/>
                <w:color w:val="646464"/>
                <w:sz w:val="21"/>
                <w:szCs w:val="21"/>
              </w:rPr>
              <w:t>Le contrat d’assurance-vie permet de limiter les risques de perte en capital grâce aux contrats en euros et aux produits garantis.</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r>
              <w:rPr>
                <w:color w:val="202020"/>
                <w:sz w:val="21"/>
                <w:szCs w:val="21"/>
              </w:rPr>
              <w:t>Diversification</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jc w:val="left"/>
              <w:rPr>
                <w:b w:val="0"/>
                <w:bCs w:val="0"/>
                <w:color w:val="646464"/>
                <w:sz w:val="21"/>
                <w:szCs w:val="21"/>
              </w:rPr>
            </w:pPr>
            <w:r>
              <w:rPr>
                <w:b w:val="0"/>
                <w:bCs w:val="0"/>
                <w:color w:val="646464"/>
                <w:sz w:val="21"/>
                <w:szCs w:val="21"/>
              </w:rPr>
              <w:t>La souscription d’un contrat d’assurance permet de diversifier son patrimoine grâce aux contrats en unités de compte (actions, obligations, immobiliers, etc.).</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r>
              <w:rPr>
                <w:color w:val="202020"/>
                <w:sz w:val="21"/>
                <w:szCs w:val="21"/>
              </w:rPr>
              <w:t>Cadre fiscal privilégié pour les rachats effectués en cas de vie</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linotnth-last-child1"/>
              <w:numPr>
                <w:ilvl w:val="0"/>
                <w:numId w:val="31"/>
              </w:numPr>
              <w:spacing w:before="240" w:line="300" w:lineRule="atLeast"/>
              <w:ind w:left="720" w:right="0" w:hanging="360"/>
              <w:jc w:val="left"/>
              <w:rPr>
                <w:b w:val="0"/>
                <w:bCs w:val="0"/>
                <w:color w:val="646464"/>
                <w:sz w:val="21"/>
                <w:szCs w:val="21"/>
              </w:rPr>
            </w:pPr>
            <w:r>
              <w:rPr>
                <w:b w:val="0"/>
                <w:bCs w:val="0"/>
                <w:color w:val="646464"/>
                <w:sz w:val="21"/>
                <w:szCs w:val="21"/>
              </w:rPr>
              <w:t>Les intérêts sont en principe imposés au prélèvement forfaitaire unique au taux de 7,5 % au-delà de 8 ans (*), après un abattement annuel de 4 600 € pour une personne seule ou 9 200 € pour un couple soumis à imposition commune, et sont soumis aux prélèvements sociaux.</w:t>
            </w:r>
            <w:r>
              <w:rPr>
                <w:b w:val="0"/>
                <w:bCs w:val="0"/>
                <w:color w:val="646464"/>
                <w:sz w:val="21"/>
                <w:szCs w:val="21"/>
              </w:rPr>
              <w:br/>
            </w:r>
            <w:r>
              <w:rPr>
                <w:b w:val="0"/>
                <w:bCs w:val="0"/>
                <w:color w:val="646464"/>
                <w:sz w:val="21"/>
                <w:szCs w:val="21"/>
              </w:rPr>
              <w:t xml:space="preserve">  </w:t>
            </w:r>
          </w:p>
          <w:p>
            <w:pPr>
              <w:pStyle w:val="p"/>
              <w:spacing w:before="0" w:after="240" w:line="300" w:lineRule="atLeast"/>
              <w:ind w:left="720" w:right="0"/>
              <w:jc w:val="left"/>
              <w:rPr>
                <w:b w:val="0"/>
                <w:bCs w:val="0"/>
                <w:color w:val="646464"/>
                <w:sz w:val="21"/>
                <w:szCs w:val="21"/>
              </w:rPr>
            </w:pPr>
            <w:r>
              <w:rPr>
                <w:rFonts w:ascii="Arial" w:eastAsia="Arial" w:hAnsi="Arial" w:cs="Arial"/>
                <w:b w:val="0"/>
                <w:bCs w:val="0"/>
                <w:color w:val="646464"/>
                <w:sz w:val="21"/>
                <w:szCs w:val="21"/>
              </w:rPr>
              <w:t>​</w:t>
            </w:r>
            <w:r>
              <w:rPr>
                <w:b w:val="0"/>
                <w:bCs w:val="0"/>
                <w:color w:val="646464"/>
                <w:sz w:val="21"/>
                <w:szCs w:val="21"/>
              </w:rPr>
              <w:t>(*) si le montant total des primes versées par le contribuable est inférieur à 150 000 €. Dans le cas contraire, le taux d'imposition est de 12,8 % pour les produits relatifs aux primes excédant ce seuil.</w:t>
            </w:r>
          </w:p>
          <w:p>
            <w:pPr>
              <w:numPr>
                <w:ilvl w:val="0"/>
                <w:numId w:val="31"/>
              </w:numPr>
              <w:spacing w:after="240" w:line="300" w:lineRule="atLeast"/>
              <w:ind w:left="720" w:right="0" w:hanging="360"/>
              <w:jc w:val="left"/>
              <w:rPr>
                <w:b w:val="0"/>
                <w:bCs w:val="0"/>
                <w:color w:val="646464"/>
                <w:sz w:val="21"/>
                <w:szCs w:val="21"/>
              </w:rPr>
            </w:pPr>
            <w:r>
              <w:rPr>
                <w:b w:val="0"/>
                <w:bCs w:val="0"/>
                <w:color w:val="646464"/>
                <w:sz w:val="21"/>
                <w:szCs w:val="21"/>
              </w:rPr>
              <w:t>En cas d'option globale, les intérêts sont soumis au barème progressif et aux prélèvements sociaux.</w:t>
            </w:r>
          </w:p>
        </w:tc>
      </w:tr>
    </w:tbl>
    <w:p>
      <w:pPr>
        <w:pStyle w:val="Heading3"/>
        <w:pageBreakBefore w:val="0"/>
        <w:spacing w:before="0" w:after="240" w:line="330" w:lineRule="atLeast"/>
        <w:ind w:left="0" w:right="0"/>
        <w:rPr>
          <w:b/>
          <w:bCs/>
          <w:color w:val="202020"/>
          <w:sz w:val="28"/>
          <w:szCs w:val="24"/>
        </w:rPr>
      </w:pPr>
      <w:r>
        <w:rPr>
          <w:b/>
          <w:bCs/>
          <w:color w:val="202020"/>
          <w:sz w:val="24"/>
          <w:szCs w:val="24"/>
        </w:rPr>
        <w:t>2.4.</w:t>
      </w:r>
      <w:r>
        <w:rPr>
          <w:b/>
          <w:bCs/>
          <w:color w:val="202020"/>
          <w:sz w:val="24"/>
          <w:szCs w:val="24"/>
        </w:rPr>
        <w:t xml:space="preserve"> Pourquoi souscrire plusieurs contrats ou utiliser de nouveaux contrats ?</w:t>
      </w:r>
    </w:p>
    <w:tbl>
      <w:tblPr>
        <w:tblStyle w:val="table"/>
        <w:tblW w:w="5000" w:type="pct"/>
        <w:tblInd w:w="16" w:type="dxa"/>
        <w:shd w:val="clear" w:color="auto" w:fill="FFFFFF"/>
        <w:tblCellMar>
          <w:top w:w="0" w:type="dxa"/>
          <w:left w:w="0" w:type="dxa"/>
          <w:bottom w:w="0" w:type="dxa"/>
          <w:right w:w="0" w:type="dxa"/>
        </w:tblCellMar>
        <w:tblLook w:val="05E0"/>
      </w:tblPr>
      <w:tblGrid>
        <w:gridCol w:w="3261"/>
        <w:gridCol w:w="7610"/>
      </w:tblGrid>
      <w:tr>
        <w:tblPrEx>
          <w:tblW w:w="5000" w:type="pct"/>
          <w:tblInd w:w="16" w:type="dxa"/>
          <w:shd w:val="clear" w:color="auto" w:fill="FFFFFF"/>
          <w:tblCellMar>
            <w:top w:w="0" w:type="dxa"/>
            <w:left w:w="0" w:type="dxa"/>
            <w:bottom w:w="0" w:type="dxa"/>
            <w:right w:w="0" w:type="dxa"/>
          </w:tblCellMar>
          <w:tblLook w:val="05E0"/>
        </w:tblPrEx>
        <w:trPr>
          <w:tblHeader/>
        </w:trPr>
        <w:tc>
          <w:tcPr>
            <w:tcW w:w="1500" w:type="pct"/>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b/>
                <w:bCs/>
                <w:color w:val="202020"/>
                <w:sz w:val="21"/>
                <w:szCs w:val="21"/>
              </w:rPr>
            </w:pPr>
            <w:r>
              <w:rPr>
                <w:b/>
                <w:bCs/>
                <w:color w:val="202020"/>
                <w:sz w:val="21"/>
                <w:szCs w:val="21"/>
              </w:rPr>
              <w:t>Simplifier la gestion des bénéficiaires</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jc w:val="left"/>
              <w:rPr>
                <w:b w:val="0"/>
                <w:bCs w:val="0"/>
                <w:color w:val="646464"/>
                <w:sz w:val="21"/>
                <w:szCs w:val="21"/>
              </w:rPr>
            </w:pPr>
            <w:r>
              <w:rPr>
                <w:b w:val="0"/>
                <w:bCs w:val="0"/>
                <w:color w:val="646464"/>
                <w:sz w:val="21"/>
                <w:szCs w:val="21"/>
              </w:rPr>
              <w:t>Les bénéficiaires sont désignés en fonction du profil de risque du contrat, de la fiscalité applicable (un contrat exonéré pour un bénéficiaire taxable et inversement), etc.</w:t>
            </w:r>
          </w:p>
        </w:tc>
      </w:tr>
      <w:tr>
        <w:tblPrEx>
          <w:tblW w:w="5000" w:type="pct"/>
          <w:tblInd w:w="16" w:type="dxa"/>
          <w:shd w:val="clear" w:color="auto" w:fill="FFFFFF"/>
          <w:tblCellMar>
            <w:top w:w="0" w:type="dxa"/>
            <w:left w:w="0" w:type="dxa"/>
            <w:bottom w:w="0" w:type="dxa"/>
            <w:right w:w="0" w:type="dxa"/>
          </w:tblCellMar>
          <w:tblLook w:val="05E0"/>
        </w:tblPrEx>
        <w:tc>
          <w:tcPr>
            <w:tcW w:w="1500" w:type="pct"/>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r>
              <w:rPr>
                <w:color w:val="202020"/>
                <w:sz w:val="21"/>
                <w:szCs w:val="21"/>
              </w:rPr>
              <w:t>Faciliter les renonciations partielles</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jc w:val="left"/>
              <w:rPr>
                <w:b w:val="0"/>
                <w:bCs w:val="0"/>
                <w:color w:val="646464"/>
                <w:sz w:val="21"/>
                <w:szCs w:val="21"/>
              </w:rPr>
            </w:pPr>
            <w:r>
              <w:rPr>
                <w:b w:val="0"/>
                <w:bCs w:val="0"/>
                <w:color w:val="646464"/>
                <w:sz w:val="21"/>
                <w:szCs w:val="21"/>
              </w:rPr>
              <w:t>Si le bénéficiaire en 1er rang se sent suffisamment protégé, il peut être judicieux de refuser le bénéfice d’un contrat pour permettre au bénéficiaire de second rang d’appréhender les capitaux décès.</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r>
              <w:rPr>
                <w:color w:val="202020"/>
                <w:sz w:val="21"/>
                <w:szCs w:val="21"/>
              </w:rPr>
              <w:t>Accroître la confidentialité des désignations bénéficiaires et accélérer le réglement des capitaux</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jc w:val="left"/>
              <w:rPr>
                <w:b w:val="0"/>
                <w:bCs w:val="0"/>
                <w:color w:val="646464"/>
                <w:sz w:val="21"/>
                <w:szCs w:val="21"/>
              </w:rPr>
            </w:pPr>
            <w:r>
              <w:rPr>
                <w:b w:val="0"/>
                <w:bCs w:val="0"/>
                <w:color w:val="646464"/>
                <w:sz w:val="21"/>
                <w:szCs w:val="21"/>
              </w:rPr>
              <w:t>Il peut être souhaitable que les différents bénéficiaires n’aient pas connaissance de ce que toucheront les autres. Il est alors préférable de souscrire autant de contrat que de bénéficiaires plutôt que de souscrire un contrat unique multipliant les bénéficiaires.</w:t>
            </w:r>
            <w:r>
              <w:rPr>
                <w:b w:val="0"/>
                <w:bCs w:val="0"/>
                <w:color w:val="646464"/>
                <w:sz w:val="21"/>
                <w:szCs w:val="21"/>
              </w:rPr>
              <w:br/>
            </w:r>
            <w:r>
              <w:rPr>
                <w:b w:val="0"/>
                <w:bCs w:val="0"/>
                <w:color w:val="646464"/>
                <w:sz w:val="21"/>
                <w:szCs w:val="21"/>
              </w:rPr>
              <w:t>Au moment du décès, la perception des capitaux décès sera facilitée pour les bénéficiaires les plus diligents.</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r>
              <w:rPr>
                <w:color w:val="202020"/>
                <w:sz w:val="21"/>
                <w:szCs w:val="21"/>
              </w:rPr>
              <w:t> Optimiser l'article 757 B du CGI</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jc w:val="left"/>
              <w:rPr>
                <w:b w:val="0"/>
                <w:bCs w:val="0"/>
                <w:color w:val="646464"/>
                <w:sz w:val="21"/>
                <w:szCs w:val="21"/>
              </w:rPr>
            </w:pPr>
            <w:r>
              <w:rPr>
                <w:b w:val="0"/>
                <w:bCs w:val="0"/>
                <w:color w:val="646464"/>
                <w:sz w:val="21"/>
                <w:szCs w:val="21"/>
              </w:rPr>
              <w:t>Si un rachat partiel est opéré sur un contrat ouvert après 70 ans, ce rachat sera imputé en priorité sur les gains du contrat qui auraient été totalement exonérés de droits de succession si aucun retrait n’avait été effectué.</w:t>
            </w:r>
            <w:r>
              <w:rPr>
                <w:b w:val="0"/>
                <w:bCs w:val="0"/>
                <w:color w:val="646464"/>
                <w:sz w:val="21"/>
                <w:szCs w:val="21"/>
              </w:rPr>
              <w:br/>
            </w:r>
            <w:r>
              <w:rPr>
                <w:b w:val="0"/>
                <w:bCs w:val="0"/>
                <w:color w:val="646464"/>
                <w:sz w:val="21"/>
                <w:szCs w:val="21"/>
              </w:rPr>
              <w:t>Il est donc conseillé, au-delà de 70 ans, de détenir plusieurs contrats d’assurance vie et d’en affecter un aux rachats partiels.</w:t>
            </w:r>
          </w:p>
        </w:tc>
      </w:tr>
    </w:tbl>
    <w:p>
      <w:pPr>
        <w:pStyle w:val="Heading2"/>
        <w:pageBreakBefore w:val="0"/>
        <w:spacing w:before="480" w:after="240" w:line="360" w:lineRule="atLeast"/>
        <w:ind w:left="0" w:right="0"/>
        <w:rPr>
          <w:b/>
          <w:bCs/>
          <w:caps w:val="0"/>
          <w:color w:val="202020"/>
          <w:sz w:val="40"/>
          <w:szCs w:val="27"/>
        </w:rPr>
      </w:pPr>
      <w:r>
        <w:rPr>
          <w:b/>
          <w:bCs/>
          <w:caps w:val="0"/>
          <w:color w:val="202020"/>
          <w:sz w:val="27"/>
          <w:szCs w:val="27"/>
        </w:rPr>
        <w:t>3.</w:t>
      </w:r>
      <w:r>
        <w:rPr>
          <w:b/>
          <w:bCs/>
          <w:caps w:val="0"/>
          <w:color w:val="202020"/>
          <w:sz w:val="27"/>
          <w:szCs w:val="27"/>
        </w:rPr>
        <w:t xml:space="preserve"> Focus stratégie</w:t>
      </w:r>
    </w:p>
    <w:p>
      <w:pPr>
        <w:pStyle w:val="Heading3"/>
        <w:pageBreakBefore w:val="0"/>
        <w:spacing w:before="240" w:after="240" w:line="330" w:lineRule="atLeast"/>
        <w:ind w:left="0" w:right="0"/>
        <w:rPr>
          <w:b/>
          <w:bCs/>
          <w:color w:val="202020"/>
          <w:sz w:val="28"/>
          <w:szCs w:val="24"/>
        </w:rPr>
      </w:pPr>
      <w:r>
        <w:rPr>
          <w:b/>
          <w:bCs/>
          <w:color w:val="202020"/>
          <w:sz w:val="24"/>
          <w:szCs w:val="24"/>
        </w:rPr>
        <w:t>3.1.</w:t>
      </w:r>
      <w:r>
        <w:rPr>
          <w:b/>
          <w:bCs/>
          <w:color w:val="202020"/>
          <w:sz w:val="24"/>
          <w:szCs w:val="24"/>
        </w:rPr>
        <w:t xml:space="preserve"> Procurer des liquidités au bénéficiaire de son choix pour le financement des droits de succession ou le règlement d'une soulte</w:t>
      </w:r>
    </w:p>
    <w:p>
      <w:pPr>
        <w:pStyle w:val="p"/>
        <w:spacing w:before="0" w:after="180" w:line="330" w:lineRule="atLeast"/>
        <w:ind w:left="0" w:right="0"/>
        <w:rPr>
          <w:color w:val="646464"/>
          <w:sz w:val="24"/>
          <w:szCs w:val="24"/>
        </w:rPr>
      </w:pPr>
      <w:r>
        <w:rPr>
          <w:color w:val="646464"/>
          <w:sz w:val="24"/>
          <w:szCs w:val="24"/>
        </w:rPr>
        <w:t xml:space="preserve">Le contrat d’assurance-vie peut être utilisé pour </w:t>
      </w:r>
      <w:r>
        <w:rPr>
          <w:rStyle w:val="pspannotpucenotfd-update"/>
          <w:color w:val="646464"/>
          <w:sz w:val="24"/>
          <w:szCs w:val="24"/>
          <w:u w:val="single" w:color="646464"/>
        </w:rPr>
        <w:t>transmettre des liquidités à une personne déterminée</w:t>
      </w:r>
      <w:r>
        <w:rPr>
          <w:color w:val="646464"/>
          <w:sz w:val="24"/>
          <w:szCs w:val="24"/>
        </w:rPr>
        <w:t xml:space="preserve"> afin de lui permettre de :</w:t>
      </w:r>
    </w:p>
    <w:p>
      <w:pPr>
        <w:pStyle w:val="linotnth-last-child1"/>
        <w:numPr>
          <w:ilvl w:val="0"/>
          <w:numId w:val="32"/>
        </w:numPr>
        <w:spacing w:before="240" w:after="240" w:line="330" w:lineRule="atLeast"/>
        <w:ind w:left="720" w:right="0" w:hanging="360"/>
        <w:jc w:val="left"/>
        <w:rPr>
          <w:color w:val="646464"/>
          <w:sz w:val="24"/>
          <w:szCs w:val="24"/>
        </w:rPr>
      </w:pPr>
      <w:r>
        <w:rPr>
          <w:color w:val="646464"/>
          <w:sz w:val="24"/>
          <w:szCs w:val="24"/>
          <w:u w:val="single" w:color="646464"/>
        </w:rPr>
        <w:t>régler les droits de succession</w:t>
      </w:r>
      <w:r>
        <w:rPr>
          <w:color w:val="646464"/>
          <w:sz w:val="24"/>
          <w:szCs w:val="24"/>
        </w:rPr>
        <w:t xml:space="preserve"> dus par elle dans l’hypothèse d’une succession non liquide si elle-même n’a pas une surface financière suffisante ;</w:t>
      </w:r>
    </w:p>
    <w:p>
      <w:pPr>
        <w:numPr>
          <w:ilvl w:val="0"/>
          <w:numId w:val="32"/>
        </w:numPr>
        <w:spacing w:after="240" w:line="330" w:lineRule="atLeast"/>
        <w:ind w:left="720" w:right="0" w:hanging="360"/>
        <w:jc w:val="left"/>
        <w:rPr>
          <w:color w:val="646464"/>
          <w:sz w:val="24"/>
          <w:szCs w:val="24"/>
        </w:rPr>
      </w:pPr>
      <w:r>
        <w:rPr>
          <w:color w:val="646464"/>
          <w:sz w:val="24"/>
          <w:szCs w:val="24"/>
          <w:u w:val="single" w:color="646464"/>
        </w:rPr>
        <w:t>faciliter le règlement d’une soulte lors du partage</w:t>
      </w:r>
      <w:r>
        <w:rPr>
          <w:color w:val="646464"/>
          <w:sz w:val="24"/>
          <w:szCs w:val="24"/>
        </w:rPr>
        <w:t xml:space="preserve"> quand par exemple il est consenti un legs à cette personne portant sur un bien d’une valeur importante sans que les autres héritiers ne disposent de biens équivalents dans la succession (par exemple : transmission d’une entreprise ou d’une propriété familiale au profit d’un seul enfant).</w:t>
      </w:r>
    </w:p>
    <w:p>
      <w:pPr>
        <w:pStyle w:val="Heading3"/>
        <w:pageBreakBefore w:val="0"/>
        <w:spacing w:before="0" w:after="240" w:line="330" w:lineRule="atLeast"/>
        <w:ind w:left="0" w:right="0"/>
        <w:rPr>
          <w:b/>
          <w:bCs/>
          <w:color w:val="202020"/>
          <w:sz w:val="28"/>
          <w:szCs w:val="24"/>
        </w:rPr>
      </w:pPr>
      <w:r>
        <w:rPr>
          <w:b/>
          <w:bCs/>
          <w:color w:val="202020"/>
          <w:sz w:val="24"/>
          <w:szCs w:val="24"/>
        </w:rPr>
        <w:t>3.2.</w:t>
      </w:r>
      <w:r>
        <w:rPr>
          <w:b/>
          <w:bCs/>
          <w:color w:val="202020"/>
          <w:sz w:val="24"/>
          <w:szCs w:val="24"/>
        </w:rPr>
        <w:t xml:space="preserve"> Le démembrement de la clause bénéficiaire pour à la fois protéger et transmettre</w:t>
      </w:r>
    </w:p>
    <w:p>
      <w:pPr>
        <w:pStyle w:val="p"/>
        <w:spacing w:before="0" w:after="180" w:line="330" w:lineRule="atLeast"/>
        <w:ind w:left="0" w:right="0"/>
        <w:rPr>
          <w:color w:val="646464"/>
          <w:sz w:val="24"/>
          <w:szCs w:val="24"/>
        </w:rPr>
      </w:pPr>
      <w:r>
        <w:rPr>
          <w:color w:val="646464"/>
          <w:sz w:val="24"/>
          <w:szCs w:val="24"/>
        </w:rPr>
        <w:t>Le démembrement de la clause bénéficiaire permet de conférer les capitaux au bénéficiaire en usufruit à charge pour lui de les restituer au nu-propriétaire à son décès.</w:t>
      </w:r>
    </w:p>
    <w:p>
      <w:pPr>
        <w:pStyle w:val="p"/>
        <w:spacing w:before="0" w:after="180" w:line="330" w:lineRule="atLeast"/>
        <w:ind w:left="0" w:right="0"/>
        <w:rPr>
          <w:color w:val="646464"/>
          <w:sz w:val="24"/>
          <w:szCs w:val="24"/>
        </w:rPr>
      </w:pPr>
      <w:r>
        <w:rPr>
          <w:color w:val="646464"/>
          <w:sz w:val="24"/>
          <w:szCs w:val="24"/>
          <w:u w:val="single" w:color="646464"/>
        </w:rPr>
        <w:t>Il est donc possible de désigner un bénéficiaire en usufruit et un autre bénéficiaire en nue-propriété, ce qui  permet à la fois de protéger le conjoint ou toute autre personne, tout en préparant la transmission du patrimoine aux enfants</w:t>
      </w:r>
      <w:r>
        <w:rPr>
          <w:color w:val="646464"/>
          <w:sz w:val="24"/>
          <w:szCs w:val="24"/>
        </w:rPr>
        <w:t>.</w:t>
      </w:r>
    </w:p>
    <w:p>
      <w:pPr>
        <w:pStyle w:val="fd-document-box-blackfd-document-box-title"/>
        <w:pageBreakBefore w:val="0"/>
        <w:pBdr>
          <w:top w:val="none" w:sz="0" w:space="12" w:color="auto"/>
          <w:left w:val="none" w:sz="0" w:space="24" w:color="auto"/>
          <w:bottom w:val="none" w:sz="0" w:space="0" w:color="auto"/>
          <w:right w:val="none" w:sz="0" w:space="24" w:color="auto"/>
        </w:pBdr>
        <w:shd w:val="clear" w:color="auto" w:fill="F5F5F5"/>
        <w:spacing w:before="0" w:after="240" w:line="240" w:lineRule="atLeast"/>
        <w:ind w:left="540" w:right="495"/>
        <w:outlineLvl w:val="4"/>
        <w:rPr>
          <w:b/>
          <w:bCs/>
          <w:color w:val="202020"/>
          <w:sz w:val="18"/>
          <w:szCs w:val="18"/>
        </w:rPr>
      </w:pPr>
      <w:r>
        <w:rPr>
          <w:b/>
          <w:bCs/>
          <w:color w:val="202020"/>
          <w:sz w:val="18"/>
          <w:szCs w:val="18"/>
        </w:rPr>
        <w:t>Exemples :</w:t>
      </w:r>
    </w:p>
    <w:p>
      <w:pPr>
        <w:pStyle w:val="linotnth-last-child1"/>
        <w:numPr>
          <w:ilvl w:val="0"/>
          <w:numId w:val="33"/>
        </w:numPr>
        <w:shd w:val="clear" w:color="auto" w:fill="F5F5F5"/>
        <w:spacing w:before="240" w:after="240" w:line="300" w:lineRule="atLeast"/>
        <w:ind w:left="540" w:right="495" w:hanging="360"/>
        <w:jc w:val="left"/>
        <w:rPr>
          <w:color w:val="646464"/>
          <w:sz w:val="21"/>
          <w:szCs w:val="21"/>
        </w:rPr>
      </w:pPr>
      <w:r>
        <w:rPr>
          <w:color w:val="646464"/>
          <w:sz w:val="21"/>
          <w:szCs w:val="21"/>
        </w:rPr>
        <w:t>Conjoint  bénéficiaire en usufruit, enfants bénéficiaires en nue-propriété</w:t>
      </w:r>
    </w:p>
    <w:p>
      <w:pPr>
        <w:pStyle w:val="linotnth-last-child1"/>
        <w:numPr>
          <w:ilvl w:val="0"/>
          <w:numId w:val="33"/>
        </w:numPr>
        <w:shd w:val="clear" w:color="auto" w:fill="F5F5F5"/>
        <w:spacing w:after="240" w:line="300" w:lineRule="atLeast"/>
        <w:ind w:left="540" w:right="495" w:hanging="360"/>
        <w:jc w:val="left"/>
        <w:rPr>
          <w:color w:val="646464"/>
          <w:sz w:val="21"/>
          <w:szCs w:val="21"/>
        </w:rPr>
      </w:pPr>
      <w:r>
        <w:rPr>
          <w:color w:val="646464"/>
          <w:sz w:val="21"/>
          <w:szCs w:val="21"/>
        </w:rPr>
        <w:t>Enfant bénéficiaire en usufruit, petits-enfants bénéficiaires en nue-propriété</w:t>
      </w:r>
    </w:p>
    <w:p>
      <w:pPr>
        <w:pStyle w:val="linotnth-last-child1"/>
        <w:numPr>
          <w:ilvl w:val="0"/>
          <w:numId w:val="33"/>
        </w:numPr>
        <w:shd w:val="clear" w:color="auto" w:fill="F5F5F5"/>
        <w:spacing w:after="240" w:line="300" w:lineRule="atLeast"/>
        <w:ind w:left="540" w:right="495" w:hanging="360"/>
        <w:jc w:val="left"/>
        <w:rPr>
          <w:color w:val="646464"/>
          <w:sz w:val="21"/>
          <w:szCs w:val="21"/>
        </w:rPr>
      </w:pPr>
      <w:r>
        <w:rPr>
          <w:color w:val="646464"/>
          <w:sz w:val="21"/>
          <w:szCs w:val="21"/>
        </w:rPr>
        <w:t>Enfant handicapé bénéficiaire en usufruit, ses frères et sœurs bénéficiaires en nue-propriété</w:t>
      </w:r>
    </w:p>
    <w:p>
      <w:pPr>
        <w:numPr>
          <w:ilvl w:val="0"/>
          <w:numId w:val="33"/>
        </w:numPr>
        <w:shd w:val="clear" w:color="auto" w:fill="F5F5F5"/>
        <w:spacing w:after="600" w:line="300" w:lineRule="atLeast"/>
        <w:ind w:left="540" w:right="495" w:hanging="360"/>
        <w:jc w:val="left"/>
        <w:rPr>
          <w:color w:val="646464"/>
          <w:sz w:val="21"/>
          <w:szCs w:val="21"/>
        </w:rPr>
      </w:pPr>
      <w:r>
        <w:rPr>
          <w:color w:val="646464"/>
          <w:sz w:val="21"/>
          <w:szCs w:val="21"/>
        </w:rPr>
        <w:t>Etc..</w:t>
      </w:r>
    </w:p>
    <w:p>
      <w:pPr>
        <w:pStyle w:val="fd-chevron-lvl1"/>
        <w:pBdr>
          <w:left w:val="none" w:sz="0" w:space="15" w:color="auto"/>
        </w:pBdr>
        <w:spacing w:before="0" w:after="180" w:line="330" w:lineRule="atLeast"/>
        <w:ind w:left="300" w:right="0"/>
        <w:rPr>
          <w:b w:val="0"/>
          <w:bCs w:val="0"/>
          <w:color w:val="202020"/>
          <w:sz w:val="24"/>
          <w:szCs w:val="24"/>
        </w:rPr>
      </w:pPr>
      <w:r>
        <w:rPr>
          <w:b w:val="0"/>
          <w:bCs w:val="0"/>
          <w:color w:val="202020"/>
          <w:sz w:val="24"/>
          <w:szCs w:val="24"/>
        </w:rPr>
        <w:t>Une clause bénéficiaire démembrée entraîne automatiquement l'ouverture d'un quasi-usufruit au décès de l'assuré</w:t>
      </w:r>
    </w:p>
    <w:p>
      <w:pPr>
        <w:pStyle w:val="p"/>
        <w:spacing w:before="0" w:after="180" w:line="330" w:lineRule="atLeast"/>
        <w:ind w:left="0" w:right="0"/>
        <w:rPr>
          <w:color w:val="646464"/>
          <w:sz w:val="24"/>
          <w:szCs w:val="24"/>
        </w:rPr>
      </w:pPr>
      <w:r>
        <w:rPr>
          <w:color w:val="646464"/>
          <w:sz w:val="24"/>
          <w:szCs w:val="24"/>
        </w:rPr>
        <w:t>L’usufruitier a la libre disposition des fonds versés à charge de restituer à son décès, un actif de valeur équivalente. Les nus-propriétaires ont une créance de restitution contre la succession de l’usufruitier.</w:t>
      </w:r>
    </w:p>
    <w:p>
      <w:pPr>
        <w:pStyle w:val="fd-document-box-redfd-document-box-title"/>
        <w:pageBreakBefore w:val="0"/>
        <w:pBdr>
          <w:top w:val="none" w:sz="0" w:space="12" w:color="auto"/>
          <w:left w:val="none" w:sz="0" w:space="24" w:color="auto"/>
          <w:bottom w:val="none" w:sz="0" w:space="0" w:color="auto"/>
          <w:right w:val="none" w:sz="0" w:space="24" w:color="auto"/>
        </w:pBdr>
        <w:shd w:val="clear" w:color="auto" w:fill="F5F5F5"/>
        <w:spacing w:before="0" w:after="240" w:line="240" w:lineRule="atLeast"/>
        <w:ind w:left="540" w:right="495"/>
        <w:outlineLvl w:val="4"/>
        <w:rPr>
          <w:b/>
          <w:bCs/>
          <w:color w:val="FF6E6E"/>
          <w:sz w:val="18"/>
          <w:szCs w:val="18"/>
        </w:rPr>
      </w:pPr>
      <w:r>
        <w:rPr>
          <w:b/>
          <w:bCs/>
          <w:color w:val="FF6E6E"/>
          <w:sz w:val="18"/>
          <w:szCs w:val="18"/>
        </w:rPr>
        <w:t>Point d'alerte : attention à la rédaction de la clause démembrée </w:t>
      </w:r>
    </w:p>
    <w:p>
      <w:pPr>
        <w:pStyle w:val="linotnth-last-child1"/>
        <w:numPr>
          <w:ilvl w:val="0"/>
          <w:numId w:val="34"/>
        </w:numPr>
        <w:shd w:val="clear" w:color="auto" w:fill="F5F5F5"/>
        <w:spacing w:before="240" w:after="240" w:line="300" w:lineRule="atLeast"/>
        <w:ind w:left="540" w:right="495" w:hanging="360"/>
        <w:jc w:val="left"/>
        <w:rPr>
          <w:color w:val="646464"/>
          <w:sz w:val="21"/>
          <w:szCs w:val="21"/>
        </w:rPr>
      </w:pPr>
      <w:r>
        <w:rPr>
          <w:color w:val="646464"/>
          <w:sz w:val="21"/>
          <w:szCs w:val="21"/>
        </w:rPr>
        <w:t>Prévoir qu’en cas de décès de l’usufruitier les droits des bénéficiaires en nue-propriété s’exerceront en pleine propriété.</w:t>
      </w:r>
    </w:p>
    <w:p>
      <w:pPr>
        <w:pStyle w:val="linotnth-last-child1"/>
        <w:numPr>
          <w:ilvl w:val="0"/>
          <w:numId w:val="34"/>
        </w:numPr>
        <w:shd w:val="clear" w:color="auto" w:fill="F5F5F5"/>
        <w:spacing w:after="240" w:line="300" w:lineRule="atLeast"/>
        <w:ind w:left="540" w:right="495" w:hanging="360"/>
        <w:jc w:val="left"/>
        <w:rPr>
          <w:color w:val="646464"/>
          <w:sz w:val="21"/>
          <w:szCs w:val="21"/>
        </w:rPr>
      </w:pPr>
      <w:r>
        <w:rPr>
          <w:color w:val="646464"/>
          <w:sz w:val="21"/>
          <w:szCs w:val="21"/>
        </w:rPr>
        <w:t>Ne pas prévoir d’usufruit réversible.</w:t>
      </w:r>
    </w:p>
    <w:p>
      <w:pPr>
        <w:numPr>
          <w:ilvl w:val="0"/>
          <w:numId w:val="34"/>
        </w:numPr>
        <w:shd w:val="clear" w:color="auto" w:fill="F5F5F5"/>
        <w:spacing w:after="240" w:line="300" w:lineRule="atLeast"/>
        <w:ind w:left="540" w:right="495" w:hanging="360"/>
        <w:jc w:val="left"/>
        <w:rPr>
          <w:color w:val="646464"/>
          <w:sz w:val="21"/>
          <w:szCs w:val="21"/>
        </w:rPr>
      </w:pPr>
      <w:r>
        <w:rPr>
          <w:color w:val="646464"/>
          <w:sz w:val="21"/>
          <w:szCs w:val="21"/>
        </w:rPr>
        <w:t>Une rédaction adaptée de la clause bénéficiaire permet de renforcer ou d’atténuer la protection du nu-propriétaire.</w:t>
      </w:r>
    </w:p>
    <w:p>
      <w:pPr>
        <w:pStyle w:val="fd-document-box-redfd-document-box-descriptionpnth-last-child1"/>
        <w:pBdr>
          <w:top w:val="none" w:sz="0" w:space="0" w:color="auto"/>
          <w:left w:val="none" w:sz="0" w:space="24" w:color="auto"/>
          <w:bottom w:val="none" w:sz="0" w:space="12" w:color="auto"/>
          <w:right w:val="none" w:sz="0" w:space="24" w:color="auto"/>
        </w:pBdr>
        <w:shd w:val="clear" w:color="auto" w:fill="F5F5F5"/>
        <w:spacing w:before="0" w:after="540" w:line="300" w:lineRule="atLeast"/>
        <w:ind w:left="540" w:right="495"/>
        <w:rPr>
          <w:color w:val="646464"/>
          <w:sz w:val="21"/>
          <w:szCs w:val="21"/>
        </w:rPr>
      </w:pPr>
      <w:r>
        <w:rPr>
          <w:color w:val="646464"/>
          <w:sz w:val="21"/>
          <w:szCs w:val="21"/>
          <w:u w:val="single" w:color="646464"/>
        </w:rPr>
        <w:t>Exemple</w:t>
      </w:r>
      <w:r>
        <w:rPr>
          <w:color w:val="646464"/>
          <w:sz w:val="21"/>
          <w:szCs w:val="21"/>
        </w:rPr>
        <w:t xml:space="preserve"> : dispense de caution et de remploi par l’usufruitier.</w:t>
      </w:r>
    </w:p>
    <w:p>
      <w:pPr>
        <w:pStyle w:val="p"/>
        <w:spacing w:before="0" w:after="180" w:line="330" w:lineRule="atLeast"/>
        <w:ind w:left="0" w:right="0"/>
        <w:rPr>
          <w:color w:val="646464"/>
          <w:sz w:val="24"/>
          <w:szCs w:val="24"/>
        </w:rPr>
      </w:pPr>
      <w:r>
        <w:rPr>
          <w:rStyle w:val="pspannotpucenotfd-update"/>
          <w:color w:val="646464"/>
          <w:sz w:val="24"/>
          <w:szCs w:val="24"/>
          <w:u w:val="single" w:color="646464"/>
        </w:rPr>
        <w:t>Pour faire obstacle au quasi-usufruit automatique, il est possible de prévoir une obligation de remploi.</w:t>
      </w:r>
      <w:r>
        <w:rPr>
          <w:rStyle w:val="pspannotpucenotfd-update"/>
          <w:color w:val="646464"/>
          <w:sz w:val="24"/>
          <w:szCs w:val="24"/>
          <w:u w:val="single" w:color="646464"/>
        </w:rPr>
        <w:br/>
      </w:r>
      <w:r>
        <w:rPr>
          <w:color w:val="646464"/>
          <w:sz w:val="24"/>
          <w:szCs w:val="24"/>
        </w:rPr>
        <w:t>Le capital devra être réemployé par l’usufruitier et le nu-propriétaire dans un bien qui sera démembré. L’usufruitier aura droit aux revenus générés par ce nouveau bien et le nu-propriétaire sera assuré de pouvoir appréhender son capital au décès de l’usufruitier.</w:t>
      </w:r>
    </w:p>
    <w:p>
      <w:pPr>
        <w:pStyle w:val="fd-document-box-redfd-document-box-title"/>
        <w:pageBreakBefore w:val="0"/>
        <w:pBdr>
          <w:top w:val="none" w:sz="0" w:space="12" w:color="auto"/>
          <w:left w:val="none" w:sz="0" w:space="24" w:color="auto"/>
          <w:bottom w:val="none" w:sz="0" w:space="0" w:color="auto"/>
          <w:right w:val="none" w:sz="0" w:space="24" w:color="auto"/>
        </w:pBdr>
        <w:shd w:val="clear" w:color="auto" w:fill="F5F5F5"/>
        <w:spacing w:before="0" w:after="240" w:line="240" w:lineRule="atLeast"/>
        <w:ind w:left="540" w:right="495"/>
        <w:outlineLvl w:val="4"/>
        <w:rPr>
          <w:b/>
          <w:bCs/>
          <w:color w:val="FF6E6E"/>
          <w:sz w:val="18"/>
          <w:szCs w:val="18"/>
        </w:rPr>
      </w:pPr>
      <w:r>
        <w:rPr>
          <w:b/>
          <w:bCs/>
          <w:color w:val="FF6E6E"/>
          <w:sz w:val="18"/>
          <w:szCs w:val="18"/>
        </w:rPr>
        <w:t>Points d'alerte sur l’emploi des capitaux reçus par le quasi-usufruitier</w:t>
      </w:r>
    </w:p>
    <w:p>
      <w:pPr>
        <w:pStyle w:val="fd-document-box-redfd-document-box-descriptionany"/>
        <w:pBdr>
          <w:top w:val="none" w:sz="0" w:space="0" w:color="auto"/>
          <w:left w:val="none" w:sz="0" w:space="24" w:color="auto"/>
          <w:bottom w:val="none" w:sz="0" w:space="0" w:color="auto"/>
          <w:right w:val="none" w:sz="0" w:space="24" w:color="auto"/>
        </w:pBdr>
        <w:shd w:val="clear" w:color="auto" w:fill="F5F5F5"/>
        <w:spacing w:before="0" w:after="180" w:line="300" w:lineRule="atLeast"/>
        <w:ind w:left="540" w:right="495"/>
        <w:rPr>
          <w:color w:val="646464"/>
          <w:sz w:val="21"/>
          <w:szCs w:val="21"/>
        </w:rPr>
      </w:pPr>
      <w:r>
        <w:rPr>
          <w:color w:val="646464"/>
          <w:sz w:val="21"/>
          <w:szCs w:val="21"/>
          <w:u w:val="single" w:color="646464"/>
        </w:rPr>
        <w:t>Le quasi-usufruitier peut choisir d'employer les capitaux dans la souscription d’un contrat de capitalisation.</w:t>
      </w:r>
      <w:r>
        <w:rPr>
          <w:color w:val="646464"/>
          <w:sz w:val="21"/>
          <w:szCs w:val="21"/>
          <w:u w:val="single" w:color="646464"/>
        </w:rPr>
        <w:br/>
      </w:r>
      <w:r>
        <w:rPr>
          <w:color w:val="646464"/>
          <w:sz w:val="21"/>
          <w:szCs w:val="21"/>
        </w:rPr>
        <w:t>Si la succession du quasi-usufruitier ne comprend pas assez de biens autres que le contrat de capitalisation pour régler la créance, les plus-values devront être taxées au moment du règlement de la créance de restitution par le biais du contrat de capitalisation. </w:t>
      </w:r>
      <w:r>
        <w:rPr>
          <w:color w:val="646464"/>
          <w:sz w:val="21"/>
          <w:szCs w:val="21"/>
        </w:rPr>
        <w:br/>
      </w:r>
      <w:r>
        <w:rPr>
          <w:color w:val="646464"/>
          <w:sz w:val="21"/>
          <w:szCs w:val="21"/>
        </w:rPr>
        <w:t>En effet, deux cas de figure seront possibles :</w:t>
      </w:r>
    </w:p>
    <w:p>
      <w:pPr>
        <w:pStyle w:val="linotnth-last-child1"/>
        <w:numPr>
          <w:ilvl w:val="0"/>
          <w:numId w:val="35"/>
        </w:numPr>
        <w:shd w:val="clear" w:color="auto" w:fill="F5F5F5"/>
        <w:spacing w:before="240" w:after="240" w:line="300" w:lineRule="atLeast"/>
        <w:ind w:left="540" w:right="495" w:hanging="360"/>
        <w:jc w:val="left"/>
        <w:rPr>
          <w:color w:val="646464"/>
          <w:sz w:val="21"/>
          <w:szCs w:val="21"/>
        </w:rPr>
      </w:pPr>
      <w:r>
        <w:rPr>
          <w:color w:val="646464"/>
          <w:sz w:val="21"/>
          <w:szCs w:val="21"/>
        </w:rPr>
        <w:t>racheter le contrat pour procéder à ce règlement. </w:t>
      </w:r>
    </w:p>
    <w:p>
      <w:pPr>
        <w:numPr>
          <w:ilvl w:val="0"/>
          <w:numId w:val="35"/>
        </w:numPr>
        <w:shd w:val="clear" w:color="auto" w:fill="F5F5F5"/>
        <w:spacing w:after="240" w:line="300" w:lineRule="atLeast"/>
        <w:ind w:left="540" w:right="495" w:hanging="360"/>
        <w:jc w:val="left"/>
        <w:rPr>
          <w:color w:val="646464"/>
          <w:sz w:val="21"/>
          <w:szCs w:val="21"/>
        </w:rPr>
      </w:pPr>
      <w:r>
        <w:rPr>
          <w:color w:val="646464"/>
          <w:sz w:val="21"/>
          <w:szCs w:val="21"/>
        </w:rPr>
        <w:t>règlement en nature avec attribution du contrat de capitalisation. Cette opération est assimilée à une cession et entrainera l'imposition des plus-values latentes, mais le contrat perdurera.</w:t>
      </w:r>
    </w:p>
    <w:p>
      <w:pPr>
        <w:pStyle w:val="fd-document-box-redfd-document-box-descriptionpnth-last-child1"/>
        <w:pBdr>
          <w:top w:val="none" w:sz="0" w:space="0" w:color="auto"/>
          <w:left w:val="none" w:sz="0" w:space="24" w:color="auto"/>
          <w:bottom w:val="none" w:sz="0" w:space="12" w:color="auto"/>
          <w:right w:val="none" w:sz="0" w:space="24" w:color="auto"/>
        </w:pBdr>
        <w:shd w:val="clear" w:color="auto" w:fill="F5F5F5"/>
        <w:spacing w:before="0" w:after="540" w:line="300" w:lineRule="atLeast"/>
        <w:ind w:left="540" w:right="495"/>
        <w:rPr>
          <w:color w:val="646464"/>
          <w:sz w:val="21"/>
          <w:szCs w:val="21"/>
        </w:rPr>
      </w:pPr>
      <w:r>
        <w:rPr>
          <w:color w:val="646464"/>
          <w:sz w:val="21"/>
          <w:szCs w:val="21"/>
          <w:u w:val="single" w:color="646464"/>
        </w:rPr>
        <w:t>Le quasi-usufruitier peut également souscrire un contrat d’assurance-vie</w:t>
      </w:r>
      <w:r>
        <w:rPr>
          <w:color w:val="646464"/>
          <w:sz w:val="21"/>
          <w:szCs w:val="21"/>
        </w:rPr>
        <w:t xml:space="preserve"> et désigner le(s) titulaire(s) de la créance de restitution à titre onéreux.</w:t>
      </w:r>
      <w:r>
        <w:rPr>
          <w:color w:val="646464"/>
          <w:sz w:val="21"/>
          <w:szCs w:val="21"/>
        </w:rPr>
        <w:br/>
      </w:r>
      <w:r>
        <w:rPr>
          <w:color w:val="646464"/>
          <w:sz w:val="21"/>
          <w:szCs w:val="21"/>
        </w:rPr>
        <w:t>Au décès de l’assuré, le capital sera versé au bénéficiaire à titre onéreux pour éteindre la dette du souscripteur et le surplus sera versé à des bénéficiaires à titre gratuit.</w:t>
      </w:r>
      <w:r>
        <w:rPr>
          <w:color w:val="646464"/>
          <w:sz w:val="21"/>
          <w:szCs w:val="21"/>
        </w:rPr>
        <w:fldChar w:fldCharType="begin"/>
      </w:r>
      <w:r>
        <w:rPr>
          <w:color w:val="646464"/>
          <w:sz w:val="21"/>
          <w:szCs w:val="21"/>
        </w:rPr>
        <w:instrText xml:space="preserve"> HYPERLINK "https://api.fidroit.fr/document/49139" \t "_blank" </w:instrText>
      </w:r>
      <w:r>
        <w:rPr>
          <w:color w:val="646464"/>
          <w:sz w:val="21"/>
          <w:szCs w:val="21"/>
        </w:rPr>
        <w:fldChar w:fldCharType="separate"/>
      </w:r>
    </w:p>
    <w:p>
      <w:pPr>
        <w:spacing w:line="330" w:lineRule="atLeast"/>
        <w:rPr>
          <w:rStyle w:val="a"/>
          <w:color w:val="4623EB"/>
          <w:sz w:val="24"/>
          <w:szCs w:val="24"/>
        </w:rPr>
      </w:pPr>
      <w:r>
        <w:rPr>
          <w:rStyle w:val="a"/>
          <w:color w:val="4623EB"/>
          <w:sz w:val="24"/>
          <w:szCs w:val="24"/>
        </w:rPr>
        <w:t>Modèles - Assurance-vie</w:t>
      </w:r>
      <w:r>
        <w:rPr>
          <w:rStyle w:val="a"/>
          <w:color w:val="4623EB"/>
          <w:sz w:val="24"/>
          <w:szCs w:val="24"/>
        </w:rPr>
        <w:fldChar w:fldCharType="end"/>
      </w:r>
      <w:r>
        <w:rPr>
          <w:rStyle w:val="a"/>
          <w:color w:val="4623EB"/>
          <w:sz w:val="24"/>
          <w:szCs w:val="24"/>
        </w:rPr>
        <w:br/>
      </w:r>
      <w:r>
        <w:rPr>
          <w:color w:val="646464"/>
          <w:sz w:val="24"/>
          <w:szCs w:val="24"/>
        </w:rPr>
        <w:t xml:space="preserve">  </w:t>
      </w:r>
    </w:p>
    <w:p>
      <w:pPr>
        <w:pStyle w:val="fd-chevron-lvl1"/>
        <w:pBdr>
          <w:left w:val="none" w:sz="0" w:space="15" w:color="auto"/>
        </w:pBdr>
        <w:spacing w:before="0" w:after="180" w:line="330" w:lineRule="atLeast"/>
        <w:ind w:left="300" w:right="0"/>
        <w:rPr>
          <w:b w:val="0"/>
          <w:bCs w:val="0"/>
          <w:color w:val="202020"/>
          <w:sz w:val="24"/>
          <w:szCs w:val="24"/>
        </w:rPr>
      </w:pPr>
      <w:r>
        <w:rPr>
          <w:b w:val="0"/>
          <w:bCs w:val="0"/>
          <w:color w:val="202020"/>
          <w:sz w:val="24"/>
          <w:szCs w:val="24"/>
        </w:rPr>
        <w:t>Fiscalité au décès en cas de démembrement de la clause bénéficiaire</w:t>
      </w:r>
    </w:p>
    <w:p>
      <w:pPr>
        <w:pStyle w:val="p"/>
        <w:spacing w:before="0" w:after="180" w:line="330" w:lineRule="atLeast"/>
        <w:ind w:left="0" w:right="0"/>
        <w:rPr>
          <w:color w:val="646464"/>
          <w:sz w:val="24"/>
          <w:szCs w:val="24"/>
        </w:rPr>
      </w:pPr>
      <w:r>
        <w:rPr>
          <w:color w:val="646464"/>
          <w:sz w:val="24"/>
          <w:szCs w:val="24"/>
        </w:rPr>
        <w:t>Le nu-propriétaire et l’usufruitier sont considérés comme bénéficiaires au prorata de la part leur revenant dans les sommes versées déterminé selon le barème prévu à l’article 669 du CGI.</w:t>
      </w:r>
      <w:r>
        <w:rPr>
          <w:color w:val="646464"/>
          <w:sz w:val="24"/>
          <w:szCs w:val="24"/>
        </w:rPr>
        <w:br/>
      </w:r>
      <w:r>
        <w:rPr>
          <w:color w:val="646464"/>
          <w:sz w:val="24"/>
          <w:szCs w:val="24"/>
        </w:rPr>
        <w:t xml:space="preserve">En présence d'une pluralité de nus-propriétaires, </w:t>
      </w:r>
      <w:r>
        <w:rPr>
          <w:rStyle w:val="pspannotpucenotfd-update"/>
          <w:color w:val="646464"/>
          <w:sz w:val="24"/>
          <w:szCs w:val="24"/>
          <w:u w:val="single" w:color="646464"/>
        </w:rPr>
        <w:t>il y a autant d’abattements de 152 500 € qu’il y a de couples "</w:t>
      </w:r>
      <w:r>
        <w:rPr>
          <w:rStyle w:val="pspannotpucenotfd-update"/>
          <w:i/>
          <w:iCs/>
          <w:color w:val="646464"/>
          <w:sz w:val="24"/>
          <w:szCs w:val="24"/>
          <w:u w:val="single" w:color="646464"/>
        </w:rPr>
        <w:t>usufruitier-nu-propriétaire</w:t>
      </w:r>
      <w:r>
        <w:rPr>
          <w:color w:val="646464"/>
          <w:sz w:val="24"/>
          <w:szCs w:val="24"/>
        </w:rPr>
        <w:t>".</w:t>
      </w:r>
    </w:p>
    <w:p>
      <w:pPr>
        <w:pStyle w:val="fd-document-box-redfd-document-box-title"/>
        <w:pageBreakBefore w:val="0"/>
        <w:pBdr>
          <w:top w:val="single" w:sz="6" w:space="12" w:color="D6D6D6"/>
          <w:left w:val="single" w:sz="24" w:space="24" w:color="FF6E6E"/>
          <w:bottom w:val="single" w:sz="6" w:space="12" w:color="D6D6D6"/>
          <w:right w:val="single" w:sz="6" w:space="24" w:color="D6D6D6"/>
        </w:pBdr>
        <w:shd w:val="clear" w:color="auto" w:fill="F5F5F5"/>
        <w:spacing w:before="0" w:after="240" w:line="240" w:lineRule="atLeast"/>
        <w:ind w:left="540" w:right="495"/>
        <w:outlineLvl w:val="4"/>
        <w:rPr>
          <w:b/>
          <w:bCs/>
          <w:color w:val="FF6E6E"/>
          <w:sz w:val="18"/>
          <w:szCs w:val="18"/>
        </w:rPr>
      </w:pPr>
      <w:r>
        <w:rPr>
          <w:b/>
          <w:bCs/>
          <w:color w:val="FF6E6E"/>
          <w:sz w:val="18"/>
          <w:szCs w:val="18"/>
        </w:rPr>
        <w:t>Attention :</w:t>
      </w:r>
    </w:p>
    <w:p>
      <w:pPr>
        <w:pStyle w:val="fd-document-box-redfd-document-box-descriptionpnth-last-child1"/>
        <w:pBdr>
          <w:top w:val="single" w:sz="6" w:space="12" w:color="D6D6D6"/>
          <w:left w:val="single" w:sz="24" w:space="24" w:color="FF6E6E"/>
          <w:bottom w:val="single" w:sz="6" w:space="12" w:color="D6D6D6"/>
          <w:right w:val="single" w:sz="6" w:space="24" w:color="D6D6D6"/>
        </w:pBdr>
        <w:shd w:val="clear" w:color="auto" w:fill="F5F5F5"/>
        <w:spacing w:before="0" w:after="540" w:line="300" w:lineRule="atLeast"/>
        <w:ind w:left="540" w:right="495"/>
        <w:rPr>
          <w:color w:val="646464"/>
          <w:sz w:val="21"/>
          <w:szCs w:val="21"/>
        </w:rPr>
      </w:pPr>
      <w:r>
        <w:rPr>
          <w:color w:val="646464"/>
          <w:sz w:val="21"/>
          <w:szCs w:val="21"/>
        </w:rPr>
        <w:t>L’usufruitier ne peut toutefois bénéficier au total que d'un abattement maximum de 152 500 € sur l'ensemble des capitaux décès qu’il reçoit à raison de contrats d'assurance-vie du chef du décès d'un même assuré.</w:t>
      </w:r>
    </w:p>
    <w:p>
      <w:pPr>
        <w:pStyle w:val="Heading3"/>
        <w:pageBreakBefore w:val="0"/>
        <w:spacing w:before="0" w:after="240" w:line="330" w:lineRule="atLeast"/>
        <w:ind w:left="0" w:right="0"/>
        <w:rPr>
          <w:b/>
          <w:bCs/>
          <w:color w:val="202020"/>
          <w:sz w:val="28"/>
          <w:szCs w:val="24"/>
        </w:rPr>
      </w:pPr>
      <w:r>
        <w:rPr>
          <w:b/>
          <w:bCs/>
          <w:color w:val="202020"/>
          <w:sz w:val="24"/>
          <w:szCs w:val="24"/>
        </w:rPr>
        <w:t>3.3.</w:t>
      </w:r>
      <w:r>
        <w:rPr>
          <w:b/>
          <w:bCs/>
          <w:color w:val="202020"/>
          <w:sz w:val="24"/>
          <w:szCs w:val="24"/>
        </w:rPr>
        <w:t xml:space="preserve"> La souscription de plusieurs contrats</w:t>
      </w:r>
    </w:p>
    <w:p>
      <w:pPr>
        <w:pStyle w:val="p"/>
        <w:spacing w:before="0" w:after="180" w:line="330" w:lineRule="atLeast"/>
        <w:ind w:left="0" w:right="0"/>
        <w:rPr>
          <w:color w:val="646464"/>
          <w:sz w:val="24"/>
          <w:szCs w:val="24"/>
        </w:rPr>
      </w:pPr>
      <w:r>
        <w:rPr>
          <w:color w:val="646464"/>
          <w:sz w:val="24"/>
          <w:szCs w:val="24"/>
        </w:rPr>
        <w:t>Il peut être opportun de souscrire plusieurs contrats d’assurance-vie pour :</w:t>
      </w:r>
    </w:p>
    <w:p>
      <w:pPr>
        <w:pStyle w:val="linotnth-last-child1"/>
        <w:numPr>
          <w:ilvl w:val="0"/>
          <w:numId w:val="36"/>
        </w:numPr>
        <w:spacing w:before="240" w:after="240" w:line="330" w:lineRule="atLeast"/>
        <w:ind w:left="720" w:right="0" w:hanging="360"/>
        <w:jc w:val="left"/>
        <w:rPr>
          <w:color w:val="646464"/>
          <w:sz w:val="24"/>
          <w:szCs w:val="24"/>
        </w:rPr>
      </w:pPr>
      <w:r>
        <w:rPr>
          <w:color w:val="646464"/>
          <w:sz w:val="24"/>
          <w:szCs w:val="24"/>
        </w:rPr>
        <w:t>Laisser une plus grande souplesse au(x) bénéficiaire(s) dans leur acceptation ou non : plusieurs contrats souscrits au profit d’un même bénéficiaire permettront à ce dernier de renoncer seulement partiellement aux capitaux décès s’il le souhaite.</w:t>
      </w:r>
    </w:p>
    <w:p>
      <w:pPr>
        <w:pStyle w:val="linotnth-last-child1"/>
        <w:numPr>
          <w:ilvl w:val="0"/>
          <w:numId w:val="36"/>
        </w:numPr>
        <w:spacing w:after="240" w:line="330" w:lineRule="atLeast"/>
        <w:ind w:left="720" w:right="0" w:hanging="360"/>
        <w:jc w:val="left"/>
        <w:rPr>
          <w:color w:val="646464"/>
          <w:sz w:val="24"/>
          <w:szCs w:val="24"/>
        </w:rPr>
      </w:pPr>
      <w:r>
        <w:rPr>
          <w:color w:val="646464"/>
          <w:sz w:val="24"/>
          <w:szCs w:val="24"/>
        </w:rPr>
        <w:t>Faciliter la gestion des clauses bénéficiaires démembrées : cela permet de gérer plus facilement le remploi ou un quasi-usufruit selon le bénéficiaire en nue-propriété.</w:t>
      </w:r>
    </w:p>
    <w:p>
      <w:pPr>
        <w:pStyle w:val="linotnth-last-child1"/>
        <w:numPr>
          <w:ilvl w:val="0"/>
          <w:numId w:val="36"/>
        </w:numPr>
        <w:spacing w:after="240" w:line="330" w:lineRule="atLeast"/>
        <w:ind w:left="720" w:right="0" w:hanging="360"/>
        <w:jc w:val="left"/>
        <w:rPr>
          <w:color w:val="646464"/>
          <w:sz w:val="24"/>
          <w:szCs w:val="24"/>
        </w:rPr>
      </w:pPr>
      <w:r>
        <w:rPr>
          <w:color w:val="646464"/>
          <w:sz w:val="24"/>
          <w:szCs w:val="24"/>
        </w:rPr>
        <w:t>Spécialiser certains contrats : laisser capitaliser l’épargne investie sur des supports dynamiques et utiliser en cas de besoin l’épargne investie sur des supports plus sécuritaires,</w:t>
      </w:r>
      <w:r>
        <w:rPr>
          <w:color w:val="646464"/>
          <w:sz w:val="24"/>
          <w:szCs w:val="24"/>
        </w:rPr>
        <w:br/>
      </w:r>
      <w:r>
        <w:rPr>
          <w:color w:val="646464"/>
          <w:sz w:val="24"/>
          <w:szCs w:val="24"/>
        </w:rPr>
        <w:t>(Pour plus d’informations sur ce point, voir </w:t>
      </w:r>
      <w:hyperlink r:id="rId8" w:tgtFrame="_blank" w:history="1">
        <w:r>
          <w:rPr>
            <w:rStyle w:val="a"/>
            <w:color w:val="4623EB"/>
            <w:sz w:val="24"/>
            <w:szCs w:val="24"/>
          </w:rPr>
          <w:t>Assurance-vie pour obtenir des revenus complémentaires</w:t>
        </w:r>
      </w:hyperlink>
      <w:r>
        <w:rPr>
          <w:color w:val="646464"/>
          <w:sz w:val="24"/>
          <w:szCs w:val="24"/>
        </w:rPr>
        <w:t>)</w:t>
      </w:r>
    </w:p>
    <w:p>
      <w:pPr>
        <w:numPr>
          <w:ilvl w:val="0"/>
          <w:numId w:val="36"/>
        </w:numPr>
        <w:spacing w:after="240" w:line="330" w:lineRule="atLeast"/>
        <w:ind w:left="720" w:right="0" w:hanging="360"/>
        <w:jc w:val="left"/>
        <w:rPr>
          <w:color w:val="646464"/>
          <w:sz w:val="24"/>
          <w:szCs w:val="24"/>
        </w:rPr>
      </w:pPr>
      <w:r>
        <w:rPr>
          <w:color w:val="646464"/>
          <w:sz w:val="24"/>
          <w:szCs w:val="24"/>
        </w:rPr>
        <w:t>Ne pas mélanger plusieurs régimes fiscaux (fiscalité en cas de vie et en cas de décès).</w:t>
      </w:r>
      <w:r>
        <w:rPr>
          <w:color w:val="646464"/>
          <w:sz w:val="24"/>
          <w:szCs w:val="24"/>
        </w:rPr>
        <w:br/>
      </w:r>
      <w:r>
        <w:rPr>
          <w:color w:val="646464"/>
          <w:sz w:val="24"/>
          <w:szCs w:val="24"/>
        </w:rPr>
        <w:t>(Pour plus d’informations sur ce point, voir </w:t>
      </w:r>
      <w:hyperlink r:id="rId8" w:tgtFrame="_blank" w:history="1">
        <w:r>
          <w:rPr>
            <w:rStyle w:val="a"/>
            <w:color w:val="4623EB"/>
            <w:sz w:val="24"/>
            <w:szCs w:val="24"/>
          </w:rPr>
          <w:t>Assurance-vie pour obtenir des revenus complémentaires</w:t>
        </w:r>
      </w:hyperlink>
      <w:r>
        <w:rPr>
          <w:color w:val="646464"/>
          <w:sz w:val="24"/>
          <w:szCs w:val="24"/>
        </w:rPr>
        <w:t>)</w:t>
      </w:r>
    </w:p>
    <w:p>
      <w:pPr>
        <w:pStyle w:val="Heading3"/>
        <w:pageBreakBefore w:val="0"/>
        <w:spacing w:before="0" w:after="240" w:line="330" w:lineRule="atLeast"/>
        <w:ind w:left="0" w:right="0"/>
        <w:rPr>
          <w:b/>
          <w:bCs/>
          <w:color w:val="202020"/>
          <w:sz w:val="28"/>
          <w:szCs w:val="24"/>
        </w:rPr>
      </w:pPr>
      <w:r>
        <w:rPr>
          <w:b/>
          <w:bCs/>
          <w:color w:val="202020"/>
          <w:sz w:val="24"/>
          <w:szCs w:val="24"/>
        </w:rPr>
        <w:t>3.4.</w:t>
      </w:r>
      <w:r>
        <w:rPr>
          <w:b/>
          <w:bCs/>
          <w:color w:val="202020"/>
          <w:sz w:val="24"/>
          <w:szCs w:val="24"/>
        </w:rPr>
        <w:t xml:space="preserve"> La co-souscription en démembrement et la transmission</w:t>
      </w:r>
    </w:p>
    <w:p>
      <w:pPr>
        <w:pStyle w:val="p"/>
        <w:spacing w:before="0" w:after="180" w:line="330" w:lineRule="atLeast"/>
        <w:ind w:left="0" w:right="0"/>
        <w:rPr>
          <w:color w:val="646464"/>
          <w:sz w:val="24"/>
          <w:szCs w:val="24"/>
        </w:rPr>
      </w:pPr>
      <w:r>
        <w:rPr>
          <w:color w:val="646464"/>
          <w:sz w:val="24"/>
          <w:szCs w:val="24"/>
          <w:u w:val="single" w:color="646464"/>
        </w:rPr>
        <w:t>Principe</w:t>
      </w:r>
      <w:r>
        <w:rPr>
          <w:color w:val="646464"/>
          <w:sz w:val="24"/>
          <w:szCs w:val="24"/>
        </w:rPr>
        <w:t xml:space="preserve"> : Une co-souscription en démembrement résulte généralement du réinvestissement conjoint par l’usufruitier et le nu-propriétaire d’actifs préalablement démembrés.</w:t>
      </w:r>
    </w:p>
    <w:p>
      <w:pPr>
        <w:spacing w:line="330" w:lineRule="atLeast"/>
        <w:rPr>
          <w:color w:val="646464"/>
          <w:sz w:val="24"/>
          <w:szCs w:val="24"/>
        </w:rPr>
      </w:pPr>
      <w:r>
        <w:rPr>
          <w:color w:val="646464"/>
          <w:sz w:val="24"/>
          <w:szCs w:val="24"/>
        </w:rPr>
        <w:t>Il convient alors d’annexer au contrat lors de la souscription une convention précisant l’origine des capitaux apportés, la volonté des parties de maintenir le démembrement, le choix commun du placement, ainsi que les droits de chacune des parties.</w:t>
      </w:r>
      <w:r>
        <w:rPr>
          <w:color w:val="646464"/>
          <w:sz w:val="24"/>
          <w:szCs w:val="24"/>
        </w:rPr>
        <w:br/>
      </w:r>
      <w:r>
        <w:rPr>
          <w:color w:val="646464"/>
          <w:sz w:val="24"/>
          <w:szCs w:val="24"/>
        </w:rPr>
        <w:t xml:space="preserve">  </w:t>
      </w:r>
    </w:p>
    <w:p>
      <w:pPr>
        <w:pStyle w:val="fd-document-box-redfd-document-box-title"/>
        <w:pageBreakBefore w:val="0"/>
        <w:pBdr>
          <w:top w:val="none" w:sz="0" w:space="12" w:color="auto"/>
          <w:left w:val="none" w:sz="0" w:space="24" w:color="auto"/>
          <w:bottom w:val="none" w:sz="0" w:space="0" w:color="auto"/>
          <w:right w:val="none" w:sz="0" w:space="24" w:color="auto"/>
        </w:pBdr>
        <w:shd w:val="clear" w:color="auto" w:fill="F5F5F5"/>
        <w:spacing w:before="0" w:after="240" w:line="240" w:lineRule="atLeast"/>
        <w:ind w:left="540" w:right="495"/>
        <w:outlineLvl w:val="4"/>
        <w:rPr>
          <w:b/>
          <w:bCs/>
          <w:color w:val="FF6E6E"/>
          <w:sz w:val="18"/>
          <w:szCs w:val="18"/>
        </w:rPr>
      </w:pPr>
      <w:r>
        <w:rPr>
          <w:b/>
          <w:bCs/>
          <w:color w:val="FF6E6E"/>
          <w:sz w:val="18"/>
          <w:szCs w:val="18"/>
        </w:rPr>
        <w:t>Attention :</w:t>
      </w:r>
    </w:p>
    <w:p>
      <w:pPr>
        <w:pStyle w:val="linotnth-last-child1"/>
        <w:numPr>
          <w:ilvl w:val="0"/>
          <w:numId w:val="37"/>
        </w:numPr>
        <w:shd w:val="clear" w:color="auto" w:fill="F5F5F5"/>
        <w:spacing w:before="240" w:after="240" w:line="300" w:lineRule="atLeast"/>
        <w:ind w:left="540" w:right="495" w:hanging="360"/>
        <w:jc w:val="left"/>
        <w:rPr>
          <w:color w:val="646464"/>
          <w:sz w:val="21"/>
          <w:szCs w:val="21"/>
        </w:rPr>
      </w:pPr>
      <w:r>
        <w:rPr>
          <w:color w:val="646464"/>
          <w:sz w:val="21"/>
          <w:szCs w:val="21"/>
        </w:rPr>
        <w:t>En principe, une co-souscription en démembrement ne peut être réalisée que par un "couple" composé d’un seul usufruitier et d’un seul nu-propriétaire ;</w:t>
      </w:r>
    </w:p>
    <w:p>
      <w:pPr>
        <w:pStyle w:val="linotnth-last-child1"/>
        <w:numPr>
          <w:ilvl w:val="0"/>
          <w:numId w:val="37"/>
        </w:numPr>
        <w:shd w:val="clear" w:color="auto" w:fill="F5F5F5"/>
        <w:spacing w:after="240" w:line="300" w:lineRule="atLeast"/>
        <w:ind w:left="540" w:right="495" w:hanging="360"/>
        <w:jc w:val="left"/>
        <w:rPr>
          <w:color w:val="646464"/>
          <w:sz w:val="21"/>
          <w:szCs w:val="21"/>
        </w:rPr>
      </w:pPr>
      <w:r>
        <w:rPr>
          <w:color w:val="646464"/>
          <w:sz w:val="21"/>
          <w:szCs w:val="21"/>
        </w:rPr>
        <w:t>L’assuré sera le nu-propriétaire puisqu’au décès de l’usufruitier la transmission au profit du nu-propriétaire est faite automatiquement ;</w:t>
      </w:r>
    </w:p>
    <w:p>
      <w:pPr>
        <w:pStyle w:val="linotnth-last-child1"/>
        <w:numPr>
          <w:ilvl w:val="0"/>
          <w:numId w:val="37"/>
        </w:numPr>
        <w:shd w:val="clear" w:color="auto" w:fill="F5F5F5"/>
        <w:spacing w:after="240" w:line="300" w:lineRule="atLeast"/>
        <w:ind w:left="540" w:right="495" w:hanging="360"/>
        <w:jc w:val="left"/>
        <w:rPr>
          <w:color w:val="646464"/>
          <w:sz w:val="21"/>
          <w:szCs w:val="21"/>
        </w:rPr>
      </w:pPr>
      <w:r>
        <w:rPr>
          <w:color w:val="646464"/>
          <w:sz w:val="21"/>
          <w:szCs w:val="21"/>
        </w:rPr>
        <w:t>Les bénéficiaires en cas de décès seront désignés par le nu-propriétaire ;</w:t>
      </w:r>
    </w:p>
    <w:p>
      <w:pPr>
        <w:numPr>
          <w:ilvl w:val="0"/>
          <w:numId w:val="37"/>
        </w:numPr>
        <w:shd w:val="clear" w:color="auto" w:fill="F5F5F5"/>
        <w:spacing w:after="600" w:line="300" w:lineRule="atLeast"/>
        <w:ind w:left="540" w:right="495" w:hanging="360"/>
        <w:jc w:val="left"/>
        <w:rPr>
          <w:color w:val="646464"/>
          <w:sz w:val="21"/>
          <w:szCs w:val="21"/>
        </w:rPr>
      </w:pPr>
      <w:r>
        <w:rPr>
          <w:color w:val="646464"/>
          <w:sz w:val="21"/>
          <w:szCs w:val="21"/>
        </w:rPr>
        <w:t>Il convient de protéger le co-souscripteur en usufruit en cas de prédécès du nu-propriétaire assuré en prévoyant  dans la clause bénéficiaire un droit en usufruit à son profit sur le capital versé en cas de prédécès du nu-propriétaire.</w:t>
      </w:r>
    </w:p>
    <w:p>
      <w:pPr>
        <w:pStyle w:val="Heading2"/>
        <w:pageBreakBefore w:val="0"/>
        <w:spacing w:before="480" w:after="240" w:line="360" w:lineRule="atLeast"/>
        <w:ind w:left="0" w:right="0"/>
        <w:rPr>
          <w:b/>
          <w:bCs/>
          <w:caps w:val="0"/>
          <w:color w:val="202020"/>
          <w:sz w:val="40"/>
          <w:szCs w:val="27"/>
        </w:rPr>
      </w:pPr>
      <w:r>
        <w:rPr>
          <w:b/>
          <w:bCs/>
          <w:caps w:val="0"/>
          <w:color w:val="202020"/>
          <w:sz w:val="27"/>
          <w:szCs w:val="27"/>
        </w:rPr>
        <w:t>4.</w:t>
      </w:r>
      <w:r>
        <w:rPr>
          <w:b/>
          <w:bCs/>
          <w:caps w:val="0"/>
          <w:color w:val="202020"/>
          <w:sz w:val="27"/>
          <w:szCs w:val="27"/>
        </w:rPr>
        <w:t xml:space="preserve"> Réponse aux objections</w:t>
      </w:r>
    </w:p>
    <w:p>
      <w:pPr>
        <w:pStyle w:val="Heading3"/>
        <w:pageBreakBefore w:val="0"/>
        <w:spacing w:before="240" w:after="240" w:line="330" w:lineRule="atLeast"/>
        <w:ind w:left="0" w:right="0"/>
        <w:rPr>
          <w:b/>
          <w:bCs/>
          <w:color w:val="202020"/>
          <w:sz w:val="28"/>
          <w:szCs w:val="24"/>
        </w:rPr>
      </w:pPr>
      <w:r>
        <w:rPr>
          <w:b/>
          <w:bCs/>
          <w:color w:val="202020"/>
          <w:sz w:val="24"/>
          <w:szCs w:val="24"/>
        </w:rPr>
        <w:t>4.1.</w:t>
      </w:r>
      <w:r>
        <w:rPr>
          <w:b/>
          <w:bCs/>
          <w:color w:val="202020"/>
          <w:sz w:val="24"/>
          <w:szCs w:val="24"/>
        </w:rPr>
        <w:t xml:space="preserve"> "Je souhaite que mon contrat permette avant tout de payer les droits de succession qui seront dus par mes héritiers."</w:t>
      </w:r>
    </w:p>
    <w:p>
      <w:pPr>
        <w:pStyle w:val="p"/>
        <w:spacing w:before="0" w:after="240" w:line="330" w:lineRule="atLeast"/>
        <w:ind w:left="0" w:right="0"/>
        <w:rPr>
          <w:color w:val="646464"/>
          <w:sz w:val="24"/>
          <w:szCs w:val="24"/>
        </w:rPr>
      </w:pPr>
      <w:r>
        <w:rPr>
          <w:color w:val="646464"/>
          <w:sz w:val="24"/>
          <w:szCs w:val="24"/>
        </w:rPr>
        <w:t>Le souscripteur dispose d'une grande liberté quant à la rédaction de la clause bénéficiaire. Il est donc possible de prévoir que le contrat servira avant toute chose à payer les droits de succession, le surplus éventuel sera réparti selon les souhaits du souscripteur.</w:t>
      </w:r>
    </w:p>
    <w:p>
      <w:pPr>
        <w:pStyle w:val="Heading3"/>
        <w:pageBreakBefore w:val="0"/>
        <w:spacing w:before="0" w:after="240" w:line="330" w:lineRule="atLeast"/>
        <w:ind w:left="0" w:right="0"/>
        <w:rPr>
          <w:b/>
          <w:bCs/>
          <w:color w:val="202020"/>
          <w:sz w:val="28"/>
          <w:szCs w:val="24"/>
        </w:rPr>
      </w:pPr>
      <w:r>
        <w:rPr>
          <w:b/>
          <w:bCs/>
          <w:color w:val="202020"/>
          <w:sz w:val="24"/>
          <w:szCs w:val="24"/>
        </w:rPr>
        <w:t>4.2.</w:t>
      </w:r>
      <w:r>
        <w:rPr>
          <w:b/>
          <w:bCs/>
          <w:color w:val="202020"/>
          <w:sz w:val="24"/>
          <w:szCs w:val="24"/>
        </w:rPr>
        <w:t xml:space="preserve"> "Je ne veux pas que mes enfants reçoivent la totalité de l'épargne acquise sur le contrat, mon conjoint doit également recevoir des liquidités."</w:t>
      </w:r>
    </w:p>
    <w:p>
      <w:pPr>
        <w:pStyle w:val="p"/>
        <w:spacing w:before="0" w:after="240" w:line="330" w:lineRule="atLeast"/>
        <w:ind w:left="0" w:right="0"/>
        <w:rPr>
          <w:color w:val="646464"/>
          <w:sz w:val="24"/>
          <w:szCs w:val="24"/>
        </w:rPr>
      </w:pPr>
      <w:r>
        <w:rPr>
          <w:color w:val="646464"/>
          <w:sz w:val="24"/>
          <w:szCs w:val="24"/>
        </w:rPr>
        <w:t>Aucun problème, la liberté dont dispose le souscripteur permet de désigner différents bénéficiaires dans différentes proportions. Il est également possible de souscrire plusieurs contrats d’assurance-vie.</w:t>
      </w:r>
    </w:p>
    <w:p>
      <w:pPr>
        <w:pStyle w:val="Heading3"/>
        <w:pageBreakBefore w:val="0"/>
        <w:spacing w:before="0" w:after="240" w:line="330" w:lineRule="atLeast"/>
        <w:ind w:left="0" w:right="0"/>
        <w:rPr>
          <w:b/>
          <w:bCs/>
          <w:color w:val="202020"/>
          <w:sz w:val="28"/>
          <w:szCs w:val="24"/>
        </w:rPr>
      </w:pPr>
      <w:r>
        <w:rPr>
          <w:b/>
          <w:bCs/>
          <w:color w:val="202020"/>
          <w:sz w:val="24"/>
          <w:szCs w:val="24"/>
        </w:rPr>
        <w:t>4.3.</w:t>
      </w:r>
      <w:r>
        <w:rPr>
          <w:b/>
          <w:bCs/>
          <w:color w:val="202020"/>
          <w:sz w:val="24"/>
          <w:szCs w:val="24"/>
        </w:rPr>
        <w:t xml:space="preserve"> "Je ne dispose pas de suffisamment de liquidités pour ouvrir un contrat d'assurance-vie."</w:t>
      </w:r>
    </w:p>
    <w:p>
      <w:pPr>
        <w:pStyle w:val="p"/>
        <w:spacing w:before="0" w:after="240" w:line="330" w:lineRule="atLeast"/>
        <w:ind w:left="0" w:right="0"/>
        <w:rPr>
          <w:color w:val="646464"/>
          <w:sz w:val="24"/>
          <w:szCs w:val="24"/>
        </w:rPr>
      </w:pPr>
      <w:r>
        <w:rPr>
          <w:color w:val="646464"/>
          <w:sz w:val="24"/>
          <w:szCs w:val="24"/>
        </w:rPr>
        <w:t>Le montant minimum des versements exigés à l'ouverture d'un contrat d'assurance est en général faible. C'est pourquoi il est important d'ouvrir un contrat et de "prendre date". Si cette souscription n'a aucun effet sur le sort fiscal du dénouement en cas de décès, elle allégera tout de même la fiscalité sur les rachats, très favorable après 8 ans.</w:t>
      </w:r>
    </w:p>
    <w:p>
      <w:pPr>
        <w:pStyle w:val="Heading3"/>
        <w:pageBreakBefore w:val="0"/>
        <w:spacing w:before="0" w:after="240" w:line="330" w:lineRule="atLeast"/>
        <w:ind w:left="0" w:right="0"/>
        <w:rPr>
          <w:b/>
          <w:bCs/>
          <w:color w:val="202020"/>
          <w:sz w:val="28"/>
          <w:szCs w:val="24"/>
        </w:rPr>
      </w:pPr>
      <w:r>
        <w:rPr>
          <w:b/>
          <w:bCs/>
          <w:color w:val="202020"/>
          <w:sz w:val="24"/>
          <w:szCs w:val="24"/>
        </w:rPr>
        <w:t>4.4.</w:t>
      </w:r>
      <w:r>
        <w:rPr>
          <w:b/>
          <w:bCs/>
          <w:color w:val="202020"/>
          <w:sz w:val="24"/>
          <w:szCs w:val="24"/>
        </w:rPr>
        <w:t xml:space="preserve"> "C'est bien beau de préparer ma succession, mais aujourd'hui je vis encore. Alors, comment faire si demain j'ai besoin d'argent."</w:t>
      </w:r>
    </w:p>
    <w:p>
      <w:pPr>
        <w:pStyle w:val="p"/>
        <w:spacing w:before="0" w:after="240" w:line="330" w:lineRule="atLeast"/>
        <w:ind w:left="0" w:right="0"/>
        <w:rPr>
          <w:color w:val="646464"/>
          <w:sz w:val="24"/>
          <w:szCs w:val="24"/>
        </w:rPr>
      </w:pPr>
      <w:r>
        <w:rPr>
          <w:color w:val="646464"/>
          <w:sz w:val="24"/>
          <w:szCs w:val="24"/>
        </w:rPr>
        <w:t>Le contrat d'assurance-vie est un placement qui permet d'effectuer des rachats et/ou avances dans un cadre fiscal très favorable. Non seulement l'épargne acquise sur le contrat est disponible à tout moment et ce qui en reste au décès est versé au(x) bénéficiaire(s) désigné(s) dans un cadre fiscal avantageux.</w:t>
      </w:r>
    </w:p>
    <w:p>
      <w:pPr>
        <w:pStyle w:val="Heading3"/>
        <w:pageBreakBefore w:val="0"/>
        <w:spacing w:before="0" w:after="240" w:line="330" w:lineRule="atLeast"/>
        <w:ind w:left="0" w:right="0"/>
        <w:rPr>
          <w:b/>
          <w:bCs/>
          <w:color w:val="202020"/>
          <w:sz w:val="28"/>
          <w:szCs w:val="24"/>
        </w:rPr>
      </w:pPr>
      <w:r>
        <w:rPr>
          <w:b/>
          <w:bCs/>
          <w:color w:val="202020"/>
          <w:sz w:val="24"/>
          <w:szCs w:val="24"/>
        </w:rPr>
        <w:t>4.5.</w:t>
      </w:r>
      <w:r>
        <w:rPr>
          <w:b/>
          <w:bCs/>
          <w:color w:val="202020"/>
          <w:sz w:val="24"/>
          <w:szCs w:val="24"/>
        </w:rPr>
        <w:t xml:space="preserve"> "Je ne veux pas jouer en bourse le capital que recevra mon conjoint/mes enfants à mon décès."</w:t>
      </w:r>
    </w:p>
    <w:p>
      <w:pPr>
        <w:pStyle w:val="p"/>
        <w:spacing w:before="0" w:after="240" w:line="330" w:lineRule="atLeast"/>
        <w:ind w:left="0" w:right="0"/>
        <w:rPr>
          <w:color w:val="646464"/>
          <w:sz w:val="24"/>
          <w:szCs w:val="24"/>
        </w:rPr>
      </w:pPr>
      <w:r>
        <w:rPr>
          <w:color w:val="646464"/>
          <w:sz w:val="24"/>
          <w:szCs w:val="24"/>
        </w:rPr>
        <w:t>Même dans le cadre d’un contrat en unités de compte, le souscripteur a toujours la possibilité de sélectionner un fonds en euros à l’intérieur de ce contrat. Il est également possible de souscrire un contrat à capital garanti.</w:t>
      </w:r>
    </w:p>
    <w:p>
      <w:pPr>
        <w:pStyle w:val="Heading2"/>
        <w:pageBreakBefore w:val="0"/>
        <w:spacing w:before="480" w:after="240" w:line="360" w:lineRule="atLeast"/>
        <w:ind w:left="0" w:right="0"/>
        <w:rPr>
          <w:b/>
          <w:bCs/>
          <w:caps w:val="0"/>
          <w:color w:val="202020"/>
          <w:sz w:val="40"/>
          <w:szCs w:val="27"/>
        </w:rPr>
      </w:pPr>
      <w:r>
        <w:rPr>
          <w:b/>
          <w:bCs/>
          <w:caps w:val="0"/>
          <w:color w:val="202020"/>
          <w:sz w:val="27"/>
          <w:szCs w:val="27"/>
        </w:rPr>
        <w:t>5.</w:t>
      </w:r>
      <w:r>
        <w:rPr>
          <w:b/>
          <w:bCs/>
          <w:caps w:val="0"/>
          <w:color w:val="202020"/>
          <w:sz w:val="27"/>
          <w:szCs w:val="27"/>
        </w:rPr>
        <w:t xml:space="preserve"> Produits supplémentaires à vendre</w:t>
      </w:r>
    </w:p>
    <w:tbl>
      <w:tblPr>
        <w:tblStyle w:val="figuretabletable"/>
        <w:tblW w:w="5000" w:type="pct"/>
        <w:tblInd w:w="16" w:type="dxa"/>
        <w:shd w:val="clear" w:color="auto" w:fill="FFFFFF"/>
        <w:tblCellMar>
          <w:top w:w="0" w:type="dxa"/>
          <w:left w:w="0" w:type="dxa"/>
          <w:bottom w:w="0" w:type="dxa"/>
          <w:right w:w="0" w:type="dxa"/>
        </w:tblCellMar>
        <w:tblLook w:val="05E0"/>
      </w:tblPr>
      <w:tblGrid>
        <w:gridCol w:w="3261"/>
        <w:gridCol w:w="7610"/>
      </w:tblGrid>
      <w:tr>
        <w:tblPrEx>
          <w:tblW w:w="5000" w:type="pct"/>
          <w:tblInd w:w="16" w:type="dxa"/>
          <w:shd w:val="clear" w:color="auto" w:fill="FFFFFF"/>
          <w:tblCellMar>
            <w:top w:w="0" w:type="dxa"/>
            <w:left w:w="0" w:type="dxa"/>
            <w:bottom w:w="0" w:type="dxa"/>
            <w:right w:w="0" w:type="dxa"/>
          </w:tblCellMar>
          <w:tblLook w:val="05E0"/>
        </w:tblPrEx>
        <w:trPr>
          <w:tblHeader/>
        </w:trPr>
        <w:tc>
          <w:tcPr>
            <w:tcW w:w="1500" w:type="pct"/>
            <w:tcBorders>
              <w:top w:val="single" w:sz="6" w:space="0" w:color="D6D6D6"/>
              <w:left w:val="single" w:sz="6" w:space="0" w:color="D6D6D6"/>
              <w:bottom w:val="single" w:sz="6" w:space="0" w:color="D6D6D6"/>
              <w:right w:val="single" w:sz="6" w:space="0" w:color="D6D6D6"/>
            </w:tcBorders>
            <w:shd w:val="clear" w:color="auto" w:fill="4623EB"/>
            <w:tcMar>
              <w:top w:w="120" w:type="dxa"/>
              <w:left w:w="248" w:type="dxa"/>
              <w:bottom w:w="120" w:type="dxa"/>
              <w:right w:w="248" w:type="dxa"/>
            </w:tcMar>
            <w:vAlign w:val="center"/>
            <w:hideMark/>
          </w:tcPr>
          <w:p>
            <w:pPr>
              <w:spacing w:line="330" w:lineRule="atLeast"/>
              <w:jc w:val="center"/>
              <w:rPr>
                <w:b/>
                <w:bCs/>
                <w:color w:val="FFFFFF"/>
                <w:sz w:val="24"/>
                <w:szCs w:val="24"/>
              </w:rPr>
            </w:pPr>
            <w:r>
              <w:rPr>
                <w:b/>
                <w:bCs/>
                <w:color w:val="FFFFFF"/>
                <w:sz w:val="24"/>
                <w:szCs w:val="24"/>
              </w:rPr>
              <w:t>Solutions ou produits</w:t>
            </w:r>
          </w:p>
        </w:tc>
        <w:tc>
          <w:tcPr>
            <w:tcBorders>
              <w:top w:val="single" w:sz="6" w:space="0" w:color="D6D6D6"/>
              <w:left w:val="single" w:sz="6" w:space="0" w:color="D6D6D6"/>
              <w:bottom w:val="single" w:sz="6" w:space="0" w:color="D6D6D6"/>
              <w:right w:val="single" w:sz="6" w:space="0" w:color="D6D6D6"/>
            </w:tcBorders>
            <w:shd w:val="clear" w:color="auto" w:fill="4623EB"/>
            <w:tcMar>
              <w:top w:w="120" w:type="dxa"/>
              <w:left w:w="248" w:type="dxa"/>
              <w:bottom w:w="120" w:type="dxa"/>
              <w:right w:w="248" w:type="dxa"/>
            </w:tcMar>
            <w:vAlign w:val="center"/>
            <w:hideMark/>
          </w:tcPr>
          <w:p>
            <w:pPr>
              <w:spacing w:line="330" w:lineRule="atLeast"/>
              <w:jc w:val="center"/>
              <w:rPr>
                <w:b/>
                <w:bCs/>
                <w:color w:val="FFFFFF"/>
                <w:sz w:val="24"/>
                <w:szCs w:val="24"/>
              </w:rPr>
            </w:pPr>
            <w:r>
              <w:rPr>
                <w:b/>
                <w:bCs/>
                <w:color w:val="FFFFFF"/>
                <w:sz w:val="24"/>
                <w:szCs w:val="24"/>
              </w:rPr>
              <w:t>Argumentaire</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r>
              <w:rPr>
                <w:color w:val="202020"/>
                <w:sz w:val="21"/>
                <w:szCs w:val="21"/>
              </w:rPr>
              <w:t>Autres produits</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rPr>
                <w:color w:val="646464"/>
                <w:sz w:val="21"/>
                <w:szCs w:val="21"/>
              </w:rPr>
            </w:pPr>
            <w:hyperlink r:id="rId9" w:history="1">
              <w:r>
                <w:rPr>
                  <w:rStyle w:val="a"/>
                  <w:color w:val="4623EB"/>
                  <w:sz w:val="21"/>
                  <w:szCs w:val="21"/>
                </w:rPr>
                <w:t xml:space="preserve">Assurance-décès </w:t>
              </w:r>
            </w:hyperlink>
            <w:r>
              <w:rPr>
                <w:color w:val="646464"/>
                <w:sz w:val="21"/>
                <w:szCs w:val="21"/>
              </w:rPr>
              <w:t>pour procurer au bénéficiaire des liquidités complémentaires.</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r>
              <w:rPr>
                <w:color w:val="202020"/>
                <w:sz w:val="21"/>
                <w:szCs w:val="21"/>
              </w:rPr>
              <w:t>Outils juridiques pour protéger et transmettre</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linotnth-last-child1"/>
              <w:numPr>
                <w:ilvl w:val="0"/>
                <w:numId w:val="38"/>
              </w:numPr>
              <w:spacing w:before="240" w:line="300" w:lineRule="atLeast"/>
              <w:ind w:left="720" w:right="0" w:hanging="360"/>
              <w:jc w:val="left"/>
              <w:rPr>
                <w:color w:val="646464"/>
                <w:sz w:val="21"/>
                <w:szCs w:val="21"/>
              </w:rPr>
            </w:pPr>
            <w:r>
              <w:rPr>
                <w:color w:val="646464"/>
                <w:sz w:val="21"/>
                <w:szCs w:val="21"/>
              </w:rPr>
              <w:t>Pour protéger le conjoint :</w:t>
            </w:r>
          </w:p>
          <w:p>
            <w:pPr>
              <w:pStyle w:val="linotnth-last-child1"/>
              <w:numPr>
                <w:ilvl w:val="1"/>
                <w:numId w:val="38"/>
              </w:numPr>
              <w:spacing w:before="240" w:after="240" w:line="300" w:lineRule="atLeast"/>
              <w:ind w:left="1440" w:right="0" w:hanging="360"/>
              <w:jc w:val="left"/>
              <w:rPr>
                <w:color w:val="646464"/>
                <w:sz w:val="21"/>
                <w:szCs w:val="21"/>
              </w:rPr>
            </w:pPr>
            <w:hyperlink r:id="rId10" w:history="1">
              <w:r>
                <w:rPr>
                  <w:rStyle w:val="a"/>
                  <w:color w:val="4623EB"/>
                  <w:sz w:val="21"/>
                  <w:szCs w:val="21"/>
                </w:rPr>
                <w:t>changement de régime matrimonial,</w:t>
              </w:r>
            </w:hyperlink>
          </w:p>
          <w:p>
            <w:pPr>
              <w:numPr>
                <w:ilvl w:val="1"/>
                <w:numId w:val="38"/>
              </w:numPr>
              <w:spacing w:after="240" w:line="300" w:lineRule="atLeast"/>
              <w:ind w:left="1440" w:right="0" w:hanging="360"/>
              <w:jc w:val="left"/>
              <w:rPr>
                <w:color w:val="646464"/>
                <w:sz w:val="21"/>
                <w:szCs w:val="21"/>
              </w:rPr>
            </w:pPr>
            <w:hyperlink r:id="rId11" w:history="1">
              <w:r>
                <w:rPr>
                  <w:rStyle w:val="a"/>
                  <w:color w:val="4623EB"/>
                  <w:sz w:val="21"/>
                  <w:szCs w:val="21"/>
                </w:rPr>
                <w:t>donation au dernier vivant ;</w:t>
              </w:r>
            </w:hyperlink>
          </w:p>
          <w:p>
            <w:pPr>
              <w:pStyle w:val="linotnth-last-child1"/>
              <w:numPr>
                <w:ilvl w:val="0"/>
                <w:numId w:val="38"/>
              </w:numPr>
              <w:spacing w:line="300" w:lineRule="atLeast"/>
              <w:ind w:left="720" w:right="0" w:hanging="360"/>
              <w:jc w:val="left"/>
              <w:rPr>
                <w:color w:val="646464"/>
                <w:sz w:val="21"/>
                <w:szCs w:val="21"/>
              </w:rPr>
            </w:pPr>
            <w:r>
              <w:rPr>
                <w:color w:val="646464"/>
                <w:sz w:val="21"/>
                <w:szCs w:val="21"/>
              </w:rPr>
              <w:t>Pour protéger le partenaire pacsé :</w:t>
            </w:r>
          </w:p>
          <w:p>
            <w:pPr>
              <w:pStyle w:val="linotnth-last-child1"/>
              <w:numPr>
                <w:ilvl w:val="1"/>
                <w:numId w:val="38"/>
              </w:numPr>
              <w:spacing w:before="240" w:after="240" w:line="300" w:lineRule="atLeast"/>
              <w:ind w:left="1440" w:right="0" w:hanging="360"/>
              <w:jc w:val="left"/>
              <w:rPr>
                <w:color w:val="646464"/>
                <w:sz w:val="21"/>
                <w:szCs w:val="21"/>
              </w:rPr>
            </w:pPr>
            <w:r>
              <w:rPr>
                <w:color w:val="646464"/>
                <w:sz w:val="21"/>
                <w:szCs w:val="21"/>
              </w:rPr>
              <w:t>mariage,</w:t>
            </w:r>
          </w:p>
          <w:p>
            <w:pPr>
              <w:numPr>
                <w:ilvl w:val="1"/>
                <w:numId w:val="38"/>
              </w:numPr>
              <w:spacing w:after="240" w:line="300" w:lineRule="atLeast"/>
              <w:ind w:left="1440" w:right="0" w:hanging="360"/>
              <w:jc w:val="left"/>
              <w:rPr>
                <w:color w:val="646464"/>
                <w:sz w:val="21"/>
                <w:szCs w:val="21"/>
              </w:rPr>
            </w:pPr>
            <w:r>
              <w:rPr>
                <w:color w:val="646464"/>
                <w:sz w:val="21"/>
                <w:szCs w:val="21"/>
              </w:rPr>
              <w:t>testament ;</w:t>
            </w:r>
          </w:p>
          <w:p>
            <w:pPr>
              <w:pStyle w:val="linotnth-last-child1"/>
              <w:numPr>
                <w:ilvl w:val="0"/>
                <w:numId w:val="38"/>
              </w:numPr>
              <w:spacing w:line="300" w:lineRule="atLeast"/>
              <w:ind w:left="720" w:right="0" w:hanging="360"/>
              <w:jc w:val="left"/>
              <w:rPr>
                <w:color w:val="646464"/>
                <w:sz w:val="21"/>
                <w:szCs w:val="21"/>
              </w:rPr>
            </w:pPr>
            <w:r>
              <w:rPr>
                <w:color w:val="646464"/>
                <w:sz w:val="21"/>
                <w:szCs w:val="21"/>
              </w:rPr>
              <w:t>Pour protéger le concubin :</w:t>
            </w:r>
          </w:p>
          <w:p>
            <w:pPr>
              <w:pStyle w:val="linotnth-last-child1"/>
              <w:numPr>
                <w:ilvl w:val="1"/>
                <w:numId w:val="38"/>
              </w:numPr>
              <w:spacing w:before="240" w:after="240" w:line="300" w:lineRule="atLeast"/>
              <w:ind w:left="1440" w:right="0" w:hanging="360"/>
              <w:jc w:val="left"/>
              <w:rPr>
                <w:color w:val="646464"/>
                <w:sz w:val="21"/>
                <w:szCs w:val="21"/>
              </w:rPr>
            </w:pPr>
            <w:hyperlink r:id="rId12" w:history="1">
              <w:r>
                <w:rPr>
                  <w:rStyle w:val="a"/>
                  <w:color w:val="4623EB"/>
                  <w:sz w:val="21"/>
                  <w:szCs w:val="21"/>
                </w:rPr>
                <w:t>PACS,</w:t>
              </w:r>
            </w:hyperlink>
          </w:p>
          <w:p>
            <w:pPr>
              <w:pStyle w:val="linotnth-last-child1"/>
              <w:numPr>
                <w:ilvl w:val="1"/>
                <w:numId w:val="38"/>
              </w:numPr>
              <w:spacing w:after="240" w:line="300" w:lineRule="atLeast"/>
              <w:ind w:left="1440" w:right="0" w:hanging="360"/>
              <w:jc w:val="left"/>
              <w:rPr>
                <w:color w:val="646464"/>
                <w:sz w:val="21"/>
                <w:szCs w:val="21"/>
              </w:rPr>
            </w:pPr>
            <w:hyperlink r:id="rId13" w:history="1">
              <w:r>
                <w:rPr>
                  <w:rStyle w:val="a"/>
                  <w:color w:val="4623EB"/>
                  <w:sz w:val="21"/>
                  <w:szCs w:val="21"/>
                </w:rPr>
                <w:t>mariage,</w:t>
              </w:r>
            </w:hyperlink>
          </w:p>
          <w:p>
            <w:pPr>
              <w:numPr>
                <w:ilvl w:val="1"/>
                <w:numId w:val="38"/>
              </w:numPr>
              <w:spacing w:after="240" w:line="300" w:lineRule="atLeast"/>
              <w:ind w:left="1440" w:right="0" w:hanging="360"/>
              <w:jc w:val="left"/>
              <w:rPr>
                <w:color w:val="646464"/>
                <w:sz w:val="21"/>
                <w:szCs w:val="21"/>
              </w:rPr>
            </w:pPr>
            <w:hyperlink r:id="rId14" w:tgtFrame="_blank" w:history="1">
              <w:r>
                <w:rPr>
                  <w:rStyle w:val="a"/>
                  <w:color w:val="4623EB"/>
                  <w:sz w:val="21"/>
                  <w:szCs w:val="21"/>
                </w:rPr>
                <w:t>Testament pour transmettre</w:t>
              </w:r>
            </w:hyperlink>
          </w:p>
          <w:p>
            <w:pPr>
              <w:pStyle w:val="linotnth-last-child1"/>
              <w:numPr>
                <w:ilvl w:val="0"/>
                <w:numId w:val="38"/>
              </w:numPr>
              <w:spacing w:after="240" w:line="300" w:lineRule="atLeast"/>
              <w:ind w:left="720" w:right="0" w:hanging="360"/>
              <w:jc w:val="left"/>
              <w:rPr>
                <w:color w:val="646464"/>
                <w:sz w:val="21"/>
                <w:szCs w:val="21"/>
              </w:rPr>
            </w:pPr>
            <w:hyperlink r:id="rId15" w:history="1">
              <w:r>
                <w:rPr>
                  <w:rStyle w:val="a"/>
                  <w:color w:val="4623EB"/>
                  <w:sz w:val="21"/>
                  <w:szCs w:val="21"/>
                </w:rPr>
                <w:t>Dons manuel pour transmettre</w:t>
              </w:r>
            </w:hyperlink>
          </w:p>
          <w:p>
            <w:pPr>
              <w:pStyle w:val="linotnth-last-child1"/>
              <w:numPr>
                <w:ilvl w:val="0"/>
                <w:numId w:val="38"/>
              </w:numPr>
              <w:spacing w:after="240" w:line="300" w:lineRule="atLeast"/>
              <w:ind w:left="720" w:right="0" w:hanging="360"/>
              <w:jc w:val="left"/>
              <w:rPr>
                <w:color w:val="646464"/>
                <w:sz w:val="21"/>
                <w:szCs w:val="21"/>
              </w:rPr>
            </w:pPr>
            <w:r>
              <w:rPr>
                <w:color w:val="646464"/>
                <w:sz w:val="21"/>
                <w:szCs w:val="21"/>
              </w:rPr>
              <w:t xml:space="preserve">Donation entre vifs, </w:t>
            </w:r>
            <w:hyperlink r:id="rId16" w:history="1">
              <w:r>
                <w:rPr>
                  <w:rStyle w:val="a"/>
                  <w:color w:val="4623EB"/>
                  <w:sz w:val="21"/>
                  <w:szCs w:val="21"/>
                </w:rPr>
                <w:t>donation-partage,</w:t>
              </w:r>
            </w:hyperlink>
            <w:r>
              <w:rPr>
                <w:color w:val="646464"/>
                <w:sz w:val="21"/>
                <w:szCs w:val="21"/>
              </w:rPr>
              <w:t xml:space="preserve"> donation-partage transgénérationnelle ;</w:t>
            </w:r>
          </w:p>
          <w:p>
            <w:pPr>
              <w:pStyle w:val="linotnth-last-child1"/>
              <w:numPr>
                <w:ilvl w:val="0"/>
                <w:numId w:val="38"/>
              </w:numPr>
              <w:spacing w:after="240" w:line="300" w:lineRule="atLeast"/>
              <w:ind w:left="720" w:right="0" w:hanging="360"/>
              <w:jc w:val="left"/>
              <w:rPr>
                <w:color w:val="646464"/>
                <w:sz w:val="21"/>
                <w:szCs w:val="21"/>
              </w:rPr>
            </w:pPr>
            <w:r>
              <w:rPr>
                <w:color w:val="646464"/>
                <w:sz w:val="21"/>
                <w:szCs w:val="21"/>
              </w:rPr>
              <w:t>Démembrement de propriété ;</w:t>
            </w:r>
          </w:p>
          <w:p>
            <w:pPr>
              <w:numPr>
                <w:ilvl w:val="0"/>
                <w:numId w:val="38"/>
              </w:numPr>
              <w:spacing w:after="240" w:line="300" w:lineRule="atLeast"/>
              <w:ind w:left="720" w:right="0" w:hanging="360"/>
              <w:jc w:val="left"/>
              <w:rPr>
                <w:color w:val="646464"/>
                <w:sz w:val="21"/>
                <w:szCs w:val="21"/>
              </w:rPr>
            </w:pPr>
            <w:hyperlink r:id="rId17" w:history="1">
              <w:r>
                <w:rPr>
                  <w:rStyle w:val="a"/>
                  <w:color w:val="4623EB"/>
                  <w:sz w:val="21"/>
                  <w:szCs w:val="21"/>
                </w:rPr>
                <w:t>Société civile immobilière ou de placement.</w:t>
              </w:r>
            </w:hyperlink>
          </w:p>
        </w:tc>
      </w:tr>
    </w:tbl>
    <w:p>
      <w:pPr>
        <w:pStyle w:val="legal-notice"/>
        <w:spacing w:before="1920" w:line="240" w:lineRule="atLeast"/>
        <w:jc w:val="center"/>
        <w:rPr>
          <w:color w:val="9A9A9A"/>
          <w:sz w:val="18"/>
          <w:szCs w:val="18"/>
        </w:rPr>
      </w:pPr>
      <w:r>
        <w:rPr>
          <w:color w:val="9A9A9A"/>
          <w:sz w:val="18"/>
          <w:szCs w:val="18"/>
        </w:rPr>
        <w:t>Bonjour Développement – S.A.R.L. à capital variable (capital minimum de 10 000 €uros) enregistrée au RCS de Toulouse sous le n° 524 683 489 – Code APE 7010Z - TVA INTRACOMMUNAUTAIRE FR51524683489 - 14/16 place Laganne 31300 TOULOUSE – Téléphone : 05 61 52 17 01 – contact@gestiondepatrimoine.com – www.gestiondepatrimoine.com Bonjour Développement exploite le site internet www.gestiondepatrimoine.com qui est la vitrine web et marketing des cabinets PYRENEES FINANCE CONSEIL et CGP ONE qui détiennent en propre l’intégralité des habilitations nécessaires pour l’exercice de la profession de Conseil en Gestion de Patrimoine - Enregistrées respectivement à l’ORIAS sous le n° 07 002 919 et sous le n° 07 008 066 (https://www.orias.fr) en qualité de Courtier en Assurance positionné dans la catégorie « b », de Courtier en opérations de banque et en services de paiement et de Conseiller en Investissements Financiers adhérents à la Chambre Nationale des Conseillers en Gestion de Patrimoine (CNCGP), association agréée par l'AMF (Autorité des Marchés Financiers) – Activité de transaction sur immeuble et fonds de commerce carte professionnelle n° CPI 3101 2018 000 035 300 délivrée par la CCI de Toulouse pour CGP ONE et n°CPI 6501 2021 000 000 001 délivrée par la CCI de Tarbes et des Hautes-Pyrénées pour PYRENEES FINANCE CONSEIL - RCP et garantie financière n°112.786.342 (adhérent n°224545 pour CGP ONE et n°232188 pour PYRENEES FINANCE CONSEIL) auprès de la Compagnie MMA IARD Assurances Mutuelles / MMA IARD, 14 Bd Marie et Alexandre Oyon 72030 LE MANS CEDEX 9. Ne peut recevoir aucun fonds, effet ou valeur.</w:t>
      </w:r>
    </w:p>
    <w:sectPr>
      <w:headerReference w:type="default" r:id="rId18"/>
      <w:footerReference w:type="default" r:id="rId19"/>
      <w:pgSz w:w="11906" w:h="16838"/>
      <w:pgMar w:top="454" w:right="680" w:bottom="794" w:left="851" w:header="454" w:footer="454"/>
      <w:pgNumType w:start="1"/>
      <w:cols w:space="708"/>
      <w:titlePg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ebdings">
    <w:panose1 w:val="05030102010509060703"/>
    <w:charset w:val="02"/>
    <w:family w:val="roman"/>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ource Sans Pro">
    <w:altName w:val="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tbl>
    <w:tblPr>
      <w:tblStyle w:val="TableNormal"/>
      <w:tblW w:w="5000" w:type="pct"/>
      <w:jc w:val="center"/>
      <w:tblCellSpacing w:w="-8" w:type="dxa"/>
      <w:tblLayout w:type="fixed"/>
      <w:tblCellMar>
        <w:top w:w="15" w:type="dxa"/>
        <w:left w:w="45" w:type="dxa"/>
        <w:bottom w:w="15" w:type="dxa"/>
        <w:right w:w="45" w:type="dxa"/>
      </w:tblCellMar>
      <w:tblLook w:val="04A0"/>
    </w:tblPr>
    <w:tblGrid>
      <w:gridCol w:w="9887"/>
      <w:gridCol w:w="578"/>
    </w:tblGrid>
    <w:tr w:rsidTr="00650C20">
      <w:tblPrEx>
        <w:tblW w:w="5000" w:type="pct"/>
        <w:jc w:val="center"/>
        <w:tblCellSpacing w:w="-8" w:type="dxa"/>
        <w:tblLayout w:type="fixed"/>
        <w:tblCellMar>
          <w:top w:w="15" w:type="dxa"/>
          <w:left w:w="45" w:type="dxa"/>
          <w:bottom w:w="15" w:type="dxa"/>
          <w:right w:w="45" w:type="dxa"/>
        </w:tblCellMar>
        <w:tblLook w:val="04A0"/>
      </w:tblPrEx>
      <w:trPr>
        <w:tblCellSpacing w:w="-8" w:type="dxa"/>
        <w:jc w:val="center"/>
      </w:trPr>
      <w:tc>
        <w:tcPr>
          <w:tcW w:w="4724" w:type="pct"/>
        </w:tcPr>
        <w:p w:rsidR="00A80841" w:rsidRPr="00D46CF9" w:rsidP="00650C20">
          <w:pPr>
            <w:jc w:val="center"/>
          </w:pPr>
        </w:p>
      </w:tc>
      <w:tc>
        <w:tcPr>
          <w:tcW w:w="299" w:type="pct"/>
        </w:tcPr>
        <w:p w:rsidR="00A80841" w:rsidRPr="00D46CF9" w:rsidP="00650C20">
          <w:pPr>
            <w:jc w:val="center"/>
          </w:pPr>
          <w:r w:rsidRPr="00D46CF9">
            <w:rPr>
              <w:b/>
            </w:rPr>
            <w:fldChar w:fldCharType="begin"/>
          </w:r>
          <w:r w:rsidRPr="00D46CF9" w:rsidR="00320D97">
            <w:rPr>
              <w:b/>
            </w:rPr>
            <w:instrText xml:space="preserve">PAGE </w:instrText>
          </w:r>
          <w:r w:rsidRPr="00D46CF9">
            <w:rPr>
              <w:b/>
            </w:rPr>
            <w:fldChar w:fldCharType="separate"/>
          </w:r>
          <w:r w:rsidRPr="00D46CF9" w:rsidR="00320D97">
            <w:rPr>
              <w:b/>
            </w:rPr>
            <w:t>8</w:t>
          </w:r>
          <w:r w:rsidRPr="00D46CF9">
            <w:rPr>
              <w:b/>
            </w:rPr>
            <w:fldChar w:fldCharType="end"/>
          </w:r>
        </w:p>
      </w:tc>
    </w:tr>
  </w:tbl>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FB301D">
    <w:pPr>
      <w:pStyle w:val="Heade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FFFFFF7C"/>
    <w:multiLevelType w:val="singleLevel"/>
    <w:tmpl w:val="630082B0"/>
    <w:lvl w:ilvl="0">
      <w:start w:val="1"/>
      <w:numFmt w:val="decimal"/>
      <w:lvlText w:val="%1."/>
      <w:lvlJc w:val="left"/>
      <w:pPr>
        <w:tabs>
          <w:tab w:val="num" w:pos="1492"/>
        </w:tabs>
        <w:ind w:left="1492" w:hanging="360"/>
      </w:pPr>
    </w:lvl>
  </w:abstractNum>
  <w:abstractNum w:abstractNumId="1">
    <w:nsid w:val="FFFFFF7D"/>
    <w:multiLevelType w:val="singleLevel"/>
    <w:tmpl w:val="658ACEFE"/>
    <w:lvl w:ilvl="0">
      <w:start w:val="1"/>
      <w:numFmt w:val="decimal"/>
      <w:lvlText w:val="%1."/>
      <w:lvlJc w:val="left"/>
      <w:pPr>
        <w:tabs>
          <w:tab w:val="num" w:pos="1209"/>
        </w:tabs>
        <w:ind w:left="1209" w:hanging="360"/>
      </w:pPr>
    </w:lvl>
  </w:abstractNum>
  <w:abstractNum w:abstractNumId="2">
    <w:nsid w:val="FFFFFF7E"/>
    <w:multiLevelType w:val="singleLevel"/>
    <w:tmpl w:val="228496FA"/>
    <w:lvl w:ilvl="0">
      <w:start w:val="1"/>
      <w:numFmt w:val="decimal"/>
      <w:lvlText w:val="%1."/>
      <w:lvlJc w:val="left"/>
      <w:pPr>
        <w:tabs>
          <w:tab w:val="num" w:pos="926"/>
        </w:tabs>
        <w:ind w:left="926" w:hanging="360"/>
      </w:pPr>
    </w:lvl>
  </w:abstractNum>
  <w:abstractNum w:abstractNumId="3">
    <w:nsid w:val="FFFFFF7F"/>
    <w:multiLevelType w:val="singleLevel"/>
    <w:tmpl w:val="1884BF30"/>
    <w:lvl w:ilvl="0">
      <w:start w:val="1"/>
      <w:numFmt w:val="decimal"/>
      <w:lvlText w:val="%1."/>
      <w:lvlJc w:val="left"/>
      <w:pPr>
        <w:tabs>
          <w:tab w:val="num" w:pos="643"/>
        </w:tabs>
        <w:ind w:left="643" w:hanging="360"/>
      </w:pPr>
    </w:lvl>
  </w:abstractNum>
  <w:abstractNum w:abstractNumId="4">
    <w:nsid w:val="FFFFFF80"/>
    <w:multiLevelType w:val="singleLevel"/>
    <w:tmpl w:val="D06EA2F8"/>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561CF4C6"/>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AF784318"/>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624982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C25258C6"/>
    <w:lvl w:ilvl="0">
      <w:start w:val="1"/>
      <w:numFmt w:val="decimal"/>
      <w:lvlText w:val="%1."/>
      <w:lvlJc w:val="left"/>
      <w:pPr>
        <w:tabs>
          <w:tab w:val="num" w:pos="360"/>
        </w:tabs>
        <w:ind w:left="360" w:hanging="360"/>
      </w:pPr>
    </w:lvl>
  </w:abstractNum>
  <w:abstractNum w:abstractNumId="9">
    <w:nsid w:val="FFFFFF89"/>
    <w:multiLevelType w:val="singleLevel"/>
    <w:tmpl w:val="2B523E04"/>
    <w:lvl w:ilvl="0">
      <w:start w:val="1"/>
      <w:numFmt w:val="bullet"/>
      <w:lvlText w:val=""/>
      <w:lvlJc w:val="left"/>
      <w:pPr>
        <w:tabs>
          <w:tab w:val="num" w:pos="360"/>
        </w:tabs>
        <w:ind w:left="360" w:hanging="360"/>
      </w:pPr>
      <w:rPr>
        <w:rFonts w:ascii="Symbol" w:hAnsi="Symbol" w:hint="default"/>
      </w:rPr>
    </w:lvl>
  </w:abstractNum>
  <w:abstractNum w:abstractNumId="10">
    <w:nsid w:val="00000004"/>
    <w:multiLevelType w:val="hybridMultilevel"/>
    <w:tmpl w:val="1A082E12"/>
    <w:lvl w:ilvl="0">
      <w:start w:val="1"/>
      <w:numFmt w:val="bullet"/>
      <w:pStyle w:val="Listepuce3"/>
      <w:lvlText w:val=""/>
      <w:lvlJc w:val="left"/>
      <w:pPr>
        <w:ind w:left="927" w:hanging="360"/>
      </w:pPr>
      <w:rPr>
        <w:rFonts w:ascii="Wingdings" w:hAnsi="Wingdings" w:cs="Wingdings" w:hint="default"/>
        <w:color w:val="4B575F"/>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1">
    <w:nsid w:val="0000001A"/>
    <w:multiLevelType w:val="singleLevel"/>
    <w:tmpl w:val="2AA099C8"/>
    <w:lvl w:ilvl="0">
      <w:start w:val="1"/>
      <w:numFmt w:val="bullet"/>
      <w:pStyle w:val="Listepuce2"/>
      <w:lvlText w:val="-"/>
      <w:lvlJc w:val="left"/>
      <w:pPr>
        <w:ind w:left="435" w:hanging="360"/>
      </w:pPr>
      <w:rPr>
        <w:rFonts w:ascii="Arial" w:hAnsi="Arial" w:hint="default"/>
        <w:noProof/>
        <w:color w:val="4B575F"/>
        <w:sz w:val="20"/>
      </w:rPr>
    </w:lvl>
  </w:abstractNum>
  <w:abstractNum w:abstractNumId="12">
    <w:nsid w:val="07A6EE8B"/>
    <w:multiLevelType w:val="singleLevel"/>
    <w:tmpl w:val="D3F4C88C"/>
    <w:lvl w:ilvl="0">
      <w:start w:val="0"/>
      <w:numFmt w:val="bullet"/>
      <w:lvlText w:val="§"/>
      <w:lvlJc w:val="left"/>
      <w:pPr>
        <w:tabs>
          <w:tab w:val="num" w:pos="840"/>
        </w:tabs>
        <w:ind w:left="840" w:hanging="285"/>
      </w:pPr>
      <w:rPr>
        <w:rFonts w:ascii="Wingdings" w:hAnsi="Wingdings" w:cs="Wingdings"/>
        <w:sz w:val="20"/>
        <w:szCs w:val="20"/>
      </w:rPr>
    </w:lvl>
  </w:abstractNum>
  <w:abstractNum w:abstractNumId="13">
    <w:nsid w:val="24C37607"/>
    <w:multiLevelType w:val="multilevel"/>
    <w:tmpl w:val="040C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nsid w:val="26263294"/>
    <w:multiLevelType w:val="hybridMultilevel"/>
    <w:tmpl w:val="0418487C"/>
    <w:lvl w:ilvl="0">
      <w:start w:val="1"/>
      <w:numFmt w:val="bullet"/>
      <w:lvlText w:val="i"/>
      <w:lvlJc w:val="left"/>
      <w:pPr>
        <w:ind w:left="644" w:hanging="360"/>
      </w:pPr>
      <w:rPr>
        <w:rFonts w:ascii="Webdings" w:hAnsi="Webdings" w:cs="Wingdings" w:hint="default"/>
        <w:color w:val="5B9BD5" w:themeColor="accent1"/>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5">
    <w:nsid w:val="2D734BCD"/>
    <w:multiLevelType w:val="hybridMultilevel"/>
    <w:tmpl w:val="5228430C"/>
    <w:lvl w:ilvl="0">
      <w:start w:val="1"/>
      <w:numFmt w:val="bullet"/>
      <w:lvlText w:val="·"/>
      <w:lvlJc w:val="left"/>
      <w:pPr>
        <w:tabs>
          <w:tab w:val="num" w:pos="284"/>
        </w:tabs>
        <w:ind w:left="284" w:hanging="284"/>
      </w:pPr>
      <w:rPr>
        <w:rFonts w:ascii="Symbol" w:hAnsi="Symbol" w:cs="Wingdings" w:hint="default"/>
        <w:sz w:val="20"/>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6">
    <w:nsid w:val="302B16B9"/>
    <w:multiLevelType w:val="multilevel"/>
    <w:tmpl w:val="5D1C4DFA"/>
    <w:lvl w:ilvl="0">
      <w:start w:val="1"/>
      <w:numFmt w:val="bullet"/>
      <w:lvlText w:val="·"/>
      <w:lvlJc w:val="left"/>
      <w:pPr>
        <w:tabs>
          <w:tab w:val="num" w:pos="269"/>
        </w:tabs>
        <w:ind w:left="-299" w:firstLine="299"/>
      </w:pPr>
      <w:rPr>
        <w:rFonts w:ascii="Symbol" w:hAnsi="Symbol" w:cs="Wingdings" w:hint="default"/>
        <w:sz w:val="2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7">
    <w:nsid w:val="34B1309B"/>
    <w:multiLevelType w:val="singleLevel"/>
    <w:tmpl w:val="5C9EA41E"/>
    <w:lvl w:ilvl="0">
      <w:start w:val="1"/>
      <w:numFmt w:val="bullet"/>
      <w:lvlText w:val="i"/>
      <w:lvlJc w:val="left"/>
      <w:pPr>
        <w:tabs>
          <w:tab w:val="num" w:pos="555"/>
        </w:tabs>
        <w:ind w:hanging="285"/>
      </w:pPr>
      <w:rPr>
        <w:rFonts w:ascii="Webdings" w:hAnsi="Webdings"/>
        <w:color w:val="C84040"/>
        <w:sz w:val="20"/>
      </w:rPr>
    </w:lvl>
  </w:abstractNum>
  <w:abstractNum w:abstractNumId="18">
    <w:nsid w:val="38D45865"/>
    <w:multiLevelType w:val="multilevel"/>
    <w:tmpl w:val="8C120BA8"/>
    <w:lvl w:ilvl="0">
      <w:start w:val="1"/>
      <w:numFmt w:val="bullet"/>
      <w:lvlText w:val="-"/>
      <w:lvlJc w:val="left"/>
      <w:pPr>
        <w:tabs>
          <w:tab w:val="num" w:pos="1122"/>
        </w:tabs>
        <w:ind w:left="555" w:hanging="284"/>
      </w:pPr>
      <w:rPr>
        <w:rFonts w:ascii="Symbol" w:hAnsi="Symbol" w:cs="Wingdings" w:hint="default"/>
        <w:sz w:val="2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9">
    <w:nsid w:val="3B363A21"/>
    <w:multiLevelType w:val="hybridMultilevel"/>
    <w:tmpl w:val="4F4434A4"/>
    <w:lvl w:ilvl="0">
      <w:start w:val="1"/>
      <w:numFmt w:val="bullet"/>
      <w:lvlText w:val="-"/>
      <w:lvlJc w:val="left"/>
      <w:pPr>
        <w:tabs>
          <w:tab w:val="num" w:pos="567"/>
        </w:tabs>
        <w:ind w:left="567" w:hanging="296"/>
      </w:pPr>
      <w:rPr>
        <w:rFonts w:ascii="Symbol" w:hAnsi="Symbol" w:cs="Wingdings" w:hint="default"/>
        <w:sz w:val="20"/>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0">
    <w:nsid w:val="46A6F06B"/>
    <w:multiLevelType w:val="singleLevel"/>
    <w:tmpl w:val="5EC9667B"/>
    <w:lvl w:ilvl="0">
      <w:start w:val="1"/>
      <w:numFmt w:val="bullet"/>
      <w:lvlText w:val="·"/>
      <w:lvlJc w:val="left"/>
      <w:pPr>
        <w:tabs>
          <w:tab w:val="num" w:pos="270"/>
        </w:tabs>
        <w:ind w:hanging="285"/>
      </w:pPr>
      <w:rPr>
        <w:rFonts w:ascii="Symbol" w:hAnsi="Symbol"/>
        <w:noProof/>
        <w:sz w:val="20"/>
      </w:rPr>
    </w:lvl>
  </w:abstractNum>
  <w:abstractNum w:abstractNumId="21">
    <w:nsid w:val="4C43CD31"/>
    <w:multiLevelType w:val="singleLevel"/>
    <w:tmpl w:val="45622109"/>
    <w:lvl w:ilvl="0">
      <w:start w:val="1"/>
      <w:numFmt w:val="bullet"/>
      <w:lvlText w:val="§"/>
      <w:lvlJc w:val="left"/>
      <w:pPr>
        <w:tabs>
          <w:tab w:val="num" w:pos="840"/>
        </w:tabs>
        <w:ind w:hanging="285"/>
      </w:pPr>
      <w:rPr>
        <w:rFonts w:ascii="Wingdings" w:hAnsi="Wingdings"/>
        <w:noProof/>
        <w:sz w:val="20"/>
      </w:rPr>
    </w:lvl>
  </w:abstractNum>
  <w:abstractNum w:abstractNumId="22">
    <w:nsid w:val="5EAE291D"/>
    <w:multiLevelType w:val="singleLevel"/>
    <w:tmpl w:val="D41CDB52"/>
    <w:lvl w:ilvl="0">
      <w:start w:val="0"/>
      <w:numFmt w:val="bullet"/>
      <w:lvlText w:val="i"/>
      <w:lvlJc w:val="left"/>
      <w:pPr>
        <w:tabs>
          <w:tab w:val="num" w:pos="555"/>
        </w:tabs>
        <w:ind w:left="555" w:hanging="285"/>
      </w:pPr>
      <w:rPr>
        <w:rFonts w:ascii="Webdings" w:hAnsi="Webdings" w:cs="Webdings"/>
        <w:color w:val="C84040"/>
        <w:sz w:val="20"/>
        <w:szCs w:val="20"/>
      </w:rPr>
    </w:lvl>
  </w:abstractNum>
  <w:abstractNum w:abstractNumId="23">
    <w:nsid w:val="5FEC2877"/>
    <w:multiLevelType w:val="hybridMultilevel"/>
    <w:tmpl w:val="74A8DB74"/>
    <w:lvl w:ilvl="0">
      <w:start w:val="1"/>
      <w:numFmt w:val="bullet"/>
      <w:pStyle w:val="Bulleinfo"/>
      <w:lvlText w:val=""/>
      <w:lvlJc w:val="left"/>
      <w:pPr>
        <w:ind w:left="717" w:hanging="360"/>
      </w:pPr>
      <w:rPr>
        <w:rFonts w:ascii="Webdings" w:hAnsi="Webdings" w:cs="Wingdings" w:hint="default"/>
        <w:color w:val="39659F"/>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4">
    <w:nsid w:val="615D72BF"/>
    <w:multiLevelType w:val="multilevel"/>
    <w:tmpl w:val="CFD80868"/>
    <w:lvl w:ilvl="0">
      <w:start w:val="1"/>
      <w:numFmt w:val="bullet"/>
      <w:lvlText w:val=""/>
      <w:lvlJc w:val="left"/>
      <w:pPr>
        <w:tabs>
          <w:tab w:val="num" w:pos="851"/>
        </w:tabs>
        <w:ind w:left="851" w:hanging="284"/>
      </w:pPr>
      <w:rPr>
        <w:rFonts w:ascii="Wingdings" w:hAnsi="Wingdings" w:hint="default"/>
      </w:rPr>
    </w:lvl>
    <w:lvl w:ilvl="1">
      <w:start w:val="1"/>
      <w:numFmt w:val="bullet"/>
      <w:lvlText w:val="o"/>
      <w:lvlJc w:val="left"/>
      <w:pPr>
        <w:tabs>
          <w:tab w:val="num" w:pos="2280"/>
        </w:tabs>
        <w:ind w:left="2280" w:hanging="360"/>
      </w:pPr>
      <w:rPr>
        <w:rFonts w:ascii="Courier New" w:hAnsi="Courier New" w:cs="Courier New" w:hint="default"/>
      </w:rPr>
    </w:lvl>
    <w:lvl w:ilvl="2">
      <w:start w:val="1"/>
      <w:numFmt w:val="bullet"/>
      <w:lvlText w:val=""/>
      <w:lvlJc w:val="left"/>
      <w:pPr>
        <w:tabs>
          <w:tab w:val="num" w:pos="3000"/>
        </w:tabs>
        <w:ind w:left="3000" w:hanging="360"/>
      </w:pPr>
      <w:rPr>
        <w:rFonts w:ascii="Wingdings" w:hAnsi="Wingdings" w:hint="default"/>
      </w:rPr>
    </w:lvl>
    <w:lvl w:ilvl="3">
      <w:start w:val="1"/>
      <w:numFmt w:val="bullet"/>
      <w:lvlText w:val=""/>
      <w:lvlJc w:val="left"/>
      <w:pPr>
        <w:tabs>
          <w:tab w:val="num" w:pos="3720"/>
        </w:tabs>
        <w:ind w:left="3720" w:hanging="360"/>
      </w:pPr>
      <w:rPr>
        <w:rFonts w:ascii="Symbol" w:hAnsi="Symbol" w:hint="default"/>
      </w:rPr>
    </w:lvl>
    <w:lvl w:ilvl="4">
      <w:start w:val="1"/>
      <w:numFmt w:val="bullet"/>
      <w:lvlText w:val="o"/>
      <w:lvlJc w:val="left"/>
      <w:pPr>
        <w:tabs>
          <w:tab w:val="num" w:pos="4440"/>
        </w:tabs>
        <w:ind w:left="4440" w:hanging="360"/>
      </w:pPr>
      <w:rPr>
        <w:rFonts w:ascii="Courier New" w:hAnsi="Courier New" w:cs="Courier New" w:hint="default"/>
      </w:rPr>
    </w:lvl>
    <w:lvl w:ilvl="5">
      <w:start w:val="1"/>
      <w:numFmt w:val="bullet"/>
      <w:lvlText w:val=""/>
      <w:lvlJc w:val="left"/>
      <w:pPr>
        <w:tabs>
          <w:tab w:val="num" w:pos="5160"/>
        </w:tabs>
        <w:ind w:left="5160" w:hanging="360"/>
      </w:pPr>
      <w:rPr>
        <w:rFonts w:ascii="Wingdings" w:hAnsi="Wingdings" w:hint="default"/>
      </w:rPr>
    </w:lvl>
    <w:lvl w:ilvl="6">
      <w:start w:val="1"/>
      <w:numFmt w:val="bullet"/>
      <w:lvlText w:val=""/>
      <w:lvlJc w:val="left"/>
      <w:pPr>
        <w:tabs>
          <w:tab w:val="num" w:pos="5880"/>
        </w:tabs>
        <w:ind w:left="5880" w:hanging="360"/>
      </w:pPr>
      <w:rPr>
        <w:rFonts w:ascii="Symbol" w:hAnsi="Symbol" w:hint="default"/>
      </w:rPr>
    </w:lvl>
    <w:lvl w:ilvl="7">
      <w:start w:val="1"/>
      <w:numFmt w:val="bullet"/>
      <w:lvlText w:val="o"/>
      <w:lvlJc w:val="left"/>
      <w:pPr>
        <w:tabs>
          <w:tab w:val="num" w:pos="6600"/>
        </w:tabs>
        <w:ind w:left="6600" w:hanging="360"/>
      </w:pPr>
      <w:rPr>
        <w:rFonts w:ascii="Courier New" w:hAnsi="Courier New" w:cs="Courier New" w:hint="default"/>
      </w:rPr>
    </w:lvl>
    <w:lvl w:ilvl="8">
      <w:start w:val="1"/>
      <w:numFmt w:val="bullet"/>
      <w:lvlText w:val=""/>
      <w:lvlJc w:val="left"/>
      <w:pPr>
        <w:tabs>
          <w:tab w:val="num" w:pos="7320"/>
        </w:tabs>
        <w:ind w:left="7320" w:hanging="360"/>
      </w:pPr>
      <w:rPr>
        <w:rFonts w:ascii="Wingdings" w:hAnsi="Wingdings" w:hint="default"/>
      </w:rPr>
    </w:lvl>
  </w:abstractNum>
  <w:abstractNum w:abstractNumId="25">
    <w:nsid w:val="62249CE4"/>
    <w:multiLevelType w:val="singleLevel"/>
    <w:tmpl w:val="25F2EB60"/>
    <w:lvl w:ilvl="0">
      <w:start w:val="1"/>
      <w:numFmt w:val="bullet"/>
      <w:lvlText w:val="-"/>
      <w:lvlJc w:val="left"/>
      <w:pPr>
        <w:tabs>
          <w:tab w:val="num" w:pos="555"/>
        </w:tabs>
        <w:ind w:hanging="285"/>
      </w:pPr>
      <w:rPr>
        <w:rFonts w:ascii="Symbol" w:hAnsi="Symbol"/>
        <w:noProof/>
        <w:sz w:val="20"/>
      </w:rPr>
    </w:lvl>
  </w:abstractNum>
  <w:abstractNum w:abstractNumId="26">
    <w:nsid w:val="72404382"/>
    <w:multiLevelType w:val="hybridMultilevel"/>
    <w:tmpl w:val="0602BE92"/>
    <w:lvl w:ilvl="0">
      <w:start w:val="1"/>
      <w:numFmt w:val="bullet"/>
      <w:pStyle w:val="Listepuce"/>
      <w:lvlText w:val=""/>
      <w:lvlJc w:val="left"/>
      <w:pPr>
        <w:ind w:left="360" w:hanging="360"/>
      </w:pPr>
      <w:rPr>
        <w:rFonts w:ascii="Symbol" w:hAnsi="Symbol" w:hint="default"/>
        <w:color w:val="39659F"/>
        <w:sz w:val="26"/>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7">
    <w:nsid w:val="72404383"/>
    <w:multiLevelType w:val="hybridMultilevel"/>
    <w:tmpl w:val="72404383"/>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8">
    <w:nsid w:val="72404384"/>
    <w:multiLevelType w:val="hybridMultilevel"/>
    <w:tmpl w:val="72404384"/>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9">
    <w:nsid w:val="72404385"/>
    <w:multiLevelType w:val="hybridMultilevel"/>
    <w:tmpl w:val="72404385"/>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0">
    <w:nsid w:val="72404386"/>
    <w:multiLevelType w:val="hybridMultilevel"/>
    <w:tmpl w:val="72404386"/>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1">
    <w:nsid w:val="72404387"/>
    <w:multiLevelType w:val="hybridMultilevel"/>
    <w:tmpl w:val="72404387"/>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2">
    <w:nsid w:val="72404388"/>
    <w:multiLevelType w:val="hybridMultilevel"/>
    <w:tmpl w:val="72404388"/>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3">
    <w:nsid w:val="72404389"/>
    <w:multiLevelType w:val="hybridMultilevel"/>
    <w:tmpl w:val="72404389"/>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4">
    <w:nsid w:val="7240438A"/>
    <w:multiLevelType w:val="hybridMultilevel"/>
    <w:tmpl w:val="7240438A"/>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5">
    <w:nsid w:val="7240438B"/>
    <w:multiLevelType w:val="hybridMultilevel"/>
    <w:tmpl w:val="7240438B"/>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6">
    <w:nsid w:val="7240438C"/>
    <w:multiLevelType w:val="hybridMultilevel"/>
    <w:tmpl w:val="7240438C"/>
    <w:lvl w:ilvl="0">
      <w:start w:val="1"/>
      <w:numFmt w:val="bullet"/>
      <w:lvlText w:val=""/>
      <w:lvlJc w:val="left"/>
      <w:pPr>
        <w:ind w:left="720" w:hanging="360"/>
      </w:pPr>
      <w:rPr>
        <w:rFonts w:ascii="Symbol" w:hAnsi="Symbol"/>
      </w:rPr>
    </w:lvl>
    <w:lvl w:ilvl="1">
      <w:start w:val="1"/>
      <w:numFmt w:val="bullet"/>
      <w:lvlText w:val="o"/>
      <w:lvlJc w:val="left"/>
      <w:pPr>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25"/>
  </w:num>
  <w:num w:numId="2">
    <w:abstractNumId w:val="20"/>
  </w:num>
  <w:num w:numId="3">
    <w:abstractNumId w:val="17"/>
  </w:num>
  <w:num w:numId="4">
    <w:abstractNumId w:val="21"/>
  </w:num>
  <w:num w:numId="5">
    <w:abstractNumId w:val="14"/>
  </w:num>
  <w:num w:numId="6">
    <w:abstractNumId w:val="8"/>
  </w:num>
  <w:num w:numId="7">
    <w:abstractNumId w:val="3"/>
  </w:num>
  <w:num w:numId="8">
    <w:abstractNumId w:val="2"/>
  </w:num>
  <w:num w:numId="9">
    <w:abstractNumId w:val="1"/>
  </w:num>
  <w:num w:numId="10">
    <w:abstractNumId w:val="0"/>
  </w:num>
  <w:num w:numId="11">
    <w:abstractNumId w:val="9"/>
  </w:num>
  <w:num w:numId="12">
    <w:abstractNumId w:val="7"/>
  </w:num>
  <w:num w:numId="13">
    <w:abstractNumId w:val="6"/>
  </w:num>
  <w:num w:numId="14">
    <w:abstractNumId w:val="5"/>
  </w:num>
  <w:num w:numId="15">
    <w:abstractNumId w:val="4"/>
  </w:num>
  <w:num w:numId="16">
    <w:abstractNumId w:val="15"/>
  </w:num>
  <w:num w:numId="17">
    <w:abstractNumId w:val="19"/>
  </w:num>
  <w:num w:numId="18">
    <w:abstractNumId w:val="18"/>
  </w:num>
  <w:num w:numId="19">
    <w:abstractNumId w:val="24"/>
  </w:num>
  <w:num w:numId="20">
    <w:abstractNumId w:val="16"/>
  </w:num>
  <w:num w:numId="21">
    <w:abstractNumId w:val="22"/>
  </w:num>
  <w:num w:numId="22">
    <w:abstractNumId w:val="12"/>
  </w:num>
  <w:num w:numId="23">
    <w:abstractNumId w:val="13"/>
  </w:num>
  <w:num w:numId="24">
    <w:abstractNumId w:val="23"/>
  </w:num>
  <w:num w:numId="25">
    <w:abstractNumId w:val="23"/>
  </w:num>
  <w:num w:numId="26">
    <w:abstractNumId w:val="26"/>
  </w:num>
  <w:num w:numId="27">
    <w:abstractNumId w:val="11"/>
  </w:num>
  <w:num w:numId="28">
    <w:abstractNumId w:val="10"/>
  </w:num>
  <w:num w:numId="29">
    <w:abstractNumId w:val="27"/>
  </w:num>
  <w:num w:numId="30">
    <w:abstractNumId w:val="28"/>
  </w:num>
  <w:num w:numId="31">
    <w:abstractNumId w:val="29"/>
  </w:num>
  <w:num w:numId="32">
    <w:abstractNumId w:val="30"/>
  </w:num>
  <w:num w:numId="33">
    <w:abstractNumId w:val="31"/>
  </w:num>
  <w:num w:numId="34">
    <w:abstractNumId w:val="32"/>
  </w:num>
  <w:num w:numId="35">
    <w:abstractNumId w:val="33"/>
  </w:num>
  <w:num w:numId="36">
    <w:abstractNumId w:val="34"/>
  </w:num>
  <w:num w:numId="37">
    <w:abstractNumId w:val="35"/>
  </w:num>
  <w:num w:numId="38">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grammar="clean"/>
  <w:stylePaneFormatFilter w:val="3001" w:allStyles="1" w:alternateStyleNames="0" w:clearFormatting="1" w:customStyles="0" w:directFormattingOnNumbering="0" w:directFormattingOnParagraphs="0" w:directFormattingOnRuns="0" w:directFormattingOnTables="0" w:headingStyles="0" w:latentStyles="0" w:numberingStyles="0" w:stylesInUse="0" w:tableStyles="0" w:top3HeadingStyles="1" w:visibleStyles="0"/>
  <w:stylePaneSortMethod w:val="name"/>
  <w:defaultTabStop w:val="720"/>
  <w:hyphenationZone w:val="425"/>
  <w:doNotShadeFormData/>
  <w:characterSpacingControl w:val="compressPunctuation"/>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4901"/>
    <w:rsid w:val="000139BB"/>
    <w:rsid w:val="000169B4"/>
    <w:rsid w:val="00021B1D"/>
    <w:rsid w:val="0002488E"/>
    <w:rsid w:val="00030EDF"/>
    <w:rsid w:val="00046E08"/>
    <w:rsid w:val="000603F8"/>
    <w:rsid w:val="00092AEA"/>
    <w:rsid w:val="0009665C"/>
    <w:rsid w:val="000D575D"/>
    <w:rsid w:val="0013271A"/>
    <w:rsid w:val="00174B96"/>
    <w:rsid w:val="00180675"/>
    <w:rsid w:val="001A5821"/>
    <w:rsid w:val="001B0796"/>
    <w:rsid w:val="001B4BE8"/>
    <w:rsid w:val="001D3BC2"/>
    <w:rsid w:val="001F27E9"/>
    <w:rsid w:val="00204901"/>
    <w:rsid w:val="0020506C"/>
    <w:rsid w:val="00212F71"/>
    <w:rsid w:val="002156F2"/>
    <w:rsid w:val="00220EE7"/>
    <w:rsid w:val="00221880"/>
    <w:rsid w:val="00244652"/>
    <w:rsid w:val="0024758D"/>
    <w:rsid w:val="00251547"/>
    <w:rsid w:val="00274886"/>
    <w:rsid w:val="002762A5"/>
    <w:rsid w:val="002B3CDE"/>
    <w:rsid w:val="002B3FBD"/>
    <w:rsid w:val="002C1627"/>
    <w:rsid w:val="002D18D3"/>
    <w:rsid w:val="002D24EA"/>
    <w:rsid w:val="002D296B"/>
    <w:rsid w:val="002D2A2A"/>
    <w:rsid w:val="002E0D29"/>
    <w:rsid w:val="00320D97"/>
    <w:rsid w:val="003235C7"/>
    <w:rsid w:val="00330A1F"/>
    <w:rsid w:val="003656BA"/>
    <w:rsid w:val="00373012"/>
    <w:rsid w:val="003849EF"/>
    <w:rsid w:val="003B439B"/>
    <w:rsid w:val="003B49BA"/>
    <w:rsid w:val="003C20A4"/>
    <w:rsid w:val="003E02F8"/>
    <w:rsid w:val="003E38B5"/>
    <w:rsid w:val="003F08EB"/>
    <w:rsid w:val="004114DC"/>
    <w:rsid w:val="0042227E"/>
    <w:rsid w:val="0043194F"/>
    <w:rsid w:val="00437242"/>
    <w:rsid w:val="00442EA8"/>
    <w:rsid w:val="00455499"/>
    <w:rsid w:val="004649AC"/>
    <w:rsid w:val="004662EF"/>
    <w:rsid w:val="004663B5"/>
    <w:rsid w:val="004767DB"/>
    <w:rsid w:val="00491077"/>
    <w:rsid w:val="004A1928"/>
    <w:rsid w:val="004D4149"/>
    <w:rsid w:val="004D518C"/>
    <w:rsid w:val="004E4109"/>
    <w:rsid w:val="004F1898"/>
    <w:rsid w:val="004F74DA"/>
    <w:rsid w:val="00512E6D"/>
    <w:rsid w:val="00523FEB"/>
    <w:rsid w:val="0053205D"/>
    <w:rsid w:val="0053472E"/>
    <w:rsid w:val="00546B1B"/>
    <w:rsid w:val="0055180E"/>
    <w:rsid w:val="00554E4B"/>
    <w:rsid w:val="00565E3B"/>
    <w:rsid w:val="005868D0"/>
    <w:rsid w:val="00591A78"/>
    <w:rsid w:val="00593833"/>
    <w:rsid w:val="005A6ADE"/>
    <w:rsid w:val="005C4D8F"/>
    <w:rsid w:val="005E4F0A"/>
    <w:rsid w:val="005F6BB1"/>
    <w:rsid w:val="0060117A"/>
    <w:rsid w:val="00614A4A"/>
    <w:rsid w:val="00633941"/>
    <w:rsid w:val="00650C20"/>
    <w:rsid w:val="00652AD1"/>
    <w:rsid w:val="00652F5C"/>
    <w:rsid w:val="0066291B"/>
    <w:rsid w:val="0068574B"/>
    <w:rsid w:val="00691706"/>
    <w:rsid w:val="006A38E2"/>
    <w:rsid w:val="006E1B6F"/>
    <w:rsid w:val="006F1D65"/>
    <w:rsid w:val="007070B6"/>
    <w:rsid w:val="00717372"/>
    <w:rsid w:val="007234AA"/>
    <w:rsid w:val="00734164"/>
    <w:rsid w:val="00745C53"/>
    <w:rsid w:val="0075142C"/>
    <w:rsid w:val="00751C79"/>
    <w:rsid w:val="00753F6D"/>
    <w:rsid w:val="007752BC"/>
    <w:rsid w:val="00780EC2"/>
    <w:rsid w:val="00783662"/>
    <w:rsid w:val="00787BFC"/>
    <w:rsid w:val="007940CD"/>
    <w:rsid w:val="0079546B"/>
    <w:rsid w:val="00796A57"/>
    <w:rsid w:val="007A770C"/>
    <w:rsid w:val="007B4511"/>
    <w:rsid w:val="007B52DF"/>
    <w:rsid w:val="007C72EB"/>
    <w:rsid w:val="007D299A"/>
    <w:rsid w:val="007D6934"/>
    <w:rsid w:val="007F3411"/>
    <w:rsid w:val="0080257B"/>
    <w:rsid w:val="00823211"/>
    <w:rsid w:val="00825D56"/>
    <w:rsid w:val="0085094D"/>
    <w:rsid w:val="0085502C"/>
    <w:rsid w:val="008635AA"/>
    <w:rsid w:val="008848FC"/>
    <w:rsid w:val="008B1AB8"/>
    <w:rsid w:val="008B6750"/>
    <w:rsid w:val="008C6368"/>
    <w:rsid w:val="008D1ACF"/>
    <w:rsid w:val="00907DD4"/>
    <w:rsid w:val="00925C1D"/>
    <w:rsid w:val="0093022A"/>
    <w:rsid w:val="00931DB5"/>
    <w:rsid w:val="009350EE"/>
    <w:rsid w:val="00952EC1"/>
    <w:rsid w:val="00960279"/>
    <w:rsid w:val="00984DA7"/>
    <w:rsid w:val="00985BB2"/>
    <w:rsid w:val="00990866"/>
    <w:rsid w:val="009C1E14"/>
    <w:rsid w:val="009D5469"/>
    <w:rsid w:val="00A03ADD"/>
    <w:rsid w:val="00A125ED"/>
    <w:rsid w:val="00A36561"/>
    <w:rsid w:val="00A45601"/>
    <w:rsid w:val="00A57662"/>
    <w:rsid w:val="00A74E46"/>
    <w:rsid w:val="00A7702E"/>
    <w:rsid w:val="00A80841"/>
    <w:rsid w:val="00A86A16"/>
    <w:rsid w:val="00AA5CA0"/>
    <w:rsid w:val="00AA65D4"/>
    <w:rsid w:val="00AD4F2B"/>
    <w:rsid w:val="00AE7BE4"/>
    <w:rsid w:val="00AF7AAB"/>
    <w:rsid w:val="00B22D10"/>
    <w:rsid w:val="00B25956"/>
    <w:rsid w:val="00B31322"/>
    <w:rsid w:val="00B33FC3"/>
    <w:rsid w:val="00B35B4D"/>
    <w:rsid w:val="00B36C62"/>
    <w:rsid w:val="00B602B7"/>
    <w:rsid w:val="00B7261B"/>
    <w:rsid w:val="00B80B77"/>
    <w:rsid w:val="00BB6490"/>
    <w:rsid w:val="00BC51B5"/>
    <w:rsid w:val="00BC6D95"/>
    <w:rsid w:val="00BD6DE2"/>
    <w:rsid w:val="00BD6FDE"/>
    <w:rsid w:val="00BE1CFB"/>
    <w:rsid w:val="00BE5A10"/>
    <w:rsid w:val="00C10F77"/>
    <w:rsid w:val="00C16D63"/>
    <w:rsid w:val="00C44334"/>
    <w:rsid w:val="00C65EC2"/>
    <w:rsid w:val="00C768CF"/>
    <w:rsid w:val="00C8150A"/>
    <w:rsid w:val="00C94B6D"/>
    <w:rsid w:val="00CB61B3"/>
    <w:rsid w:val="00CC31AB"/>
    <w:rsid w:val="00CC3628"/>
    <w:rsid w:val="00CC6718"/>
    <w:rsid w:val="00CD6A3D"/>
    <w:rsid w:val="00CE189C"/>
    <w:rsid w:val="00D074D7"/>
    <w:rsid w:val="00D10EEE"/>
    <w:rsid w:val="00D21DE2"/>
    <w:rsid w:val="00D23348"/>
    <w:rsid w:val="00D30AFC"/>
    <w:rsid w:val="00D46CF9"/>
    <w:rsid w:val="00D632C8"/>
    <w:rsid w:val="00D639C4"/>
    <w:rsid w:val="00D72AD7"/>
    <w:rsid w:val="00D73B5E"/>
    <w:rsid w:val="00D769A0"/>
    <w:rsid w:val="00D83933"/>
    <w:rsid w:val="00DB2382"/>
    <w:rsid w:val="00DE2A07"/>
    <w:rsid w:val="00DF64AE"/>
    <w:rsid w:val="00E4236C"/>
    <w:rsid w:val="00E5215B"/>
    <w:rsid w:val="00E64F38"/>
    <w:rsid w:val="00E705F7"/>
    <w:rsid w:val="00E83749"/>
    <w:rsid w:val="00EA3A23"/>
    <w:rsid w:val="00EB5E62"/>
    <w:rsid w:val="00ED54CB"/>
    <w:rsid w:val="00F02C4A"/>
    <w:rsid w:val="00F07263"/>
    <w:rsid w:val="00F076FA"/>
    <w:rsid w:val="00F303C9"/>
    <w:rsid w:val="00F4442A"/>
    <w:rsid w:val="00F5342A"/>
    <w:rsid w:val="00F56170"/>
    <w:rsid w:val="00F81C3C"/>
    <w:rsid w:val="00F832EE"/>
    <w:rsid w:val="00F93B6B"/>
    <w:rsid w:val="00FA5A2A"/>
    <w:rsid w:val="00FB301D"/>
    <w:rsid w:val="00FB7D57"/>
    <w:rsid w:val="00FC0083"/>
    <w:rsid w:val="00FC1F08"/>
    <w:rsid w:val="00FC2E48"/>
    <w:rsid w:val="00FC6091"/>
  </w:rsids>
  <m:mathPr>
    <m:mathFont m:val="Cambria Math"/>
  </m:mathPr>
  <w:themeFontLang w:val="fr-FR" w:bidi="ar-SA"/>
  <w:clrSchemeMapping w:bg1="light1" w:t1="dark1" w:bg2="light2" w:t2="dark2" w:accent1="accent1" w:accent2="accent2" w:accent3="accent3" w:accent4="accent4" w:accent5="accent5" w:accent6="accent6" w:hyperlink="hyperlink" w:followedHyperlink="followedHyperlink"/>
  <w:doNotIncludeSubdocsInStats/>
  <w14:docId w14:val="5FD68D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lang w:val="fr-FR" w:eastAsia="fr-F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705F7"/>
    <w:rPr>
      <w:rFonts w:ascii="Franklin Gothic Book" w:hAnsi="Franklin Gothic Book" w:eastAsiaTheme="minorHAnsi" w:cstheme="minorBidi"/>
      <w:color w:val="5F5F5F"/>
      <w:sz w:val="22"/>
      <w:szCs w:val="22"/>
      <w:lang w:eastAsia="en-US"/>
    </w:rPr>
  </w:style>
  <w:style w:type="paragraph" w:styleId="Heading1">
    <w:name w:val="heading 1"/>
    <w:basedOn w:val="BodyText"/>
    <w:link w:val="Titre1Car"/>
    <w:autoRedefine/>
    <w:uiPriority w:val="9"/>
    <w:qFormat/>
    <w:rsid w:val="004A1928"/>
    <w:pPr>
      <w:keepNext/>
      <w:keepLines/>
      <w:pageBreakBefore/>
      <w:framePr w:w="10433" w:wrap="around" w:vAnchor="page" w:hAnchor="text" w:yAlign="center"/>
      <w:pBdr>
        <w:bottom w:val="single" w:sz="12" w:space="1" w:color="39659F"/>
      </w:pBdr>
      <w:spacing w:after="0"/>
      <w:outlineLvl w:val="0"/>
    </w:pPr>
    <w:rPr>
      <w:rFonts w:eastAsiaTheme="majorEastAsia" w:cstheme="majorBidi"/>
      <w:caps/>
      <w:color w:val="39659F"/>
      <w:spacing w:val="60"/>
      <w:sz w:val="60"/>
      <w:szCs w:val="32"/>
    </w:rPr>
  </w:style>
  <w:style w:type="paragraph" w:styleId="Heading2">
    <w:name w:val="heading 2"/>
    <w:basedOn w:val="BodyText"/>
    <w:next w:val="BodyText"/>
    <w:link w:val="Titre2Car"/>
    <w:uiPriority w:val="9"/>
    <w:unhideWhenUsed/>
    <w:qFormat/>
    <w:rsid w:val="004A1928"/>
    <w:pPr>
      <w:keepNext/>
      <w:keepLines/>
      <w:pageBreakBefore/>
      <w:spacing w:after="240"/>
      <w:outlineLvl w:val="1"/>
    </w:pPr>
    <w:rPr>
      <w:rFonts w:eastAsiaTheme="majorEastAsia" w:cstheme="majorBidi"/>
      <w:caps/>
      <w:color w:val="39659F"/>
      <w:sz w:val="40"/>
      <w:szCs w:val="26"/>
    </w:rPr>
  </w:style>
  <w:style w:type="paragraph" w:styleId="Heading3">
    <w:name w:val="heading 3"/>
    <w:basedOn w:val="BodyText"/>
    <w:next w:val="BodyText"/>
    <w:link w:val="Titre3Car"/>
    <w:uiPriority w:val="9"/>
    <w:unhideWhenUsed/>
    <w:qFormat/>
    <w:rsid w:val="00565E3B"/>
    <w:pPr>
      <w:keepNext/>
      <w:keepLines/>
      <w:pBdr>
        <w:bottom w:val="dotted" w:sz="4" w:space="1" w:color="39659F"/>
      </w:pBdr>
      <w:spacing w:before="480" w:after="240" w:line="320" w:lineRule="exact"/>
      <w:outlineLvl w:val="2"/>
    </w:pPr>
    <w:rPr>
      <w:rFonts w:eastAsiaTheme="majorEastAsia" w:cstheme="majorBidi"/>
      <w:color w:val="39659F"/>
      <w:sz w:val="28"/>
      <w:szCs w:val="30"/>
    </w:rPr>
  </w:style>
  <w:style w:type="paragraph" w:styleId="Heading4">
    <w:name w:val="heading 4"/>
    <w:basedOn w:val="BodyText"/>
    <w:next w:val="BodyText"/>
    <w:link w:val="Titre4Car"/>
    <w:uiPriority w:val="9"/>
    <w:unhideWhenUsed/>
    <w:qFormat/>
    <w:rsid w:val="00251547"/>
    <w:pPr>
      <w:keepNext/>
      <w:keepLines/>
      <w:spacing w:before="240" w:after="240"/>
      <w:outlineLvl w:val="3"/>
    </w:pPr>
    <w:rPr>
      <w:rFonts w:eastAsiaTheme="majorEastAsia" w:cstheme="majorBidi"/>
      <w:b/>
      <w:iCs/>
      <w:szCs w:val="28"/>
    </w:rPr>
  </w:style>
  <w:style w:type="paragraph" w:styleId="Heading5">
    <w:name w:val="heading 5"/>
    <w:basedOn w:val="BodyText"/>
    <w:next w:val="BodyText"/>
    <w:link w:val="Titre5Car"/>
    <w:uiPriority w:val="9"/>
    <w:unhideWhenUsed/>
    <w:qFormat/>
    <w:rsid w:val="00E83749"/>
    <w:pPr>
      <w:keepNext/>
      <w:keepLines/>
      <w:spacing w:before="120" w:after="120"/>
      <w:outlineLvl w:val="4"/>
    </w:pPr>
    <w:rPr>
      <w:rFonts w:eastAsiaTheme="majorEastAsia" w:cstheme="majorBidi"/>
      <w:color w:val="39659F"/>
    </w:rPr>
  </w:style>
  <w:style w:type="paragraph" w:styleId="Heading6">
    <w:name w:val="heading 6"/>
    <w:basedOn w:val="Normal"/>
    <w:next w:val="Normal"/>
    <w:uiPriority w:val="9"/>
    <w:semiHidden/>
    <w:unhideWhenUsed/>
    <w:qFormat/>
    <w:rsid w:val="00EF7B96"/>
    <w:pPr>
      <w:keepNext/>
      <w:keepLines/>
      <w:spacing w:before="200" w:after="0"/>
      <w:outlineLvl w:val="5"/>
    </w:pPr>
    <w:rPr>
      <w:rFonts w:ascii="Cambria" w:eastAsia="Times New Roman" w:hAnsi="Cambria" w:cs="Times New Roman"/>
      <w:i/>
      <w:iCs/>
      <w:color w:val="243F60" w:themeShade="7F"/>
    </w:rPr>
  </w:style>
  <w:style w:type="paragraph" w:styleId="Heading7">
    <w:name w:val="heading 7"/>
    <w:basedOn w:val="Normal"/>
    <w:next w:val="Normal"/>
    <w:uiPriority w:val="9"/>
    <w:semiHidden/>
    <w:unhideWhenUsed/>
    <w:qFormat/>
    <w:rsid w:val="00EF7B96"/>
    <w:pPr>
      <w:keepNext/>
      <w:keepLines/>
      <w:spacing w:before="200" w:after="0"/>
      <w:outlineLvl w:val="6"/>
    </w:pPr>
    <w:rPr>
      <w:rFonts w:ascii="Cambria" w:eastAsia="Times New Roman" w:hAnsi="Cambria" w:cs="Times New Roman"/>
      <w:i/>
      <w:iCs/>
      <w:color w:val="404040" w:themeTint="BF"/>
    </w:rPr>
  </w:style>
  <w:style w:type="paragraph" w:styleId="Heading8">
    <w:name w:val="heading 8"/>
    <w:basedOn w:val="Normal"/>
    <w:next w:val="Normal"/>
    <w:uiPriority w:val="9"/>
    <w:semiHidden/>
    <w:unhideWhenUsed/>
    <w:qFormat/>
    <w:rsid w:val="00EF7B96"/>
    <w:pPr>
      <w:keepNext/>
      <w:keepLines/>
      <w:spacing w:before="200" w:after="0"/>
      <w:outlineLvl w:val="7"/>
    </w:pPr>
    <w:rPr>
      <w:rFonts w:ascii="Cambria" w:eastAsia="Times New Roman" w:hAnsi="Cambria" w:cs="Times New Roman"/>
      <w:color w:val="404040" w:themeTint="BF"/>
      <w:sz w:val="20"/>
      <w:szCs w:val="20"/>
    </w:rPr>
  </w:style>
  <w:style w:type="paragraph" w:styleId="Heading9">
    <w:name w:val="heading 9"/>
    <w:basedOn w:val="Normal"/>
    <w:next w:val="Normal"/>
    <w:uiPriority w:val="9"/>
    <w:semiHidden/>
    <w:unhideWhenUsed/>
    <w:qFormat/>
    <w:rsid w:val="00EF7B96"/>
    <w:pPr>
      <w:keepNext/>
      <w:keepLines/>
      <w:spacing w:before="200" w:after="0"/>
      <w:outlineLvl w:val="8"/>
    </w:pPr>
    <w:rPr>
      <w:rFonts w:ascii="Cambria" w:eastAsia="Times New Roman" w:hAnsi="Cambria" w:cs="Times New Roman"/>
      <w:i/>
      <w:iCs/>
      <w:color w:val="404040"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CorpsdetexteCar"/>
    <w:uiPriority w:val="99"/>
    <w:rsid w:val="0024758D"/>
    <w:pPr>
      <w:pBdr>
        <w:top w:val="nil"/>
        <w:left w:val="nil"/>
        <w:bottom w:val="nil"/>
        <w:right w:val="nil"/>
        <w:between w:val="nil"/>
      </w:pBdr>
      <w:autoSpaceDE w:val="0"/>
      <w:autoSpaceDN w:val="0"/>
      <w:adjustRightInd w:val="0"/>
      <w:spacing w:after="160" w:line="259" w:lineRule="auto"/>
    </w:pPr>
    <w:rPr>
      <w:rFonts w:eastAsia="Arial" w:cs="Arial"/>
      <w:lang w:eastAsia="fr-FR"/>
    </w:rPr>
  </w:style>
  <w:style w:type="paragraph" w:customStyle="1" w:styleId="Listepuce2">
    <w:name w:val="Liste à puce 2"/>
    <w:basedOn w:val="Listepuce"/>
    <w:uiPriority w:val="1"/>
    <w:rsid w:val="00251547"/>
    <w:pPr>
      <w:numPr>
        <w:numId w:val="27"/>
      </w:numPr>
    </w:pPr>
    <w:rPr>
      <w:szCs w:val="24"/>
    </w:rPr>
  </w:style>
  <w:style w:type="paragraph" w:customStyle="1" w:styleId="Listepuce">
    <w:name w:val="Liste à puce"/>
    <w:basedOn w:val="BodyText"/>
    <w:qFormat/>
    <w:rsid w:val="00E83749"/>
    <w:pPr>
      <w:numPr>
        <w:numId w:val="26"/>
      </w:numPr>
      <w:spacing w:before="20" w:after="20"/>
      <w:contextualSpacing/>
    </w:pPr>
  </w:style>
  <w:style w:type="paragraph" w:customStyle="1" w:styleId="Titre2bis">
    <w:name w:val="Titre 2 bis"/>
    <w:basedOn w:val="Heading2"/>
    <w:next w:val="BodyText"/>
    <w:rsid w:val="00787BFC"/>
    <w:pPr>
      <w:outlineLvl w:val="9"/>
    </w:pPr>
  </w:style>
  <w:style w:type="paragraph" w:styleId="TOC1">
    <w:name w:val="toc 1"/>
    <w:basedOn w:val="BodyText"/>
    <w:uiPriority w:val="39"/>
    <w:unhideWhenUsed/>
    <w:rsid w:val="00E83749"/>
    <w:pPr>
      <w:spacing w:before="240" w:after="100"/>
    </w:pPr>
    <w:rPr>
      <w:caps/>
      <w:color w:val="39659F"/>
      <w:sz w:val="24"/>
    </w:rPr>
  </w:style>
  <w:style w:type="paragraph" w:styleId="TOC2">
    <w:name w:val="toc 2"/>
    <w:basedOn w:val="BodyText"/>
    <w:next w:val="BodyText"/>
    <w:uiPriority w:val="39"/>
    <w:unhideWhenUsed/>
    <w:rsid w:val="004649AC"/>
    <w:pPr>
      <w:spacing w:after="100"/>
    </w:pPr>
  </w:style>
  <w:style w:type="paragraph" w:customStyle="1" w:styleId="Important">
    <w:name w:val="Important"/>
    <w:basedOn w:val="BodyText"/>
    <w:next w:val="BodyText"/>
    <w:qFormat/>
    <w:rsid w:val="00565E3B"/>
    <w:pPr>
      <w:pBdr>
        <w:top w:val="none" w:sz="0" w:space="0" w:color="auto"/>
        <w:left w:val="single" w:sz="12" w:space="4" w:color="39659F"/>
        <w:bottom w:val="none" w:sz="0" w:space="0" w:color="auto"/>
        <w:right w:val="none" w:sz="0" w:space="0" w:color="auto"/>
        <w:between w:val="none" w:sz="0" w:space="0" w:color="auto"/>
      </w:pBdr>
      <w:shd w:val="clear" w:color="AFABB7" w:fill="auto"/>
      <w:spacing w:before="360" w:after="240"/>
      <w:ind w:left="284"/>
    </w:pPr>
    <w:rPr>
      <w:color w:val="39659F"/>
    </w:rPr>
  </w:style>
  <w:style w:type="paragraph" w:customStyle="1" w:styleId="Bulleinfo">
    <w:name w:val="Bulle info"/>
    <w:basedOn w:val="Listepuce"/>
    <w:rsid w:val="00E83749"/>
    <w:pPr>
      <w:numPr>
        <w:numId w:val="25"/>
      </w:numPr>
      <w:pBdr>
        <w:top w:val="single" w:sz="48" w:space="1" w:color="F2F2F2" w:themeColor="background1" w:themeShade="F2"/>
        <w:left w:val="single" w:sz="48" w:space="4" w:color="F2F2F2" w:themeColor="background1" w:themeShade="F2"/>
        <w:bottom w:val="single" w:sz="48" w:space="1" w:color="F2F2F2" w:themeColor="background1" w:themeShade="F2"/>
        <w:right w:val="single" w:sz="48" w:space="4" w:color="F2F2F2" w:themeColor="background1" w:themeShade="F2"/>
        <w:between w:val="none" w:sz="0" w:space="0" w:color="auto"/>
      </w:pBdr>
      <w:shd w:val="clear" w:color="auto" w:fill="F2F2F2" w:themeFill="background1" w:themeFillShade="F2"/>
      <w:spacing w:before="0" w:after="160"/>
    </w:pPr>
    <w:rPr>
      <w:sz w:val="20"/>
    </w:rPr>
  </w:style>
  <w:style w:type="paragraph" w:customStyle="1" w:styleId="Legende">
    <w:name w:val="Legende"/>
    <w:basedOn w:val="Normal"/>
    <w:qFormat/>
    <w:rsid w:val="004E4109"/>
    <w:pPr>
      <w:spacing w:before="120" w:after="120"/>
      <w:contextualSpacing/>
    </w:pPr>
    <w:rPr>
      <w:i/>
      <w:sz w:val="16"/>
    </w:rPr>
  </w:style>
  <w:style w:type="paragraph" w:customStyle="1" w:styleId="Listepuce3">
    <w:name w:val="Liste à puce 3"/>
    <w:basedOn w:val="Listepuce"/>
    <w:rsid w:val="00251547"/>
    <w:pPr>
      <w:numPr>
        <w:numId w:val="28"/>
      </w:numPr>
    </w:pPr>
    <w:rPr>
      <w:szCs w:val="24"/>
    </w:rPr>
  </w:style>
  <w:style w:type="paragraph" w:styleId="ListContinue">
    <w:name w:val="List Continue"/>
    <w:basedOn w:val="BodyText"/>
    <w:rsid w:val="007C72EB"/>
    <w:pPr>
      <w:spacing w:before="20" w:after="20"/>
      <w:ind w:left="284"/>
      <w:contextualSpacing/>
    </w:pPr>
    <w:rPr>
      <w:szCs w:val="24"/>
    </w:rPr>
  </w:style>
  <w:style w:type="paragraph" w:customStyle="1" w:styleId="Cellule2defaut">
    <w:name w:val="Cellule 2 defaut"/>
    <w:basedOn w:val="Celluledefaut"/>
    <w:link w:val="Cellule2defautCar"/>
    <w:rsid w:val="00593833"/>
    <w:rPr>
      <w:sz w:val="16"/>
      <w:szCs w:val="22"/>
    </w:rPr>
  </w:style>
  <w:style w:type="paragraph" w:styleId="ListContinue2">
    <w:name w:val="List Continue 2"/>
    <w:basedOn w:val="ListContinue"/>
    <w:rsid w:val="007C72EB"/>
    <w:pPr>
      <w:ind w:left="567"/>
    </w:pPr>
  </w:style>
  <w:style w:type="paragraph" w:styleId="ListContinue3">
    <w:name w:val="List Continue 3"/>
    <w:basedOn w:val="ListContinue"/>
    <w:rsid w:val="007C72EB"/>
    <w:pPr>
      <w:ind w:left="851"/>
    </w:pPr>
  </w:style>
  <w:style w:type="paragraph" w:customStyle="1" w:styleId="Celluleentete">
    <w:name w:val="Cellule entete"/>
    <w:basedOn w:val="Celluledefaut"/>
    <w:qFormat/>
    <w:rsid w:val="00251547"/>
    <w:pPr>
      <w:spacing w:before="20"/>
    </w:pPr>
    <w:rPr>
      <w:rFonts w:eastAsiaTheme="majorEastAsia"/>
      <w:b/>
    </w:rPr>
  </w:style>
  <w:style w:type="paragraph" w:customStyle="1" w:styleId="Celluletotal">
    <w:name w:val="Cellule total"/>
    <w:basedOn w:val="Celluledefaut"/>
    <w:qFormat/>
    <w:rsid w:val="00EB5E62"/>
    <w:pPr>
      <w:spacing w:before="20"/>
    </w:pPr>
    <w:rPr>
      <w:b/>
    </w:rPr>
  </w:style>
  <w:style w:type="paragraph" w:customStyle="1" w:styleId="Celluleniveau1">
    <w:name w:val="Cellule niveau 1"/>
    <w:basedOn w:val="Celluledefaut"/>
    <w:qFormat/>
    <w:rsid w:val="00EB5E62"/>
    <w:pPr>
      <w:ind w:left="284"/>
    </w:pPr>
    <w:rPr>
      <w:rFonts w:eastAsiaTheme="majorEastAsia"/>
      <w:color w:val="777777"/>
    </w:rPr>
  </w:style>
  <w:style w:type="paragraph" w:customStyle="1" w:styleId="Celluleniveau2">
    <w:name w:val="Cellule niveau 2"/>
    <w:basedOn w:val="Celluledefaut"/>
    <w:qFormat/>
    <w:rsid w:val="002762A5"/>
    <w:pPr>
      <w:ind w:left="567" w:right="0"/>
    </w:pPr>
    <w:rPr>
      <w:color w:val="777777"/>
      <w:szCs w:val="18"/>
    </w:rPr>
  </w:style>
  <w:style w:type="paragraph" w:customStyle="1" w:styleId="Celluledefaut">
    <w:name w:val="Cellule defaut"/>
    <w:basedOn w:val="BodyText"/>
    <w:link w:val="CelluledefautCarCar"/>
    <w:qFormat/>
    <w:rsid w:val="00F02C4A"/>
    <w:pPr>
      <w:spacing w:before="60" w:after="20"/>
      <w:ind w:left="28" w:right="28"/>
    </w:pPr>
    <w:rPr>
      <w:rFonts w:eastAsia="Times New Roman"/>
      <w:sz w:val="20"/>
      <w:szCs w:val="20"/>
    </w:rPr>
  </w:style>
  <w:style w:type="table" w:styleId="TableGrid">
    <w:name w:val="Table Grid"/>
    <w:basedOn w:val="TableNormal"/>
    <w:uiPriority w:val="99"/>
    <w:rsid w:val="00F534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ous-titre2">
    <w:name w:val="Sous-titre 2"/>
    <w:basedOn w:val="BodyText"/>
    <w:rsid w:val="00FC2E48"/>
    <w:pPr>
      <w:spacing w:after="480"/>
      <w:jc w:val="right"/>
    </w:pPr>
    <w:rPr>
      <w:rFonts w:eastAsia="Times New Roman"/>
      <w:sz w:val="28"/>
    </w:rPr>
  </w:style>
  <w:style w:type="paragraph" w:customStyle="1" w:styleId="Cellule2entete">
    <w:name w:val="Cellule 2 entete"/>
    <w:basedOn w:val="Cellule2defaut"/>
    <w:rsid w:val="00EB5E62"/>
    <w:rPr>
      <w:b/>
    </w:rPr>
  </w:style>
  <w:style w:type="paragraph" w:customStyle="1" w:styleId="Cellule2niveau1">
    <w:name w:val="Cellule 2 niveau 1"/>
    <w:basedOn w:val="Cellule2defaut"/>
    <w:rsid w:val="000169B4"/>
    <w:pPr>
      <w:ind w:left="284"/>
    </w:pPr>
  </w:style>
  <w:style w:type="paragraph" w:customStyle="1" w:styleId="Cellule2niveau2">
    <w:name w:val="Cellule 2 niveau 2"/>
    <w:basedOn w:val="Cellule2defaut"/>
    <w:rsid w:val="000169B4"/>
    <w:pPr>
      <w:ind w:left="567"/>
    </w:pPr>
  </w:style>
  <w:style w:type="paragraph" w:customStyle="1" w:styleId="Cellule2total">
    <w:name w:val="Cellule 2 total"/>
    <w:basedOn w:val="Cellule2defaut"/>
    <w:link w:val="Cellule2totalCar"/>
    <w:rsid w:val="00EB5E62"/>
    <w:rPr>
      <w:b/>
    </w:rPr>
  </w:style>
  <w:style w:type="character" w:customStyle="1" w:styleId="Cellule2defautCar">
    <w:name w:val="Cellule 2 defaut Car"/>
    <w:link w:val="Cellule2defaut"/>
    <w:rsid w:val="00593833"/>
    <w:rPr>
      <w:rFonts w:ascii="Century Gothic" w:hAnsi="Century Gothic"/>
      <w:sz w:val="16"/>
      <w:szCs w:val="22"/>
      <w:lang w:val="fr-FR" w:eastAsia="fr-FR" w:bidi="ar-SA"/>
    </w:rPr>
  </w:style>
  <w:style w:type="character" w:customStyle="1" w:styleId="Cellule2totalCar">
    <w:name w:val="Cellule 2 total Car"/>
    <w:link w:val="Cellule2total"/>
    <w:rsid w:val="00EB5E62"/>
    <w:rPr>
      <w:rFonts w:ascii="Source Sans Pro" w:eastAsia="Times New Roman" w:hAnsi="Source Sans Pro"/>
      <w:b/>
      <w:color w:val="5F5F5F"/>
      <w:sz w:val="16"/>
      <w:szCs w:val="22"/>
    </w:rPr>
  </w:style>
  <w:style w:type="table" w:customStyle="1" w:styleId="Tableauhvs">
    <w:name w:val="Tableau hvs"/>
    <w:basedOn w:val="TableNormal"/>
    <w:uiPriority w:val="99"/>
    <w:rsid w:val="0093022A"/>
    <w:rPr>
      <w:rFonts w:eastAsiaTheme="minorHAnsi" w:cstheme="minorBidi"/>
      <w:szCs w:val="22"/>
      <w:lang w:eastAsia="en-US"/>
    </w:rPr>
    <w:tblPr>
      <w:tblStyleRowBandSize w:val="1"/>
      <w:tblStyleColBandSize w:val="1"/>
    </w:tblPr>
    <w:tblStylePr w:type="firstRow">
      <w:rPr>
        <w:rFonts w:ascii="Arial" w:hAnsi="Arial"/>
        <w:sz w:val="20"/>
      </w:rPr>
      <w:tblPr/>
      <w:tcPr>
        <w:tcBorders>
          <w:top w:val="nil"/>
          <w:bottom w:val="single" w:sz="4" w:space="0" w:color="39659F"/>
        </w:tcBorders>
      </w:tcPr>
    </w:tblStylePr>
    <w:tblStylePr w:type="lastRow">
      <w:rPr>
        <w:rFonts w:ascii="Arial" w:hAnsi="Arial"/>
        <w:sz w:val="20"/>
      </w:rPr>
      <w:tblPr/>
      <w:tcPr>
        <w:tcBorders>
          <w:top w:val="single" w:sz="12" w:space="0" w:color="39659F"/>
          <w:left w:val="nil"/>
          <w:bottom w:val="single" w:sz="4" w:space="0" w:color="39659F"/>
          <w:right w:val="nil"/>
          <w:insideH w:val="nil"/>
          <w:insideV w:val="nil"/>
        </w:tcBorders>
      </w:tcPr>
    </w:tblStylePr>
  </w:style>
  <w:style w:type="paragraph" w:customStyle="1" w:styleId="TitreCouverture">
    <w:name w:val="TitreCouverture"/>
    <w:basedOn w:val="BodyText"/>
    <w:qFormat/>
    <w:rsid w:val="009350EE"/>
    <w:rPr>
      <w:b/>
      <w:sz w:val="96"/>
      <w:szCs w:val="120"/>
    </w:rPr>
  </w:style>
  <w:style w:type="character" w:customStyle="1" w:styleId="CorpsdetexteCar">
    <w:name w:val="Corps de texte Car"/>
    <w:link w:val="BodyText"/>
    <w:uiPriority w:val="99"/>
    <w:rsid w:val="0024758D"/>
    <w:rPr>
      <w:color w:val="5F5F5F"/>
      <w:sz w:val="22"/>
      <w:szCs w:val="22"/>
    </w:rPr>
  </w:style>
  <w:style w:type="character" w:customStyle="1" w:styleId="CelluledefautCarCar">
    <w:name w:val="Cellule defaut Car Car"/>
    <w:link w:val="Celluledefaut"/>
    <w:rsid w:val="00F02C4A"/>
    <w:rPr>
      <w:rFonts w:ascii="Source Sans Pro" w:eastAsia="Times New Roman" w:hAnsi="Source Sans Pro"/>
      <w:color w:val="5F5F5F"/>
    </w:rPr>
  </w:style>
  <w:style w:type="character" w:customStyle="1" w:styleId="Titre1Car">
    <w:name w:val="Titre 1 Car"/>
    <w:basedOn w:val="DefaultParagraphFont"/>
    <w:link w:val="Heading1"/>
    <w:uiPriority w:val="9"/>
    <w:rsid w:val="004A1928"/>
    <w:rPr>
      <w:rFonts w:ascii="Franklin Gothic Book" w:hAnsi="Franklin Gothic Book" w:eastAsiaTheme="majorEastAsia" w:cstheme="majorBidi"/>
      <w:caps/>
      <w:color w:val="39659F"/>
      <w:spacing w:val="60"/>
      <w:sz w:val="60"/>
      <w:szCs w:val="32"/>
    </w:rPr>
  </w:style>
  <w:style w:type="character" w:customStyle="1" w:styleId="Titre2Car">
    <w:name w:val="Titre 2 Car"/>
    <w:basedOn w:val="DefaultParagraphFont"/>
    <w:link w:val="Heading2"/>
    <w:uiPriority w:val="9"/>
    <w:rsid w:val="004A1928"/>
    <w:rPr>
      <w:rFonts w:ascii="Franklin Gothic Book" w:hAnsi="Franklin Gothic Book" w:eastAsiaTheme="majorEastAsia" w:cstheme="majorBidi"/>
      <w:caps/>
      <w:color w:val="39659F"/>
      <w:sz w:val="40"/>
      <w:szCs w:val="26"/>
    </w:rPr>
  </w:style>
  <w:style w:type="character" w:customStyle="1" w:styleId="Titre3Car">
    <w:name w:val="Titre 3 Car"/>
    <w:basedOn w:val="DefaultParagraphFont"/>
    <w:link w:val="Heading3"/>
    <w:uiPriority w:val="9"/>
    <w:rsid w:val="00565E3B"/>
    <w:rPr>
      <w:rFonts w:eastAsiaTheme="majorEastAsia" w:cstheme="majorBidi"/>
      <w:color w:val="39659F"/>
      <w:sz w:val="28"/>
      <w:szCs w:val="30"/>
    </w:rPr>
  </w:style>
  <w:style w:type="character" w:customStyle="1" w:styleId="Titre4Car">
    <w:name w:val="Titre 4 Car"/>
    <w:basedOn w:val="DefaultParagraphFont"/>
    <w:link w:val="Heading4"/>
    <w:uiPriority w:val="9"/>
    <w:rsid w:val="00CC3628"/>
    <w:rPr>
      <w:rFonts w:eastAsiaTheme="majorEastAsia" w:cstheme="majorBidi"/>
      <w:b/>
      <w:iCs/>
      <w:color w:val="5F5F5F"/>
      <w:sz w:val="22"/>
      <w:szCs w:val="28"/>
    </w:rPr>
  </w:style>
  <w:style w:type="character" w:customStyle="1" w:styleId="Titre5Car">
    <w:name w:val="Titre 5 Car"/>
    <w:basedOn w:val="DefaultParagraphFont"/>
    <w:link w:val="Heading5"/>
    <w:uiPriority w:val="9"/>
    <w:rsid w:val="00E83749"/>
    <w:rPr>
      <w:rFonts w:eastAsiaTheme="majorEastAsia" w:cstheme="majorBidi"/>
      <w:color w:val="39659F"/>
      <w:sz w:val="22"/>
      <w:szCs w:val="22"/>
    </w:rPr>
  </w:style>
  <w:style w:type="character" w:styleId="Strong">
    <w:name w:val="Strong"/>
    <w:basedOn w:val="DefaultParagraphFont"/>
    <w:uiPriority w:val="99"/>
    <w:qFormat/>
    <w:rsid w:val="000D575D"/>
    <w:rPr>
      <w:rFonts w:eastAsiaTheme="majorEastAsia"/>
      <w:b/>
      <w:color w:val="5F5F5F"/>
    </w:rPr>
  </w:style>
  <w:style w:type="paragraph" w:styleId="BodyTextFirstIndent">
    <w:name w:val="Body Text First Indent"/>
    <w:basedOn w:val="BodyText"/>
    <w:link w:val="Retrait1religneCar"/>
    <w:uiPriority w:val="99"/>
    <w:semiHidden/>
    <w:unhideWhenUsed/>
    <w:rsid w:val="00FC2E48"/>
    <w:pPr>
      <w:pBdr>
        <w:top w:val="none" w:sz="0" w:space="0" w:color="auto"/>
        <w:left w:val="none" w:sz="0" w:space="0" w:color="auto"/>
        <w:bottom w:val="none" w:sz="0" w:space="0" w:color="auto"/>
        <w:right w:val="none" w:sz="0" w:space="0" w:color="auto"/>
        <w:between w:val="none" w:sz="0" w:space="0" w:color="auto"/>
      </w:pBdr>
      <w:autoSpaceDE/>
      <w:autoSpaceDN/>
      <w:adjustRightInd/>
      <w:ind w:firstLine="360"/>
    </w:pPr>
    <w:rPr>
      <w:rFonts w:eastAsiaTheme="minorHAnsi" w:cstheme="minorBidi"/>
      <w:lang w:eastAsia="en-US"/>
    </w:rPr>
  </w:style>
  <w:style w:type="character" w:customStyle="1" w:styleId="Retrait1religneCar">
    <w:name w:val="Retrait 1re ligne Car"/>
    <w:basedOn w:val="CorpsdetexteCar"/>
    <w:link w:val="BodyTextFirstIndent"/>
    <w:uiPriority w:val="99"/>
    <w:semiHidden/>
    <w:rsid w:val="00FC2E48"/>
    <w:rPr>
      <w:rFonts w:eastAsiaTheme="minorHAnsi" w:cstheme="minorBidi"/>
      <w:color w:val="5F5F5F"/>
      <w:sz w:val="22"/>
      <w:szCs w:val="22"/>
      <w:lang w:eastAsia="en-US"/>
    </w:rPr>
  </w:style>
  <w:style w:type="paragraph" w:styleId="Header">
    <w:name w:val="header"/>
    <w:basedOn w:val="Normal"/>
    <w:link w:val="En-tteCar"/>
    <w:uiPriority w:val="99"/>
    <w:unhideWhenUsed/>
    <w:rsid w:val="00FB301D"/>
    <w:pPr>
      <w:tabs>
        <w:tab w:val="center" w:pos="4536"/>
        <w:tab w:val="right" w:pos="9072"/>
      </w:tabs>
    </w:pPr>
  </w:style>
  <w:style w:type="character" w:customStyle="1" w:styleId="En-tteCar">
    <w:name w:val="En-tête Car"/>
    <w:basedOn w:val="DefaultParagraphFont"/>
    <w:link w:val="Header"/>
    <w:uiPriority w:val="99"/>
    <w:rsid w:val="00FB301D"/>
    <w:rPr>
      <w:rFonts w:eastAsiaTheme="minorHAnsi" w:cstheme="minorBidi"/>
      <w:color w:val="5F5F5F"/>
      <w:sz w:val="22"/>
      <w:szCs w:val="22"/>
      <w:lang w:eastAsia="en-US"/>
    </w:rPr>
  </w:style>
  <w:style w:type="paragraph" w:styleId="Footer">
    <w:name w:val="footer"/>
    <w:basedOn w:val="Normal"/>
    <w:link w:val="PieddepageCar"/>
    <w:uiPriority w:val="99"/>
    <w:unhideWhenUsed/>
    <w:rsid w:val="00FB301D"/>
    <w:pPr>
      <w:tabs>
        <w:tab w:val="center" w:pos="4536"/>
        <w:tab w:val="right" w:pos="9072"/>
      </w:tabs>
    </w:pPr>
  </w:style>
  <w:style w:type="character" w:customStyle="1" w:styleId="PieddepageCar">
    <w:name w:val="Pied de page Car"/>
    <w:basedOn w:val="DefaultParagraphFont"/>
    <w:link w:val="Footer"/>
    <w:uiPriority w:val="99"/>
    <w:rsid w:val="00FB301D"/>
    <w:rPr>
      <w:rFonts w:eastAsiaTheme="minorHAnsi" w:cstheme="minorBidi"/>
      <w:color w:val="5F5F5F"/>
      <w:sz w:val="22"/>
      <w:szCs w:val="22"/>
      <w:lang w:eastAsia="en-US"/>
    </w:rPr>
  </w:style>
  <w:style w:type="character" w:styleId="BookTitle">
    <w:name w:val="Book Title"/>
    <w:basedOn w:val="DefaultParagraphFont"/>
    <w:uiPriority w:val="33"/>
    <w:qFormat/>
    <w:rsid w:val="00E705F7"/>
    <w:rPr>
      <w:b/>
      <w:bCs/>
      <w:i/>
      <w:iCs/>
      <w:spacing w:val="5"/>
    </w:rPr>
  </w:style>
  <w:style w:type="character" w:styleId="IntenseReference">
    <w:name w:val="Intense Reference"/>
    <w:basedOn w:val="DefaultParagraphFont"/>
    <w:uiPriority w:val="32"/>
    <w:qFormat/>
    <w:rsid w:val="00E705F7"/>
    <w:rPr>
      <w:b/>
      <w:bCs/>
      <w:smallCaps/>
      <w:color w:val="5B9BD5" w:themeColor="accent1"/>
      <w:spacing w:val="5"/>
    </w:rPr>
  </w:style>
  <w:style w:type="paragraph" w:styleId="NoSpacing">
    <w:name w:val="No Spacing"/>
    <w:uiPriority w:val="1"/>
    <w:qFormat/>
    <w:rsid w:val="00E705F7"/>
    <w:rPr>
      <w:rFonts w:ascii="Franklin Gothic Book" w:hAnsi="Franklin Gothic Book" w:eastAsiaTheme="minorHAnsi" w:cstheme="minorBidi"/>
      <w:color w:val="5F5F5F"/>
      <w:sz w:val="22"/>
      <w:szCs w:val="22"/>
      <w:lang w:eastAsia="en-US"/>
    </w:rPr>
  </w:style>
  <w:style w:type="character" w:styleId="SubtleEmphasis">
    <w:name w:val="Subtle Emphasis"/>
    <w:basedOn w:val="DefaultParagraphFont"/>
    <w:uiPriority w:val="19"/>
    <w:qFormat/>
    <w:rsid w:val="00E705F7"/>
    <w:rPr>
      <w:i/>
      <w:iCs/>
      <w:color w:val="404040" w:themeColor="text1" w:themeTint="BF"/>
    </w:rPr>
  </w:style>
  <w:style w:type="paragraph" w:styleId="Title">
    <w:name w:val="Title"/>
    <w:basedOn w:val="Normal"/>
    <w:uiPriority w:val="10"/>
    <w:qFormat/>
    <w:rsid w:val="00EF7B96"/>
    <w:pPr>
      <w:pBdr>
        <w:bottom w:val="single" w:sz="8" w:space="4" w:color="5B9BD5" w:themeColor="accent1"/>
      </w:pBdr>
      <w:spacing w:after="300" w:line="240" w:lineRule="auto"/>
      <w:contextualSpacing/>
      <w:outlineLvl w:val="9"/>
    </w:pPr>
    <w:rPr>
      <w:rFonts w:ascii="Cambria" w:eastAsia="Times New Roman" w:hAnsi="Cambria" w:cs="Times New Roman"/>
      <w:color w:val="17365D" w:themeShade="BF"/>
      <w:spacing w:val="5"/>
      <w:kern w:val="28"/>
      <w:sz w:val="52"/>
      <w:szCs w:val="52"/>
    </w:rPr>
  </w:style>
  <w:style w:type="paragraph" w:customStyle="1" w:styleId="h2title">
    <w:name w:val="h2_title"/>
    <w:basedOn w:val="Heading2"/>
    <w:pPr>
      <w:pageBreakBefore w:val="0"/>
      <w:spacing w:line="570" w:lineRule="atLeast"/>
      <w:jc w:val="center"/>
    </w:pPr>
    <w:rPr>
      <w:b/>
      <w:bCs/>
      <w:caps w:val="0"/>
      <w:color w:val="202020"/>
      <w:sz w:val="48"/>
      <w:szCs w:val="48"/>
    </w:rPr>
  </w:style>
  <w:style w:type="paragraph" w:customStyle="1" w:styleId="updated-at">
    <w:name w:val="updated-at"/>
    <w:basedOn w:val="Normal"/>
    <w:pPr>
      <w:spacing w:line="360" w:lineRule="atLeast"/>
    </w:pPr>
    <w:rPr>
      <w:sz w:val="27"/>
      <w:szCs w:val="27"/>
    </w:rPr>
  </w:style>
  <w:style w:type="paragraph" w:customStyle="1" w:styleId="description">
    <w:name w:val="description"/>
    <w:basedOn w:val="Normal"/>
    <w:pPr>
      <w:spacing w:line="360" w:lineRule="atLeast"/>
    </w:pPr>
    <w:rPr>
      <w:sz w:val="27"/>
      <w:szCs w:val="27"/>
    </w:rPr>
  </w:style>
  <w:style w:type="paragraph" w:customStyle="1" w:styleId="p">
    <w:name w:val="p"/>
    <w:basedOn w:val="Normal"/>
    <w:rPr>
      <w:color w:val="646464"/>
    </w:rPr>
  </w:style>
  <w:style w:type="character" w:customStyle="1" w:styleId="a">
    <w:name w:val="a"/>
    <w:basedOn w:val="DefaultParagraphFont"/>
    <w:rPr>
      <w:color w:val="4623EB"/>
    </w:rPr>
  </w:style>
  <w:style w:type="paragraph" w:customStyle="1" w:styleId="content">
    <w:name w:val="content"/>
    <w:basedOn w:val="Normal"/>
  </w:style>
  <w:style w:type="paragraph" w:customStyle="1" w:styleId="linotnth-last-child1">
    <w:name w:val="li_not(:nth-last-child(1))"/>
    <w:basedOn w:val="Normal"/>
  </w:style>
  <w:style w:type="table" w:customStyle="1" w:styleId="table">
    <w:name w:val="table"/>
    <w:basedOn w:val="TableNormal"/>
    <w:tblPr/>
  </w:style>
  <w:style w:type="character" w:customStyle="1" w:styleId="pspannotpucenotfd-update">
    <w:name w:val="p_span_not(.puce)_not(.fd-update)"/>
    <w:basedOn w:val="DefaultParagraphFont"/>
  </w:style>
  <w:style w:type="paragraph" w:customStyle="1" w:styleId="fd-document-box-black">
    <w:name w:val="fd-document-box-black"/>
    <w:basedOn w:val="Normal"/>
    <w:pPr>
      <w:pBdr>
        <w:top w:val="single" w:sz="6" w:space="0" w:color="D6D6D6"/>
        <w:left w:val="single" w:sz="24" w:space="0" w:color="202020"/>
        <w:bottom w:val="single" w:sz="6" w:space="0" w:color="D6D6D6"/>
        <w:right w:val="single" w:sz="6" w:space="0" w:color="D6D6D6"/>
      </w:pBdr>
      <w:shd w:val="clear" w:color="auto" w:fill="F5F5F5"/>
      <w:spacing w:line="300" w:lineRule="atLeast"/>
    </w:pPr>
    <w:rPr>
      <w:sz w:val="21"/>
      <w:szCs w:val="21"/>
      <w:bdr w:val="single" w:sz="6" w:space="0" w:color="D6D6D6"/>
      <w:shd w:val="clear" w:color="auto" w:fill="F5F5F5"/>
    </w:rPr>
  </w:style>
  <w:style w:type="paragraph" w:customStyle="1" w:styleId="fd-document-box-blackfd-document-box-title">
    <w:name w:val="fd-document-box-black_fd-document-box-title"/>
    <w:basedOn w:val="Normal"/>
    <w:pPr>
      <w:pBdr>
        <w:top w:val="none" w:sz="0" w:space="12" w:color="auto"/>
        <w:left w:val="none" w:sz="0" w:space="24" w:color="auto"/>
        <w:bottom w:val="none" w:sz="0" w:space="0" w:color="auto"/>
        <w:right w:val="none" w:sz="0" w:space="24" w:color="auto"/>
      </w:pBdr>
    </w:pPr>
    <w:rPr>
      <w:color w:val="202020"/>
    </w:rPr>
  </w:style>
  <w:style w:type="paragraph" w:customStyle="1" w:styleId="fd-chevron-lvl1">
    <w:name w:val="fd-chevron-lvl1"/>
    <w:basedOn w:val="Normal"/>
    <w:pPr>
      <w:pBdr>
        <w:left w:val="none" w:sz="0" w:space="15" w:color="auto"/>
      </w:pBdr>
    </w:pPr>
    <w:rPr>
      <w:b w:val="0"/>
      <w:bCs w:val="0"/>
      <w:color w:val="202020"/>
    </w:rPr>
  </w:style>
  <w:style w:type="paragraph" w:customStyle="1" w:styleId="fd-document-box-red">
    <w:name w:val="fd-document-box-red"/>
    <w:basedOn w:val="Normal"/>
    <w:pPr>
      <w:pBdr>
        <w:top w:val="single" w:sz="6" w:space="0" w:color="D6D6D6"/>
        <w:left w:val="single" w:sz="24" w:space="0" w:color="FF6E6E"/>
        <w:bottom w:val="single" w:sz="6" w:space="0" w:color="D6D6D6"/>
        <w:right w:val="single" w:sz="6" w:space="0" w:color="D6D6D6"/>
      </w:pBdr>
      <w:shd w:val="clear" w:color="auto" w:fill="F5F5F5"/>
      <w:spacing w:line="300" w:lineRule="atLeast"/>
    </w:pPr>
    <w:rPr>
      <w:sz w:val="21"/>
      <w:szCs w:val="21"/>
      <w:bdr w:val="single" w:sz="6" w:space="0" w:color="D6D6D6"/>
      <w:shd w:val="clear" w:color="auto" w:fill="F5F5F5"/>
    </w:rPr>
  </w:style>
  <w:style w:type="paragraph" w:customStyle="1" w:styleId="fd-document-box-redfd-document-box-title">
    <w:name w:val="fd-document-box-red_fd-document-box-title"/>
    <w:basedOn w:val="Normal"/>
    <w:pPr>
      <w:pBdr>
        <w:top w:val="none" w:sz="0" w:space="12" w:color="auto"/>
        <w:left w:val="none" w:sz="0" w:space="24" w:color="auto"/>
        <w:bottom w:val="none" w:sz="0" w:space="0" w:color="auto"/>
        <w:right w:val="none" w:sz="0" w:space="24" w:color="auto"/>
      </w:pBdr>
    </w:pPr>
    <w:rPr>
      <w:color w:val="FF6E6E"/>
    </w:rPr>
  </w:style>
  <w:style w:type="paragraph" w:customStyle="1" w:styleId="fd-document-box-redfd-document-box-descriptionpnth-last-child1">
    <w:name w:val="fd-document-box-red_fd-document-box-description_p_nth-last-child(1)"/>
    <w:basedOn w:val="Normal"/>
    <w:pPr>
      <w:pBdr>
        <w:bottom w:val="none" w:sz="0" w:space="12" w:color="auto"/>
      </w:pBdr>
    </w:pPr>
  </w:style>
  <w:style w:type="paragraph" w:customStyle="1" w:styleId="fd-document-box-redfd-document-box-descriptionany">
    <w:name w:val="fd-document-box-red_fd-document-box-description &gt; any"/>
    <w:basedOn w:val="Normal"/>
    <w:pPr>
      <w:pBdr>
        <w:top w:val="none" w:sz="0" w:space="0" w:color="auto"/>
        <w:left w:val="none" w:sz="0" w:space="24" w:color="auto"/>
        <w:bottom w:val="none" w:sz="0" w:space="0" w:color="auto"/>
        <w:right w:val="none" w:sz="0" w:space="24" w:color="auto"/>
      </w:pBdr>
    </w:pPr>
  </w:style>
  <w:style w:type="table" w:customStyle="1" w:styleId="figuretabletable">
    <w:name w:val="figure_table_table"/>
    <w:basedOn w:val="TableNormal"/>
    <w:tblPr/>
  </w:style>
  <w:style w:type="paragraph" w:customStyle="1" w:styleId="legal-notice">
    <w:name w:val="legal-notice"/>
    <w:basedOn w:val="Normal"/>
    <w:pPr>
      <w:spacing w:line="240" w:lineRule="atLeast"/>
      <w:jc w:val="center"/>
    </w:pPr>
    <w:rPr>
      <w:color w:val="9A9A9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pi.fidroit.fr/document/38878" TargetMode="External" /><Relationship Id="rId11" Type="http://schemas.openxmlformats.org/officeDocument/2006/relationships/hyperlink" Target="https://api.fidroit.fr/document/38872" TargetMode="External" /><Relationship Id="rId12" Type="http://schemas.openxmlformats.org/officeDocument/2006/relationships/hyperlink" Target="https://api.fidroit.fr/document/38886" TargetMode="External" /><Relationship Id="rId13" Type="http://schemas.openxmlformats.org/officeDocument/2006/relationships/hyperlink" Target="https://api.fidroit.fr/document/38887" TargetMode="External" /><Relationship Id="rId14" Type="http://schemas.openxmlformats.org/officeDocument/2006/relationships/hyperlink" Target="https://api.fidroit.fr/document/52262" TargetMode="External" /><Relationship Id="rId15" Type="http://schemas.openxmlformats.org/officeDocument/2006/relationships/hyperlink" Target="https://api.fidroit.fr/document/38900" TargetMode="External" /><Relationship Id="rId16" Type="http://schemas.openxmlformats.org/officeDocument/2006/relationships/hyperlink" Target="https://api.fidroit.fr/document/38897" TargetMode="External" /><Relationship Id="rId17" Type="http://schemas.openxmlformats.org/officeDocument/2006/relationships/hyperlink" Target="https://api.fidroit.fr/document/51505" TargetMode="External" /><Relationship Id="rId18" Type="http://schemas.openxmlformats.org/officeDocument/2006/relationships/header" Target="header1.xml" /><Relationship Id="rId19" Type="http://schemas.openxmlformats.org/officeDocument/2006/relationships/footer" Target="footer1.xm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numbering" Target="numbering.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jpeg" /><Relationship Id="rId6" Type="http://schemas.openxmlformats.org/officeDocument/2006/relationships/hyperlink" Target="https://api.fidroit.fr/api/technical-resource/attachment/7132/download" TargetMode="External" /><Relationship Id="rId7" Type="http://schemas.openxmlformats.org/officeDocument/2006/relationships/hyperlink" Target="https://api.fidroit.fr/api/technical-resource/attachment/6565/download" TargetMode="External" /><Relationship Id="rId8" Type="http://schemas.openxmlformats.org/officeDocument/2006/relationships/hyperlink" Target="https://api.fidroit.fr/document/38966" TargetMode="External" /><Relationship Id="rId9" Type="http://schemas.openxmlformats.org/officeDocument/2006/relationships/hyperlink" Target="https://api.fidroit.fr/document/38880" TargetMode="External" /></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8B4A46-50BC-4C60-85AE-62D6602407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modele</Template>
  <TotalTime>20</TotalTime>
  <Pages>8</Pages>
  <Words>111</Words>
  <Characters>612</Characters>
  <Application>Microsoft Office Word</Application>
  <DocSecurity>0</DocSecurity>
  <Lines>5</Lines>
  <Paragraphs>1</Paragraphs>
  <ScaleCrop>false</ScaleCrop>
  <HeadingPairs>
    <vt:vector size="2" baseType="variant">
      <vt:variant>
        <vt:lpstr>Titre</vt:lpstr>
      </vt:variant>
      <vt:variant>
        <vt:i4>1</vt:i4>
      </vt:variant>
    </vt:vector>
  </HeadingPairs>
  <TitlesOfParts>
    <vt:vector size="1" baseType="lpstr">
      <vt:lpstr/>
    </vt:vector>
  </TitlesOfParts>
  <Manager>Harvest</Manager>
  <Company>Harvest</Company>
  <LinksUpToDate>false</LinksUpToDate>
  <CharactersWithSpaces>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Harvest</dc:creator>
  <cp:revision>20</cp:revision>
  <cp:lastPrinted>1899-12-31T23:00:00Z</cp:lastPrinted>
  <dcterms:created xsi:type="dcterms:W3CDTF">2023-08-17T11:55:54Z</dcterms:created>
  <dcterms:modified xsi:type="dcterms:W3CDTF">2023-08-17T11:55:54Z</dcterms:modified>
</cp:coreProperties>
</file>