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color w:val="646464"/>
          <w:sz w:val="24"/>
          <w:szCs w:val="24"/>
        </w:rPr>
        <w:drawing>
          <wp:inline>
            <wp:extent cx="3377424" cy="1524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4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46464"/>
          <w:sz w:val="24"/>
          <w:szCs w:val="24"/>
        </w:rPr>
        <w:t xml:space="preserve"> </w:t>
      </w:r>
    </w:p>
    <w:p>
      <w:pPr>
        <w:pStyle w:val="h2title"/>
        <w:pageBreakBefore w:val="0"/>
        <w:spacing w:before="240" w:after="240" w:line="570" w:lineRule="atLeast"/>
        <w:ind w:left="0" w:right="0"/>
        <w:jc w:val="center"/>
        <w:outlineLvl w:val="1"/>
        <w:rPr>
          <w:b/>
          <w:bCs/>
          <w:caps w:val="0"/>
          <w:color w:val="202020"/>
          <w:sz w:val="48"/>
          <w:szCs w:val="48"/>
        </w:rPr>
      </w:pPr>
      <w:r>
        <w:rPr>
          <w:b/>
          <w:bCs/>
          <w:caps w:val="0"/>
          <w:color w:val="202020"/>
          <w:sz w:val="48"/>
          <w:szCs w:val="48"/>
        </w:rPr>
        <w:t>DONATION – Peut-on faire un don manuel sur tout type de bien (parts sociales, contrat de capitalisation, etc.) ?</w:t>
      </w:r>
    </w:p>
    <w:p>
      <w:pPr>
        <w:pStyle w:val="updated-at"/>
        <w:spacing w:before="0" w:after="300" w:line="360" w:lineRule="atLeast"/>
        <w:ind w:left="0" w:right="0"/>
        <w:rPr>
          <w:color w:val="646464"/>
          <w:sz w:val="27"/>
          <w:szCs w:val="27"/>
        </w:rPr>
      </w:pPr>
      <w:r>
        <w:rPr>
          <w:color w:val="646464"/>
          <w:sz w:val="27"/>
          <w:szCs w:val="27"/>
        </w:rPr>
        <w:t>Mis à jour le 20 oct. 2017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1.</w:t>
      </w:r>
      <w:r>
        <w:rPr>
          <w:b/>
          <w:bCs/>
          <w:caps w:val="0"/>
          <w:color w:val="202020"/>
          <w:sz w:val="27"/>
          <w:szCs w:val="27"/>
        </w:rPr>
        <w:t xml:space="preserve"> Question</w:t>
      </w:r>
    </w:p>
    <w:p>
      <w:pPr>
        <w:pStyle w:val="content"/>
        <w:spacing w:after="240" w:line="330" w:lineRule="atLeast"/>
        <w:rPr>
          <w:color w:val="646464"/>
          <w:sz w:val="24"/>
          <w:szCs w:val="24"/>
        </w:rPr>
      </w:pPr>
      <w:r>
        <w:rPr>
          <w:i/>
          <w:iCs/>
          <w:color w:val="646464"/>
          <w:sz w:val="24"/>
          <w:szCs w:val="24"/>
        </w:rPr>
        <w:t>Peut-on faire un don manuel sur tout type de bien (parts sociales, contrat de capitalisation, etc.) ?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2.</w:t>
      </w:r>
      <w:r>
        <w:rPr>
          <w:b/>
          <w:bCs/>
          <w:caps w:val="0"/>
          <w:color w:val="202020"/>
          <w:sz w:val="27"/>
          <w:szCs w:val="27"/>
        </w:rPr>
        <w:t xml:space="preserve"> Réponse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 xml:space="preserve">Un don manuel permet d'éviter le recours à un notaire mais impose de remettre le bien </w:t>
      </w:r>
      <w:r>
        <w:rPr>
          <w:i/>
          <w:iCs/>
          <w:color w:val="646464"/>
          <w:sz w:val="24"/>
          <w:szCs w:val="24"/>
        </w:rPr>
        <w:t>"de la main à la main " </w:t>
      </w:r>
      <w:r>
        <w:rPr>
          <w:color w:val="646464"/>
          <w:sz w:val="24"/>
          <w:szCs w:val="24"/>
        </w:rPr>
        <w:t xml:space="preserve">au donataire. Ainsi, le don manuel ne peut porter que sur </w:t>
      </w:r>
      <w:r>
        <w:rPr>
          <w:color w:val="646464"/>
          <w:sz w:val="24"/>
          <w:szCs w:val="24"/>
          <w:u w:val="single" w:color="646464"/>
        </w:rPr>
        <w:t>certains types de bien, c’est-à-dire ceux qui peuvent être remis au donataire.</w:t>
      </w:r>
    </w:p>
    <w:p>
      <w:pPr>
        <w:pStyle w:val="fd-document-box-blackfd-document-box-title"/>
        <w:pageBreakBefore w:val="0"/>
        <w:pBdr>
          <w:top w:val="single" w:sz="6" w:space="12" w:color="D6D6D6"/>
          <w:left w:val="single" w:sz="24" w:space="24" w:color="202020"/>
          <w:bottom w:val="single" w:sz="6" w:space="12" w:color="D6D6D6"/>
          <w:right w:val="single" w:sz="6" w:space="24" w:color="D6D6D6"/>
        </w:pBdr>
        <w:shd w:val="clear" w:color="auto" w:fill="F5F5F5"/>
        <w:spacing w:before="0" w:after="240" w:line="240" w:lineRule="atLeast"/>
        <w:ind w:left="540" w:right="495"/>
        <w:outlineLvl w:val="4"/>
        <w:rPr>
          <w:b/>
          <w:bCs/>
          <w:color w:val="202020"/>
          <w:sz w:val="18"/>
          <w:szCs w:val="18"/>
        </w:rPr>
      </w:pPr>
      <w:r>
        <w:rPr>
          <w:b/>
          <w:bCs/>
          <w:color w:val="202020"/>
          <w:sz w:val="18"/>
          <w:szCs w:val="18"/>
        </w:rPr>
        <w:t>Exemple : </w:t>
      </w:r>
    </w:p>
    <w:p>
      <w:pPr>
        <w:pStyle w:val="fd-document-box-blackfd-document-box-descriptionany"/>
        <w:pBdr>
          <w:top w:val="single" w:sz="6" w:space="12" w:color="D6D6D6"/>
          <w:left w:val="single" w:sz="24" w:space="24" w:color="202020"/>
          <w:bottom w:val="single" w:sz="6" w:space="12" w:color="D6D6D6"/>
          <w:right w:val="single" w:sz="6" w:space="24" w:color="D6D6D6"/>
        </w:pBdr>
        <w:shd w:val="clear" w:color="auto" w:fill="F5F5F5"/>
        <w:spacing w:before="0" w:after="180" w:line="300" w:lineRule="atLeast"/>
        <w:ind w:left="540" w:right="495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 xml:space="preserve">Il peut s’agir de </w:t>
      </w:r>
      <w:r>
        <w:rPr>
          <w:color w:val="646464"/>
          <w:sz w:val="21"/>
          <w:szCs w:val="21"/>
          <w:u w:val="single" w:color="646464"/>
        </w:rPr>
        <w:t>biens corporels </w:t>
      </w:r>
      <w:r>
        <w:rPr>
          <w:color w:val="646464"/>
          <w:sz w:val="21"/>
          <w:szCs w:val="21"/>
        </w:rPr>
        <w:t>: biens meubles, sommes d’argent remises en espèce (par chèque ou par virement), etc.</w:t>
      </w:r>
    </w:p>
    <w:p>
      <w:pPr>
        <w:pStyle w:val="fd-document-box-blackfd-document-box-descriptionpnth-last-child1"/>
        <w:pBdr>
          <w:top w:val="single" w:sz="6" w:space="12" w:color="D6D6D6"/>
          <w:left w:val="single" w:sz="24" w:space="24" w:color="202020"/>
          <w:bottom w:val="single" w:sz="6" w:space="12" w:color="D6D6D6"/>
          <w:right w:val="single" w:sz="6" w:space="24" w:color="D6D6D6"/>
        </w:pBdr>
        <w:shd w:val="clear" w:color="auto" w:fill="F5F5F5"/>
        <w:spacing w:before="0" w:after="540" w:line="300" w:lineRule="atLeast"/>
        <w:ind w:left="540" w:right="495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 xml:space="preserve">Ou encore de </w:t>
      </w:r>
      <w:r>
        <w:rPr>
          <w:color w:val="646464"/>
          <w:sz w:val="21"/>
          <w:szCs w:val="21"/>
          <w:u w:val="single" w:color="646464"/>
        </w:rPr>
        <w:t>biens incorporels</w:t>
      </w:r>
      <w:r>
        <w:rPr>
          <w:color w:val="646464"/>
          <w:sz w:val="21"/>
          <w:szCs w:val="21"/>
        </w:rPr>
        <w:t xml:space="preserve"> : actions (transfert par jeu d’écriture, virements dématérialisés), etc.</w:t>
      </w:r>
    </w:p>
    <w:p>
      <w:pPr>
        <w:pStyle w:val="fd-document-box-bluefd-document-box-title"/>
        <w:pageBreakBefore w:val="0"/>
        <w:pBdr>
          <w:top w:val="none" w:sz="0" w:space="12" w:color="auto"/>
          <w:left w:val="none" w:sz="0" w:space="24" w:color="auto"/>
          <w:bottom w:val="none" w:sz="0" w:space="0" w:color="auto"/>
          <w:right w:val="none" w:sz="0" w:space="24" w:color="auto"/>
        </w:pBdr>
        <w:shd w:val="clear" w:color="auto" w:fill="F5F5F5"/>
        <w:spacing w:before="0" w:after="240" w:line="240" w:lineRule="atLeast"/>
        <w:ind w:left="540" w:right="495"/>
        <w:outlineLvl w:val="4"/>
        <w:rPr>
          <w:b/>
          <w:bCs/>
          <w:color w:val="4623EB"/>
          <w:sz w:val="18"/>
          <w:szCs w:val="18"/>
        </w:rPr>
      </w:pPr>
      <w:r>
        <w:rPr>
          <w:b/>
          <w:bCs/>
          <w:color w:val="4623EB"/>
          <w:sz w:val="18"/>
          <w:szCs w:val="18"/>
        </w:rPr>
        <w:t>Avis Fidroit :</w:t>
      </w:r>
    </w:p>
    <w:p>
      <w:pPr>
        <w:pStyle w:val="fd-document-box-bluefd-document-box-descriptionany"/>
        <w:pBdr>
          <w:top w:val="none" w:sz="0" w:space="0" w:color="auto"/>
          <w:left w:val="none" w:sz="0" w:space="24" w:color="auto"/>
          <w:bottom w:val="none" w:sz="0" w:space="0" w:color="auto"/>
          <w:right w:val="none" w:sz="0" w:space="24" w:color="auto"/>
        </w:pBdr>
        <w:shd w:val="clear" w:color="auto" w:fill="F5F5F5"/>
        <w:spacing w:before="0" w:after="180" w:line="300" w:lineRule="atLeast"/>
        <w:ind w:left="540" w:right="495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  <w:u w:val="single" w:color="646464"/>
        </w:rPr>
        <w:t xml:space="preserve">Il n’est pas possible, juridiquement, </w:t>
      </w:r>
      <w:r>
        <w:rPr>
          <w:color w:val="646464"/>
          <w:sz w:val="21"/>
          <w:szCs w:val="21"/>
        </w:rPr>
        <w:t>de réaliser un don manuel portant notamment sur : </w:t>
      </w:r>
    </w:p>
    <w:p>
      <w:pPr>
        <w:pStyle w:val="linotnth-last-child1"/>
        <w:numPr>
          <w:ilvl w:val="0"/>
          <w:numId w:val="29"/>
        </w:numPr>
        <w:shd w:val="clear" w:color="auto" w:fill="F5F5F5"/>
        <w:spacing w:before="240" w:after="240" w:line="300" w:lineRule="atLeast"/>
        <w:ind w:left="540" w:right="495" w:hanging="360"/>
        <w:jc w:val="left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des créances (comptes courants d’associés, contrats de capitalisation),</w:t>
      </w:r>
    </w:p>
    <w:p>
      <w:pPr>
        <w:pStyle w:val="linotnth-last-child1"/>
        <w:numPr>
          <w:ilvl w:val="0"/>
          <w:numId w:val="29"/>
        </w:numPr>
        <w:shd w:val="clear" w:color="auto" w:fill="F5F5F5"/>
        <w:spacing w:after="240" w:line="300" w:lineRule="atLeast"/>
        <w:ind w:left="540" w:right="495" w:hanging="360"/>
        <w:jc w:val="left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 xml:space="preserve">des parts sociales (SCI, SCPI, SNC, SARL), </w:t>
      </w:r>
      <w:hyperlink r:id="rId6" w:history="1">
        <w:r>
          <w:rPr>
            <w:rStyle w:val="a"/>
            <w:color w:val="4623EB"/>
            <w:sz w:val="21"/>
            <w:szCs w:val="21"/>
          </w:rPr>
          <w:t>CA Paris, 5 juin 2019, n°17-16577,</w:t>
        </w:r>
      </w:hyperlink>
      <w:r>
        <w:rPr>
          <w:color w:val="646464"/>
          <w:sz w:val="21"/>
          <w:szCs w:val="21"/>
        </w:rPr>
        <w:t xml:space="preserve">  </w:t>
      </w:r>
      <w:hyperlink r:id="rId7" w:history="1">
        <w:r>
          <w:rPr>
            <w:rStyle w:val="a"/>
            <w:color w:val="4623EB"/>
            <w:sz w:val="21"/>
            <w:szCs w:val="21"/>
          </w:rPr>
          <w:t>CA Versailles 01/12/2016</w:t>
        </w:r>
      </w:hyperlink>
      <w:r>
        <w:rPr>
          <w:color w:val="646464"/>
          <w:sz w:val="21"/>
          <w:szCs w:val="21"/>
        </w:rPr>
        <w:t> ; </w:t>
      </w:r>
      <w:hyperlink r:id="rId8" w:history="1">
        <w:r>
          <w:rPr>
            <w:rStyle w:val="a"/>
            <w:color w:val="4623EB"/>
            <w:sz w:val="21"/>
            <w:szCs w:val="21"/>
          </w:rPr>
          <w:t>avis n° 2012-039 en date du 25 octobre 2012</w:t>
        </w:r>
      </w:hyperlink>
      <w:r>
        <w:rPr>
          <w:color w:val="646464"/>
          <w:sz w:val="21"/>
          <w:szCs w:val="21"/>
        </w:rPr>
        <w:t>  </w:t>
      </w:r>
    </w:p>
    <w:p>
      <w:pPr>
        <w:pStyle w:val="linotnth-last-child1"/>
        <w:numPr>
          <w:ilvl w:val="0"/>
          <w:numId w:val="29"/>
        </w:numPr>
        <w:shd w:val="clear" w:color="auto" w:fill="F5F5F5"/>
        <w:spacing w:after="240" w:line="300" w:lineRule="atLeast"/>
        <w:ind w:left="540" w:right="495" w:hanging="360"/>
        <w:jc w:val="left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des fonds de commerce,</w:t>
      </w:r>
    </w:p>
    <w:p>
      <w:pPr>
        <w:numPr>
          <w:ilvl w:val="0"/>
          <w:numId w:val="29"/>
        </w:numPr>
        <w:shd w:val="clear" w:color="auto" w:fill="F5F5F5"/>
        <w:spacing w:after="240" w:line="300" w:lineRule="atLeast"/>
        <w:ind w:left="540" w:right="495" w:hanging="360"/>
        <w:jc w:val="left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des droits de propriété littéraire, artistique ou industrielle.</w:t>
      </w:r>
    </w:p>
    <w:p>
      <w:pPr>
        <w:pStyle w:val="fd-document-box-bluefd-document-box-descriptionpnth-last-child1"/>
        <w:pBdr>
          <w:top w:val="none" w:sz="0" w:space="0" w:color="auto"/>
          <w:left w:val="none" w:sz="0" w:space="24" w:color="auto"/>
          <w:bottom w:val="none" w:sz="0" w:space="12" w:color="auto"/>
          <w:right w:val="none" w:sz="0" w:space="24" w:color="auto"/>
        </w:pBdr>
        <w:shd w:val="clear" w:color="auto" w:fill="F5F5F5"/>
        <w:spacing w:before="0" w:after="540" w:line="300" w:lineRule="atLeast"/>
        <w:ind w:left="540" w:right="495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br/>
      </w:r>
      <w:r>
        <w:rPr>
          <w:color w:val="646464"/>
          <w:sz w:val="21"/>
          <w:szCs w:val="21"/>
        </w:rPr>
        <w:t>Si ces dons sont réalisés par dons manuels, bien qu'ils ne soient pas valables juridiquement, ils sont taxables. 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 xml:space="preserve">En effet dans ces cas, la loi impose que la cession soit constatée par écrit. </w:t>
      </w:r>
      <w:r>
        <w:rPr>
          <w:color w:val="646464"/>
          <w:sz w:val="24"/>
          <w:szCs w:val="24"/>
          <w:u w:val="single" w:color="646464"/>
        </w:rPr>
        <w:t>Or, dès lors que la transmission nécessite un écrit, cet écrit doit être un acte authentique.</w:t>
      </w:r>
      <w:r>
        <w:rPr>
          <w:color w:val="646464"/>
          <w:sz w:val="24"/>
          <w:szCs w:val="24"/>
          <w:u w:val="single" w:color="646464"/>
        </w:rPr>
        <w:br/>
      </w:r>
      <w:r>
        <w:rPr>
          <w:color w:val="646464"/>
          <w:sz w:val="24"/>
          <w:szCs w:val="24"/>
          <w:u w:val="single" w:color="646464"/>
        </w:rPr>
        <w:br/>
      </w:r>
      <w:r>
        <w:rPr>
          <w:color w:val="646464"/>
          <w:sz w:val="24"/>
          <w:szCs w:val="24"/>
        </w:rPr>
        <w:t>C. civ nouvel. art. 1322 issus de la réforme du droit de obligations en vigueur depuis le 1er octobre 2016 (créances) 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C. civ. art. 1865 (société civile)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C. com. art. L. 221-14 et R. 221-9 (SNC)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C. com. art. L. 223-17 et R. 223-13 (SARL)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CA Versailles du 01/12/2016, n°14-08829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C. com. art. L. 141-1 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Notons également que la formalité de publication de la cession de parts sociales au RCS ne peut pas être satisfaite par le dépôt d'une déclaration de don manuel (Cerfa n°2735 ou déclaration en ligne), laquelle a pour seul objet de porter les donations à la connaissance de l’administration fiscale (avis du CCRCS du 25 octobre 2012 n°2012-039). </w:t>
      </w:r>
    </w:p>
    <w:p>
      <w:pPr>
        <w:pStyle w:val="fd-document-box-redfd-document-box-title"/>
        <w:pageBreakBefore w:val="0"/>
        <w:pBdr>
          <w:top w:val="single" w:sz="6" w:space="12" w:color="D6D6D6"/>
          <w:left w:val="single" w:sz="24" w:space="24" w:color="FF6E6E"/>
          <w:bottom w:val="single" w:sz="6" w:space="12" w:color="D6D6D6"/>
          <w:right w:val="single" w:sz="6" w:space="24" w:color="D6D6D6"/>
        </w:pBdr>
        <w:shd w:val="clear" w:color="auto" w:fill="F5F5F5"/>
        <w:spacing w:before="0" w:after="240" w:line="240" w:lineRule="atLeast"/>
        <w:ind w:left="540" w:right="495"/>
        <w:outlineLvl w:val="4"/>
        <w:rPr>
          <w:b/>
          <w:bCs/>
          <w:color w:val="FF6E6E"/>
          <w:sz w:val="18"/>
          <w:szCs w:val="18"/>
        </w:rPr>
      </w:pPr>
      <w:r>
        <w:rPr>
          <w:b/>
          <w:bCs/>
          <w:color w:val="FF6E6E"/>
          <w:sz w:val="18"/>
          <w:szCs w:val="18"/>
        </w:rPr>
        <w:t>Attention : </w:t>
      </w:r>
    </w:p>
    <w:p>
      <w:pPr>
        <w:pStyle w:val="fd-document-box-redfd-document-box-descriptionpnth-last-child1"/>
        <w:pBdr>
          <w:top w:val="single" w:sz="6" w:space="12" w:color="D6D6D6"/>
          <w:left w:val="single" w:sz="24" w:space="24" w:color="FF6E6E"/>
          <w:bottom w:val="single" w:sz="6" w:space="12" w:color="D6D6D6"/>
          <w:right w:val="single" w:sz="6" w:space="24" w:color="D6D6D6"/>
        </w:pBdr>
        <w:shd w:val="clear" w:color="auto" w:fill="F5F5F5"/>
        <w:spacing w:before="0" w:after="540" w:line="300" w:lineRule="atLeast"/>
        <w:ind w:left="540" w:right="495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 xml:space="preserve">Lorsqu'une dette est transférée au donataire (par exemple en cas de donation d'un bien immobilier à charge pour le donataire de reprendre à son compte le remboursement de l'emprunt lié à l'immeuble), </w:t>
      </w:r>
      <w:r>
        <w:rPr>
          <w:color w:val="646464"/>
          <w:sz w:val="21"/>
          <w:szCs w:val="21"/>
          <w:u w:val="single" w:color="646464"/>
        </w:rPr>
        <w:t>cette dette peut être prise en compte pour réduire les droits de donation si elle est mentionnée dans l'acte de donation.</w:t>
      </w:r>
      <w:r>
        <w:rPr>
          <w:color w:val="646464"/>
          <w:sz w:val="21"/>
          <w:szCs w:val="21"/>
          <w:u w:val="single" w:color="646464"/>
        </w:rPr>
        <w:br/>
      </w:r>
      <w:r>
        <w:rPr>
          <w:color w:val="646464"/>
          <w:sz w:val="21"/>
          <w:szCs w:val="21"/>
          <w:u w:val="single" w:color="646464"/>
        </w:rPr>
        <w:br/>
      </w:r>
      <w:r>
        <w:rPr>
          <w:color w:val="646464"/>
          <w:sz w:val="21"/>
          <w:szCs w:val="21"/>
        </w:rPr>
        <w:t xml:space="preserve">Cette mention </w:t>
      </w:r>
      <w:r>
        <w:rPr>
          <w:color w:val="646464"/>
          <w:sz w:val="21"/>
          <w:szCs w:val="21"/>
          <w:u w:val="single" w:color="646464"/>
        </w:rPr>
        <w:t>nécessite donc un acte écrit, lequel ne peut être qu'un acte authentique (et ne peut donc pas être réalisée par un don manuel).</w:t>
      </w:r>
      <w:r>
        <w:rPr>
          <w:color w:val="646464"/>
          <w:sz w:val="21"/>
          <w:szCs w:val="21"/>
          <w:u w:val="single" w:color="646464"/>
        </w:rPr>
        <w:br/>
      </w:r>
      <w:r>
        <w:rPr>
          <w:color w:val="646464"/>
          <w:sz w:val="21"/>
          <w:szCs w:val="21"/>
          <w:u w:val="single" w:color="646464"/>
        </w:rPr>
        <w:br/>
      </w:r>
      <w:r>
        <w:rPr>
          <w:color w:val="646464"/>
          <w:sz w:val="21"/>
          <w:szCs w:val="21"/>
        </w:rPr>
        <w:t>BOI-ENR-DMTG-20-30-10 § 210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3.</w:t>
      </w:r>
      <w:r>
        <w:rPr>
          <w:b/>
          <w:bCs/>
          <w:caps w:val="0"/>
          <w:color w:val="202020"/>
          <w:sz w:val="27"/>
          <w:szCs w:val="27"/>
        </w:rPr>
        <w:t xml:space="preserve"> Références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hyperlink r:id="rId9" w:history="1">
        <w:r>
          <w:rPr>
            <w:rStyle w:val="a"/>
            <w:color w:val="4623EB"/>
            <w:sz w:val="24"/>
            <w:szCs w:val="24"/>
          </w:rPr>
          <w:t>C. civil. art. 1322 (créances) </w:t>
        </w:r>
      </w:hyperlink>
      <w:r>
        <w:rPr>
          <w:rStyle w:val="a"/>
          <w:color w:val="4623EB"/>
          <w:sz w:val="24"/>
          <w:szCs w:val="24"/>
        </w:rPr>
        <w:br/>
      </w:r>
      <w:hyperlink r:id="rId10" w:history="1">
        <w:r>
          <w:rPr>
            <w:rStyle w:val="a"/>
            <w:color w:val="4623EB"/>
            <w:sz w:val="24"/>
            <w:szCs w:val="24"/>
          </w:rPr>
          <w:t>C. civil. art. 1865 (société civile)</w:t>
        </w:r>
      </w:hyperlink>
      <w:r>
        <w:rPr>
          <w:rStyle w:val="a"/>
          <w:color w:val="4623EB"/>
          <w:sz w:val="24"/>
          <w:szCs w:val="24"/>
        </w:rPr>
        <w:br/>
      </w:r>
      <w:hyperlink r:id="rId11" w:history="1">
        <w:r>
          <w:rPr>
            <w:rStyle w:val="a"/>
            <w:color w:val="4623EB"/>
            <w:sz w:val="24"/>
            <w:szCs w:val="24"/>
          </w:rPr>
          <w:t>C. com. art. L. 221-14</w:t>
        </w:r>
      </w:hyperlink>
      <w:r>
        <w:rPr>
          <w:color w:val="646464"/>
          <w:sz w:val="24"/>
          <w:szCs w:val="24"/>
        </w:rPr>
        <w:t xml:space="preserve"> et </w:t>
      </w:r>
      <w:hyperlink r:id="rId12" w:history="1">
        <w:r>
          <w:rPr>
            <w:rStyle w:val="a"/>
            <w:color w:val="4623EB"/>
            <w:sz w:val="24"/>
            <w:szCs w:val="24"/>
          </w:rPr>
          <w:t>R. 221-9 (SNC) </w:t>
        </w:r>
      </w:hyperlink>
      <w:r>
        <w:rPr>
          <w:rStyle w:val="a"/>
          <w:color w:val="4623EB"/>
          <w:sz w:val="24"/>
          <w:szCs w:val="24"/>
        </w:rPr>
        <w:br/>
      </w:r>
      <w:hyperlink r:id="rId13" w:history="1">
        <w:r>
          <w:rPr>
            <w:rStyle w:val="a"/>
            <w:color w:val="4623EB"/>
            <w:sz w:val="24"/>
            <w:szCs w:val="24"/>
          </w:rPr>
          <w:t>C. com. art. L. 223-17</w:t>
        </w:r>
      </w:hyperlink>
      <w:r>
        <w:rPr>
          <w:color w:val="646464"/>
          <w:sz w:val="24"/>
          <w:szCs w:val="24"/>
        </w:rPr>
        <w:t xml:space="preserve"> et </w:t>
      </w:r>
      <w:hyperlink r:id="rId14" w:history="1">
        <w:r>
          <w:rPr>
            <w:rStyle w:val="a"/>
            <w:color w:val="4623EB"/>
            <w:sz w:val="24"/>
            <w:szCs w:val="24"/>
          </w:rPr>
          <w:t>R. 223-13 (SARL)</w:t>
        </w:r>
      </w:hyperlink>
      <w:r>
        <w:rPr>
          <w:rStyle w:val="a"/>
          <w:color w:val="4623EB"/>
          <w:sz w:val="24"/>
          <w:szCs w:val="24"/>
        </w:rPr>
        <w:br/>
      </w:r>
      <w:hyperlink r:id="rId15" w:history="1">
        <w:r>
          <w:rPr>
            <w:rStyle w:val="a"/>
            <w:color w:val="4623EB"/>
            <w:sz w:val="24"/>
            <w:szCs w:val="24"/>
          </w:rPr>
          <w:t>C. com. art. L. 141-1 (fonds de commerce)</w:t>
        </w:r>
      </w:hyperlink>
      <w:r>
        <w:rPr>
          <w:rStyle w:val="a"/>
          <w:color w:val="4623EB"/>
          <w:sz w:val="24"/>
          <w:szCs w:val="24"/>
        </w:rPr>
        <w:br/>
      </w:r>
      <w:r>
        <w:rPr>
          <w:rStyle w:val="a"/>
          <w:color w:val="4623EB"/>
          <w:sz w:val="24"/>
          <w:szCs w:val="24"/>
        </w:rPr>
        <w:br/>
      </w:r>
      <w:hyperlink r:id="rId16" w:history="1">
        <w:r>
          <w:rPr>
            <w:rStyle w:val="a"/>
            <w:color w:val="4623EB"/>
            <w:sz w:val="24"/>
            <w:szCs w:val="24"/>
          </w:rPr>
          <w:t>BOI-ENR-DMTG-20-30-10 § 210</w:t>
        </w:r>
      </w:hyperlink>
      <w:r>
        <w:rPr>
          <w:rStyle w:val="a"/>
          <w:color w:val="4623EB"/>
          <w:sz w:val="24"/>
          <w:szCs w:val="24"/>
        </w:rPr>
        <w:br/>
      </w:r>
      <w:r>
        <w:rPr>
          <w:rStyle w:val="a"/>
          <w:color w:val="4623EB"/>
          <w:sz w:val="24"/>
          <w:szCs w:val="24"/>
        </w:rPr>
        <w:br/>
      </w:r>
      <w:r>
        <w:rPr>
          <w:color w:val="646464"/>
          <w:sz w:val="24"/>
          <w:szCs w:val="24"/>
        </w:rPr>
        <w:t xml:space="preserve">Pour en savoir plus, voir </w:t>
      </w:r>
      <w:hyperlink r:id="rId17" w:history="1">
        <w:r>
          <w:rPr>
            <w:rStyle w:val="a"/>
            <w:color w:val="4623EB"/>
            <w:sz w:val="24"/>
            <w:szCs w:val="24"/>
          </w:rPr>
          <w:t>Doc Expert : Don manuel </w:t>
        </w:r>
      </w:hyperlink>
      <w:r>
        <w:rPr>
          <w:rStyle w:val="a"/>
          <w:color w:val="4623EB"/>
          <w:sz w:val="24"/>
          <w:szCs w:val="24"/>
        </w:rPr>
        <w:br/>
      </w:r>
      <w:r>
        <w:rPr>
          <w:color w:val="646464"/>
          <w:sz w:val="24"/>
          <w:szCs w:val="24"/>
        </w:rPr>
        <w:t xml:space="preserve">Déclaration de dons manuel et de sommes d’argent - </w:t>
      </w:r>
      <w:hyperlink r:id="rId18" w:history="1">
        <w:r>
          <w:rPr>
            <w:rStyle w:val="a"/>
            <w:color w:val="4623EB"/>
            <w:sz w:val="24"/>
            <w:szCs w:val="24"/>
          </w:rPr>
          <w:t>Cerfa n°2735</w:t>
        </w:r>
      </w:hyperlink>
      <w:r>
        <w:rPr>
          <w:rStyle w:val="a"/>
          <w:color w:val="4623EB"/>
          <w:sz w:val="24"/>
          <w:szCs w:val="24"/>
        </w:rPr>
        <w:br/>
      </w:r>
      <w:r>
        <w:rPr>
          <w:color w:val="646464"/>
          <w:sz w:val="24"/>
          <w:szCs w:val="24"/>
        </w:rPr>
        <w:t>Déclaration en ligne : espace personnel sur le site</w:t>
      </w:r>
      <w:hyperlink r:id="rId19" w:history="1">
        <w:r>
          <w:rPr>
            <w:rStyle w:val="a"/>
            <w:color w:val="4623EB"/>
            <w:sz w:val="24"/>
            <w:szCs w:val="24"/>
          </w:rPr>
          <w:t>impots.gouv.fr</w:t>
        </w:r>
      </w:hyperlink>
      <w:r>
        <w:rPr>
          <w:rStyle w:val="a"/>
          <w:color w:val="4623EB"/>
          <w:sz w:val="24"/>
          <w:szCs w:val="24"/>
        </w:rPr>
        <w:br/>
      </w:r>
      <w:r>
        <w:rPr>
          <w:rStyle w:val="a"/>
          <w:color w:val="4623EB"/>
          <w:sz w:val="24"/>
          <w:szCs w:val="24"/>
        </w:rPr>
        <w:br/>
      </w:r>
      <w:r>
        <w:rPr>
          <w:color w:val="646464"/>
          <w:sz w:val="24"/>
          <w:szCs w:val="24"/>
        </w:rPr>
        <w:t>Voir également nos actualités précédentes </w:t>
      </w:r>
    </w:p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 xml:space="preserve">- </w:t>
      </w:r>
      <w:hyperlink r:id="rId6" w:history="1">
        <w:r>
          <w:rPr>
            <w:rStyle w:val="a"/>
            <w:color w:val="4623EB"/>
            <w:sz w:val="24"/>
            <w:szCs w:val="24"/>
          </w:rPr>
          <w:t>CA Paris, 5 juin 2019, n°17-16577</w:t>
        </w:r>
      </w:hyperlink>
      <w:r>
        <w:rPr>
          <w:rStyle w:val="a"/>
          <w:color w:val="4623EB"/>
          <w:sz w:val="24"/>
          <w:szCs w:val="24"/>
        </w:rPr>
        <w:br/>
      </w:r>
      <w:hyperlink r:id="rId7" w:history="1">
        <w:r>
          <w:rPr>
            <w:rStyle w:val="a"/>
            <w:color w:val="4623EB"/>
            <w:sz w:val="24"/>
            <w:szCs w:val="24"/>
          </w:rPr>
          <w:t>- Don manuel et parts sociales : l’impossible association (CA Versailles 01/12/2016)</w:t>
        </w:r>
      </w:hyperlink>
      <w:r>
        <w:rPr>
          <w:rStyle w:val="a"/>
          <w:color w:val="4623EB"/>
          <w:sz w:val="24"/>
          <w:szCs w:val="24"/>
        </w:rPr>
        <w:br/>
      </w:r>
      <w:hyperlink r:id="rId20" w:history="1">
        <w:r>
          <w:rPr>
            <w:rStyle w:val="a"/>
            <w:color w:val="4623EB"/>
            <w:sz w:val="24"/>
            <w:szCs w:val="24"/>
          </w:rPr>
          <w:t>- Don manuel de parts sociales : une opération non valide et non publiable (avis CCRCS 25/10/2012)</w:t>
        </w:r>
      </w:hyperlink>
    </w:p>
    <w:p>
      <w:pPr>
        <w:pStyle w:val="legal-notice"/>
        <w:spacing w:before="1920" w:line="240" w:lineRule="atLeast"/>
        <w:jc w:val="center"/>
        <w:rPr>
          <w:color w:val="9A9A9A"/>
          <w:sz w:val="18"/>
          <w:szCs w:val="18"/>
        </w:rPr>
      </w:pPr>
      <w:r>
        <w:rPr>
          <w:color w:val="9A9A9A"/>
          <w:sz w:val="18"/>
          <w:szCs w:val="18"/>
        </w:rPr>
        <w:t>Bonjour Patrimoine est la marque commerciale des sociétés CGP ONE et PYRÉNÉES FINANCE CONSEIL. Société CGP ONE, S.A.R.L. à associé unique à capital variable (capital minimum de 800 €uros) enregistrée au RCS de Toulouse sous le n° 450 434 535 - Code APE 7022Z – TVA INTRACOMMUNAUTAIRE FR12450434535 - Siège social : 14-16 place Laganne 31300 Toulouse – Téléphone : 05 61 52 17 01 Etablissement secondaire : 31 rue Saint Hilaire 94210 Saint Maur des Fossés – Téléphone : 01 45 14 80 34 Société PYRENEES FINANCE CONSEIL, SASU au capital de 44000 € enregistrée au RCS de Tarbes sous le n° 433 881 760 - Code APE 6619B – TVA INTRACOMMUNAUTAIRE FR61433881760 - Siège social : 8 rue Latil 65000 Tarbes – Téléphone : 05 62 56 31 56 CGP ONE et PYRÉNÉES FINANCE CONSEIL détiennent en propre l’intégralité des habilitations nécessaires pour l’exercice de la profession de Conseil en Gestion de Patrimoine - Enregistrées respectivement à l’ORIAS sous le n° 07 002 919 et sous le n° 07 008 066 (https://www.orias.fr) en qualité de Courtier en Assurance positionné dans la catégorie « b », de Courtier en opérations de banque et en services de paiement et de Conseiller en Investissements Financiers adhérents à la Chambre Nationale des Conseillers en Gestion de Patrimoine (CNCGP), association agréée par l'AMF (Autorité des Marchés Financiers) – Activité de transaction sur immeuble et fonds de commerce carte professionnelle n° CPI 3101 2018 000 035 300 délivrée par la CCI de Toulouse pour CGP ONE et n°CPI 6501 2021 000 000 001 délivrée par la CCI de Tarbes et des Hautes-Pyrénées pour PYRENEES FINANCE CONSEIL - RCP et garantie financière n°112.786.342 (adhérent n°224545 pour CGP ONE et n°232188 pour PYRENEES FINANCE CONSEIL) auprès de la Compagnie MMA IARD Assurances Mutuelles / MMA IARD, 14 Bd Marie et Alexandre Oyon 72030 LE MANS CEDEX 9. Ne peut recevoir aucun fonds, effet ou valeur.</w:t>
      </w:r>
    </w:p>
    <w:sectPr>
      <w:headerReference w:type="default" r:id="rId21"/>
      <w:footerReference w:type="default" r:id="rId22"/>
      <w:pgSz w:w="11906" w:h="16838"/>
      <w:pgMar w:top="454" w:right="680" w:bottom="794" w:left="851" w:header="454" w:footer="454"/>
      <w:pgNumType w:start="1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5000" w:type="pct"/>
      <w:jc w:val="center"/>
      <w:tblCellSpacing w:w="-8" w:type="dxa"/>
      <w:tblLayout w:type="fixed"/>
      <w:tblCellMar>
        <w:top w:w="15" w:type="dxa"/>
        <w:left w:w="45" w:type="dxa"/>
        <w:bottom w:w="15" w:type="dxa"/>
        <w:right w:w="45" w:type="dxa"/>
      </w:tblCellMar>
      <w:tblLook w:val="04A0"/>
    </w:tblPr>
    <w:tblGrid>
      <w:gridCol w:w="9887"/>
      <w:gridCol w:w="578"/>
    </w:tblGrid>
    <w:tr w:rsidTr="00650C20">
      <w:tblPrEx>
        <w:tblW w:w="5000" w:type="pct"/>
        <w:jc w:val="center"/>
        <w:tblCellSpacing w:w="-8" w:type="dxa"/>
        <w:tblLayout w:type="fixed"/>
        <w:tblCellMar>
          <w:top w:w="15" w:type="dxa"/>
          <w:left w:w="45" w:type="dxa"/>
          <w:bottom w:w="15" w:type="dxa"/>
          <w:right w:w="45" w:type="dxa"/>
        </w:tblCellMar>
        <w:tblLook w:val="04A0"/>
      </w:tblPrEx>
      <w:trPr>
        <w:tblCellSpacing w:w="-8" w:type="dxa"/>
        <w:jc w:val="center"/>
      </w:trPr>
      <w:tc>
        <w:tcPr>
          <w:tcW w:w="4724" w:type="pct"/>
        </w:tcPr>
        <w:p w:rsidR="00A80841" w:rsidRPr="00D46CF9" w:rsidP="00650C20">
          <w:pPr>
            <w:jc w:val="center"/>
          </w:pPr>
        </w:p>
      </w:tc>
      <w:tc>
        <w:tcPr>
          <w:tcW w:w="299" w:type="pct"/>
        </w:tcPr>
        <w:p w:rsidR="00A80841" w:rsidRPr="00D46CF9" w:rsidP="00650C20">
          <w:pPr>
            <w:jc w:val="center"/>
          </w:pPr>
          <w:r w:rsidRPr="00D46CF9">
            <w:rPr>
              <w:b/>
            </w:rPr>
            <w:fldChar w:fldCharType="begin"/>
          </w:r>
          <w:r w:rsidRPr="00D46CF9" w:rsidR="00320D97">
            <w:rPr>
              <w:b/>
            </w:rPr>
            <w:instrText xml:space="preserve">PAGE </w:instrText>
          </w:r>
          <w:r w:rsidRPr="00D46CF9">
            <w:rPr>
              <w:b/>
            </w:rPr>
            <w:fldChar w:fldCharType="separate"/>
          </w:r>
          <w:r w:rsidRPr="00D46CF9" w:rsidR="00320D97">
            <w:rPr>
              <w:rFonts w:ascii="Franklin Gothic Book" w:hAnsi="Franklin Gothic Book" w:eastAsiaTheme="minorHAnsi" w:cstheme="minorBidi"/>
              <w:b/>
              <w:color w:val="5F5F5F"/>
              <w:sz w:val="22"/>
              <w:szCs w:val="22"/>
              <w:lang w:val="fr-FR" w:eastAsia="en-US" w:bidi="ar-SA"/>
            </w:rPr>
            <w:t>3</w:t>
          </w:r>
          <w:r w:rsidRPr="00D46CF9">
            <w:rPr>
              <w:b/>
            </w:rPr>
            <w:fldChar w:fldCharType="end"/>
          </w:r>
        </w:p>
      </w:tc>
    </w:tr>
  </w:tbl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301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63008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8AC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84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4B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6EA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1CF4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784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2498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525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523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hybridMultilevel"/>
    <w:tmpl w:val="1A082E12"/>
    <w:lvl w:ilvl="0">
      <w:start w:val="1"/>
      <w:numFmt w:val="bullet"/>
      <w:pStyle w:val="Listepuce3"/>
      <w:lvlText w:val=""/>
      <w:lvlJc w:val="left"/>
      <w:pPr>
        <w:ind w:left="927" w:hanging="360"/>
      </w:pPr>
      <w:rPr>
        <w:rFonts w:ascii="Wingdings" w:hAnsi="Wingdings" w:cs="Wingdings" w:hint="default"/>
        <w:color w:val="4B575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1A"/>
    <w:multiLevelType w:val="singleLevel"/>
    <w:tmpl w:val="2AA099C8"/>
    <w:lvl w:ilvl="0">
      <w:start w:val="1"/>
      <w:numFmt w:val="bullet"/>
      <w:pStyle w:val="Listepuce2"/>
      <w:lvlText w:val="-"/>
      <w:lvlJc w:val="left"/>
      <w:pPr>
        <w:ind w:left="435" w:hanging="360"/>
      </w:pPr>
      <w:rPr>
        <w:rFonts w:ascii="Arial" w:hAnsi="Arial" w:hint="default"/>
        <w:noProof/>
        <w:color w:val="4B575F"/>
        <w:sz w:val="20"/>
      </w:rPr>
    </w:lvl>
  </w:abstractNum>
  <w:abstractNum w:abstractNumId="12">
    <w:nsid w:val="07A6EE8B"/>
    <w:multiLevelType w:val="singleLevel"/>
    <w:tmpl w:val="D3F4C88C"/>
    <w:lvl w:ilvl="0">
      <w:start w:val="0"/>
      <w:numFmt w:val="bullet"/>
      <w:lvlText w:val="§"/>
      <w:lvlJc w:val="left"/>
      <w:pPr>
        <w:tabs>
          <w:tab w:val="num" w:pos="840"/>
        </w:tabs>
        <w:ind w:left="840" w:hanging="285"/>
      </w:pPr>
      <w:rPr>
        <w:rFonts w:ascii="Wingdings" w:hAnsi="Wingdings" w:cs="Wingdings"/>
        <w:sz w:val="20"/>
        <w:szCs w:val="20"/>
      </w:rPr>
    </w:lvl>
  </w:abstractNum>
  <w:abstractNum w:abstractNumId="13">
    <w:nsid w:val="24C3760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6263294"/>
    <w:multiLevelType w:val="hybridMultilevel"/>
    <w:tmpl w:val="0418487C"/>
    <w:lvl w:ilvl="0">
      <w:start w:val="1"/>
      <w:numFmt w:val="bullet"/>
      <w:lvlText w:val="i"/>
      <w:lvlJc w:val="left"/>
      <w:pPr>
        <w:ind w:left="644" w:hanging="360"/>
      </w:pPr>
      <w:rPr>
        <w:rFonts w:ascii="Webdings" w:hAnsi="Webdings" w:cs="Wingdings" w:hint="default"/>
        <w:color w:val="5B9BD5" w:themeColor="accent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734BCD"/>
    <w:multiLevelType w:val="hybridMultilevel"/>
    <w:tmpl w:val="5228430C"/>
    <w:lvl w:ilvl="0">
      <w:start w:val="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2B16B9"/>
    <w:multiLevelType w:val="multilevel"/>
    <w:tmpl w:val="5D1C4DFA"/>
    <w:lvl w:ilvl="0">
      <w:start w:val="1"/>
      <w:numFmt w:val="bullet"/>
      <w:lvlText w:val="·"/>
      <w:lvlJc w:val="left"/>
      <w:pPr>
        <w:tabs>
          <w:tab w:val="num" w:pos="269"/>
        </w:tabs>
        <w:ind w:left="-299" w:firstLine="299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B1309B"/>
    <w:multiLevelType w:val="singleLevel"/>
    <w:tmpl w:val="5C9EA41E"/>
    <w:lvl w:ilvl="0">
      <w:start w:val="1"/>
      <w:numFmt w:val="bullet"/>
      <w:lvlText w:val="i"/>
      <w:lvlJc w:val="left"/>
      <w:pPr>
        <w:tabs>
          <w:tab w:val="num" w:pos="555"/>
        </w:tabs>
        <w:ind w:hanging="285"/>
      </w:pPr>
      <w:rPr>
        <w:rFonts w:ascii="Webdings" w:hAnsi="Webdings"/>
        <w:color w:val="C84040"/>
        <w:sz w:val="20"/>
      </w:rPr>
    </w:lvl>
  </w:abstractNum>
  <w:abstractNum w:abstractNumId="18">
    <w:nsid w:val="38D45865"/>
    <w:multiLevelType w:val="multilevel"/>
    <w:tmpl w:val="8C120BA8"/>
    <w:lvl w:ilvl="0">
      <w:start w:val="1"/>
      <w:numFmt w:val="bullet"/>
      <w:lvlText w:val="-"/>
      <w:lvlJc w:val="left"/>
      <w:pPr>
        <w:tabs>
          <w:tab w:val="num" w:pos="1122"/>
        </w:tabs>
        <w:ind w:left="555" w:hanging="284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363A21"/>
    <w:multiLevelType w:val="hybridMultilevel"/>
    <w:tmpl w:val="4F4434A4"/>
    <w:lvl w:ilvl="0">
      <w:start w:val="1"/>
      <w:numFmt w:val="bullet"/>
      <w:lvlText w:val="-"/>
      <w:lvlJc w:val="left"/>
      <w:pPr>
        <w:tabs>
          <w:tab w:val="num" w:pos="567"/>
        </w:tabs>
        <w:ind w:left="567" w:hanging="296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A6F06B"/>
    <w:multiLevelType w:val="singleLevel"/>
    <w:tmpl w:val="5EC9667B"/>
    <w:lvl w:ilvl="0">
      <w:start w:val="1"/>
      <w:numFmt w:val="bullet"/>
      <w:lvlText w:val="·"/>
      <w:lvlJc w:val="left"/>
      <w:pPr>
        <w:tabs>
          <w:tab w:val="num" w:pos="270"/>
        </w:tabs>
        <w:ind w:hanging="285"/>
      </w:pPr>
      <w:rPr>
        <w:rFonts w:ascii="Symbol" w:hAnsi="Symbol"/>
        <w:noProof/>
        <w:sz w:val="20"/>
      </w:rPr>
    </w:lvl>
  </w:abstractNum>
  <w:abstractNum w:abstractNumId="21">
    <w:nsid w:val="4C43CD31"/>
    <w:multiLevelType w:val="singleLevel"/>
    <w:tmpl w:val="45622109"/>
    <w:lvl w:ilvl="0">
      <w:start w:val="1"/>
      <w:numFmt w:val="bullet"/>
      <w:lvlText w:val="§"/>
      <w:lvlJc w:val="left"/>
      <w:pPr>
        <w:tabs>
          <w:tab w:val="num" w:pos="840"/>
        </w:tabs>
        <w:ind w:hanging="285"/>
      </w:pPr>
      <w:rPr>
        <w:rFonts w:ascii="Wingdings" w:hAnsi="Wingdings"/>
        <w:noProof/>
        <w:sz w:val="20"/>
      </w:rPr>
    </w:lvl>
  </w:abstractNum>
  <w:abstractNum w:abstractNumId="22">
    <w:nsid w:val="5EAE291D"/>
    <w:multiLevelType w:val="singleLevel"/>
    <w:tmpl w:val="D41CDB52"/>
    <w:lvl w:ilvl="0">
      <w:start w:val="0"/>
      <w:numFmt w:val="bullet"/>
      <w:lvlText w:val="i"/>
      <w:lvlJc w:val="left"/>
      <w:pPr>
        <w:tabs>
          <w:tab w:val="num" w:pos="555"/>
        </w:tabs>
        <w:ind w:left="555" w:hanging="285"/>
      </w:pPr>
      <w:rPr>
        <w:rFonts w:ascii="Webdings" w:hAnsi="Webdings" w:cs="Webdings"/>
        <w:color w:val="C84040"/>
        <w:sz w:val="20"/>
        <w:szCs w:val="20"/>
      </w:rPr>
    </w:lvl>
  </w:abstractNum>
  <w:abstractNum w:abstractNumId="23">
    <w:nsid w:val="5FEC2877"/>
    <w:multiLevelType w:val="hybridMultilevel"/>
    <w:tmpl w:val="74A8DB74"/>
    <w:lvl w:ilvl="0">
      <w:start w:val="1"/>
      <w:numFmt w:val="bullet"/>
      <w:pStyle w:val="Bulleinfo"/>
      <w:lvlText w:val=""/>
      <w:lvlJc w:val="left"/>
      <w:pPr>
        <w:ind w:left="717" w:hanging="360"/>
      </w:pPr>
      <w:rPr>
        <w:rFonts w:ascii="Webdings" w:hAnsi="Webdings" w:cs="Wingdings" w:hint="default"/>
        <w:color w:val="39659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5D72BF"/>
    <w:multiLevelType w:val="multilevel"/>
    <w:tmpl w:val="CFD80868"/>
    <w:lvl w:ilvl="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>
    <w:nsid w:val="62249CE4"/>
    <w:multiLevelType w:val="singleLevel"/>
    <w:tmpl w:val="25F2EB60"/>
    <w:lvl w:ilvl="0">
      <w:start w:val="1"/>
      <w:numFmt w:val="bullet"/>
      <w:lvlText w:val="-"/>
      <w:lvlJc w:val="left"/>
      <w:pPr>
        <w:tabs>
          <w:tab w:val="num" w:pos="555"/>
        </w:tabs>
        <w:ind w:hanging="285"/>
      </w:pPr>
      <w:rPr>
        <w:rFonts w:ascii="Symbol" w:hAnsi="Symbol"/>
        <w:noProof/>
        <w:sz w:val="20"/>
      </w:rPr>
    </w:lvl>
  </w:abstractNum>
  <w:abstractNum w:abstractNumId="26">
    <w:nsid w:val="72404382"/>
    <w:multiLevelType w:val="hybridMultilevel"/>
    <w:tmpl w:val="0602BE92"/>
    <w:lvl w:ilvl="0">
      <w:start w:val="1"/>
      <w:numFmt w:val="bullet"/>
      <w:pStyle w:val="Listepuce"/>
      <w:lvlText w:val=""/>
      <w:lvlJc w:val="left"/>
      <w:pPr>
        <w:ind w:left="360" w:hanging="360"/>
      </w:pPr>
      <w:rPr>
        <w:rFonts w:ascii="Symbol" w:hAnsi="Symbol" w:hint="default"/>
        <w:color w:val="39659F"/>
        <w:sz w:val="2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04383"/>
    <w:multiLevelType w:val="hybridMultilevel"/>
    <w:tmpl w:val="724043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21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8"/>
  </w:num>
  <w:num w:numId="19">
    <w:abstractNumId w:val="24"/>
  </w:num>
  <w:num w:numId="20">
    <w:abstractNumId w:val="16"/>
  </w:num>
  <w:num w:numId="21">
    <w:abstractNumId w:val="22"/>
  </w:num>
  <w:num w:numId="22">
    <w:abstractNumId w:val="12"/>
  </w:num>
  <w:num w:numId="23">
    <w:abstractNumId w:val="13"/>
  </w:num>
  <w:num w:numId="24">
    <w:abstractNumId w:val="23"/>
  </w:num>
  <w:num w:numId="25">
    <w:abstractNumId w:val="23"/>
  </w:num>
  <w:num w:numId="26">
    <w:abstractNumId w:val="26"/>
  </w:num>
  <w:num w:numId="27">
    <w:abstractNumId w:val="11"/>
  </w:num>
  <w:num w:numId="28">
    <w:abstractNumId w:val="1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001"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1" w:visibleStyles="0"/>
  <w:stylePaneSortMethod w:val="name"/>
  <w:defaultTabStop w:val="720"/>
  <w:hyphenationZone w:val="425"/>
  <w:doNotShadeFormData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01"/>
    <w:rsid w:val="000139BB"/>
    <w:rsid w:val="000169B4"/>
    <w:rsid w:val="00021B1D"/>
    <w:rsid w:val="0002488E"/>
    <w:rsid w:val="00030EDF"/>
    <w:rsid w:val="00046E08"/>
    <w:rsid w:val="000603F8"/>
    <w:rsid w:val="00092AEA"/>
    <w:rsid w:val="0009665C"/>
    <w:rsid w:val="000D575D"/>
    <w:rsid w:val="0013271A"/>
    <w:rsid w:val="00174B96"/>
    <w:rsid w:val="00180675"/>
    <w:rsid w:val="001A5821"/>
    <w:rsid w:val="001B0796"/>
    <w:rsid w:val="001B4BE8"/>
    <w:rsid w:val="001D3BC2"/>
    <w:rsid w:val="001F27E9"/>
    <w:rsid w:val="00204901"/>
    <w:rsid w:val="0020506C"/>
    <w:rsid w:val="00212F71"/>
    <w:rsid w:val="002156F2"/>
    <w:rsid w:val="00220EE7"/>
    <w:rsid w:val="00221880"/>
    <w:rsid w:val="00244652"/>
    <w:rsid w:val="0024758D"/>
    <w:rsid w:val="00251547"/>
    <w:rsid w:val="00274886"/>
    <w:rsid w:val="002762A5"/>
    <w:rsid w:val="002B3CDE"/>
    <w:rsid w:val="002B3FBD"/>
    <w:rsid w:val="002C1627"/>
    <w:rsid w:val="002D18D3"/>
    <w:rsid w:val="002D24EA"/>
    <w:rsid w:val="002D296B"/>
    <w:rsid w:val="002D2A2A"/>
    <w:rsid w:val="002E0D29"/>
    <w:rsid w:val="00320D97"/>
    <w:rsid w:val="003235C7"/>
    <w:rsid w:val="00330A1F"/>
    <w:rsid w:val="003656BA"/>
    <w:rsid w:val="00373012"/>
    <w:rsid w:val="003849EF"/>
    <w:rsid w:val="003B439B"/>
    <w:rsid w:val="003B49BA"/>
    <w:rsid w:val="003C20A4"/>
    <w:rsid w:val="003E02F8"/>
    <w:rsid w:val="003E38B5"/>
    <w:rsid w:val="003F08EB"/>
    <w:rsid w:val="004114DC"/>
    <w:rsid w:val="0042227E"/>
    <w:rsid w:val="0043194F"/>
    <w:rsid w:val="00437242"/>
    <w:rsid w:val="00442EA8"/>
    <w:rsid w:val="00455499"/>
    <w:rsid w:val="004649AC"/>
    <w:rsid w:val="004662EF"/>
    <w:rsid w:val="004663B5"/>
    <w:rsid w:val="004767DB"/>
    <w:rsid w:val="00491077"/>
    <w:rsid w:val="004A1928"/>
    <w:rsid w:val="004D4149"/>
    <w:rsid w:val="004D518C"/>
    <w:rsid w:val="004E4109"/>
    <w:rsid w:val="004F1898"/>
    <w:rsid w:val="004F74DA"/>
    <w:rsid w:val="00512E6D"/>
    <w:rsid w:val="00523FEB"/>
    <w:rsid w:val="0053205D"/>
    <w:rsid w:val="0053472E"/>
    <w:rsid w:val="00546B1B"/>
    <w:rsid w:val="0055180E"/>
    <w:rsid w:val="00554E4B"/>
    <w:rsid w:val="00565E3B"/>
    <w:rsid w:val="005868D0"/>
    <w:rsid w:val="00591A78"/>
    <w:rsid w:val="00593833"/>
    <w:rsid w:val="005A6ADE"/>
    <w:rsid w:val="005C4D8F"/>
    <w:rsid w:val="005E4F0A"/>
    <w:rsid w:val="005F6BB1"/>
    <w:rsid w:val="0060117A"/>
    <w:rsid w:val="00614A4A"/>
    <w:rsid w:val="00633941"/>
    <w:rsid w:val="00650C20"/>
    <w:rsid w:val="00652AD1"/>
    <w:rsid w:val="00652F5C"/>
    <w:rsid w:val="0066291B"/>
    <w:rsid w:val="0068574B"/>
    <w:rsid w:val="00691706"/>
    <w:rsid w:val="006A38E2"/>
    <w:rsid w:val="006E1B6F"/>
    <w:rsid w:val="006F1D65"/>
    <w:rsid w:val="007070B6"/>
    <w:rsid w:val="00717372"/>
    <w:rsid w:val="007234AA"/>
    <w:rsid w:val="00734164"/>
    <w:rsid w:val="00745C53"/>
    <w:rsid w:val="0075142C"/>
    <w:rsid w:val="00751C79"/>
    <w:rsid w:val="00753F6D"/>
    <w:rsid w:val="007752BC"/>
    <w:rsid w:val="00780EC2"/>
    <w:rsid w:val="00783662"/>
    <w:rsid w:val="00787BFC"/>
    <w:rsid w:val="007940CD"/>
    <w:rsid w:val="0079546B"/>
    <w:rsid w:val="00796A57"/>
    <w:rsid w:val="007A770C"/>
    <w:rsid w:val="007B4511"/>
    <w:rsid w:val="007B52DF"/>
    <w:rsid w:val="007C72EB"/>
    <w:rsid w:val="007D299A"/>
    <w:rsid w:val="007D6934"/>
    <w:rsid w:val="007F3411"/>
    <w:rsid w:val="0080257B"/>
    <w:rsid w:val="00823211"/>
    <w:rsid w:val="00825D56"/>
    <w:rsid w:val="0085094D"/>
    <w:rsid w:val="0085502C"/>
    <w:rsid w:val="008635AA"/>
    <w:rsid w:val="008848FC"/>
    <w:rsid w:val="008B1AB8"/>
    <w:rsid w:val="008B6750"/>
    <w:rsid w:val="008C6368"/>
    <w:rsid w:val="008D1ACF"/>
    <w:rsid w:val="00907DD4"/>
    <w:rsid w:val="00925C1D"/>
    <w:rsid w:val="0093022A"/>
    <w:rsid w:val="00931DB5"/>
    <w:rsid w:val="009350EE"/>
    <w:rsid w:val="00952EC1"/>
    <w:rsid w:val="00960279"/>
    <w:rsid w:val="00984DA7"/>
    <w:rsid w:val="00985BB2"/>
    <w:rsid w:val="00990866"/>
    <w:rsid w:val="009C1E14"/>
    <w:rsid w:val="009D5469"/>
    <w:rsid w:val="00A03ADD"/>
    <w:rsid w:val="00A125ED"/>
    <w:rsid w:val="00A36561"/>
    <w:rsid w:val="00A45601"/>
    <w:rsid w:val="00A57662"/>
    <w:rsid w:val="00A74E46"/>
    <w:rsid w:val="00A7702E"/>
    <w:rsid w:val="00A80841"/>
    <w:rsid w:val="00A86A16"/>
    <w:rsid w:val="00AA5CA0"/>
    <w:rsid w:val="00AA65D4"/>
    <w:rsid w:val="00AD4F2B"/>
    <w:rsid w:val="00AE7BE4"/>
    <w:rsid w:val="00AF7AAB"/>
    <w:rsid w:val="00B22D10"/>
    <w:rsid w:val="00B25956"/>
    <w:rsid w:val="00B31322"/>
    <w:rsid w:val="00B33FC3"/>
    <w:rsid w:val="00B35B4D"/>
    <w:rsid w:val="00B36C62"/>
    <w:rsid w:val="00B602B7"/>
    <w:rsid w:val="00B7261B"/>
    <w:rsid w:val="00B80B77"/>
    <w:rsid w:val="00BB6490"/>
    <w:rsid w:val="00BC51B5"/>
    <w:rsid w:val="00BC6D95"/>
    <w:rsid w:val="00BD6DE2"/>
    <w:rsid w:val="00BD6FDE"/>
    <w:rsid w:val="00BE1CFB"/>
    <w:rsid w:val="00BE5A10"/>
    <w:rsid w:val="00C10F77"/>
    <w:rsid w:val="00C16D63"/>
    <w:rsid w:val="00C44334"/>
    <w:rsid w:val="00C65EC2"/>
    <w:rsid w:val="00C768CF"/>
    <w:rsid w:val="00C8150A"/>
    <w:rsid w:val="00C94B6D"/>
    <w:rsid w:val="00CB61B3"/>
    <w:rsid w:val="00CC31AB"/>
    <w:rsid w:val="00CC3628"/>
    <w:rsid w:val="00CC6718"/>
    <w:rsid w:val="00CD6A3D"/>
    <w:rsid w:val="00CE189C"/>
    <w:rsid w:val="00D074D7"/>
    <w:rsid w:val="00D10EEE"/>
    <w:rsid w:val="00D21DE2"/>
    <w:rsid w:val="00D23348"/>
    <w:rsid w:val="00D30AFC"/>
    <w:rsid w:val="00D46CF9"/>
    <w:rsid w:val="00D632C8"/>
    <w:rsid w:val="00D639C4"/>
    <w:rsid w:val="00D72AD7"/>
    <w:rsid w:val="00D73B5E"/>
    <w:rsid w:val="00D769A0"/>
    <w:rsid w:val="00D83933"/>
    <w:rsid w:val="00DB2382"/>
    <w:rsid w:val="00DE2A07"/>
    <w:rsid w:val="00DF64AE"/>
    <w:rsid w:val="00E4236C"/>
    <w:rsid w:val="00E5215B"/>
    <w:rsid w:val="00E64F38"/>
    <w:rsid w:val="00E705F7"/>
    <w:rsid w:val="00E83749"/>
    <w:rsid w:val="00EA3A23"/>
    <w:rsid w:val="00EB5E62"/>
    <w:rsid w:val="00ED54CB"/>
    <w:rsid w:val="00F02C4A"/>
    <w:rsid w:val="00F07263"/>
    <w:rsid w:val="00F076FA"/>
    <w:rsid w:val="00F303C9"/>
    <w:rsid w:val="00F4442A"/>
    <w:rsid w:val="00F5342A"/>
    <w:rsid w:val="00F56170"/>
    <w:rsid w:val="00F81C3C"/>
    <w:rsid w:val="00F832EE"/>
    <w:rsid w:val="00F93B6B"/>
    <w:rsid w:val="00FA5A2A"/>
    <w:rsid w:val="00FB301D"/>
    <w:rsid w:val="00FB7D57"/>
    <w:rsid w:val="00FC0083"/>
    <w:rsid w:val="00FC1F08"/>
    <w:rsid w:val="00FC2E48"/>
    <w:rsid w:val="00FC6091"/>
  </w:rsids>
  <m:mathPr>
    <m:mathFont m:val="Cambria Math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FD68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paragraph" w:styleId="Heading1">
    <w:name w:val="heading 1"/>
    <w:basedOn w:val="BodyText"/>
    <w:link w:val="Titre1Car"/>
    <w:autoRedefine/>
    <w:uiPriority w:val="9"/>
    <w:qFormat/>
    <w:rsid w:val="004A1928"/>
    <w:pPr>
      <w:keepNext/>
      <w:keepLines/>
      <w:pageBreakBefore/>
      <w:framePr w:w="10433" w:wrap="around" w:vAnchor="page" w:hAnchor="text" w:yAlign="center"/>
      <w:pBdr>
        <w:bottom w:val="single" w:sz="12" w:space="1" w:color="39659F"/>
      </w:pBdr>
      <w:spacing w:after="0"/>
      <w:outlineLvl w:val="0"/>
    </w:pPr>
    <w:rPr>
      <w:rFonts w:eastAsiaTheme="majorEastAsia" w:cstheme="majorBidi"/>
      <w:caps/>
      <w:color w:val="39659F"/>
      <w:spacing w:val="60"/>
      <w:sz w:val="60"/>
      <w:szCs w:val="32"/>
    </w:rPr>
  </w:style>
  <w:style w:type="paragraph" w:styleId="Heading2">
    <w:name w:val="heading 2"/>
    <w:basedOn w:val="BodyText"/>
    <w:next w:val="BodyText"/>
    <w:link w:val="Titre2Car"/>
    <w:uiPriority w:val="9"/>
    <w:unhideWhenUsed/>
    <w:qFormat/>
    <w:rsid w:val="004A1928"/>
    <w:pPr>
      <w:keepNext/>
      <w:keepLines/>
      <w:pageBreakBefore/>
      <w:spacing w:after="240"/>
      <w:outlineLvl w:val="1"/>
    </w:pPr>
    <w:rPr>
      <w:rFonts w:eastAsiaTheme="majorEastAsia" w:cstheme="majorBidi"/>
      <w:caps/>
      <w:color w:val="39659F"/>
      <w:sz w:val="40"/>
      <w:szCs w:val="26"/>
    </w:rPr>
  </w:style>
  <w:style w:type="paragraph" w:styleId="Heading3">
    <w:name w:val="heading 3"/>
    <w:basedOn w:val="BodyText"/>
    <w:next w:val="BodyText"/>
    <w:link w:val="Titre3Car"/>
    <w:uiPriority w:val="9"/>
    <w:unhideWhenUsed/>
    <w:qFormat/>
    <w:rsid w:val="00565E3B"/>
    <w:pPr>
      <w:keepNext/>
      <w:keepLines/>
      <w:pBdr>
        <w:bottom w:val="dotted" w:sz="4" w:space="1" w:color="39659F"/>
      </w:pBdr>
      <w:spacing w:before="480" w:after="240" w:line="320" w:lineRule="exact"/>
      <w:outlineLvl w:val="2"/>
    </w:pPr>
    <w:rPr>
      <w:rFonts w:eastAsiaTheme="majorEastAsia" w:cstheme="majorBidi"/>
      <w:color w:val="39659F"/>
      <w:sz w:val="28"/>
      <w:szCs w:val="30"/>
    </w:rPr>
  </w:style>
  <w:style w:type="paragraph" w:styleId="Heading4">
    <w:name w:val="heading 4"/>
    <w:basedOn w:val="BodyText"/>
    <w:next w:val="BodyText"/>
    <w:link w:val="Titre4Car"/>
    <w:uiPriority w:val="9"/>
    <w:unhideWhenUsed/>
    <w:qFormat/>
    <w:rsid w:val="00251547"/>
    <w:pPr>
      <w:keepNext/>
      <w:keepLines/>
      <w:spacing w:before="240" w:after="240"/>
      <w:outlineLvl w:val="3"/>
    </w:pPr>
    <w:rPr>
      <w:rFonts w:eastAsiaTheme="majorEastAsia" w:cstheme="majorBidi"/>
      <w:b/>
      <w:iCs/>
      <w:szCs w:val="28"/>
    </w:rPr>
  </w:style>
  <w:style w:type="paragraph" w:styleId="Heading5">
    <w:name w:val="heading 5"/>
    <w:basedOn w:val="BodyText"/>
    <w:next w:val="BodyText"/>
    <w:link w:val="Titre5Car"/>
    <w:uiPriority w:val="9"/>
    <w:unhideWhenUsed/>
    <w:qFormat/>
    <w:rsid w:val="00E83749"/>
    <w:pPr>
      <w:keepNext/>
      <w:keepLines/>
      <w:spacing w:before="120" w:after="120"/>
      <w:outlineLvl w:val="4"/>
    </w:pPr>
    <w:rPr>
      <w:rFonts w:eastAsiaTheme="majorEastAsia" w:cstheme="majorBidi"/>
      <w:color w:val="39659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CorpsdetexteCar"/>
    <w:uiPriority w:val="99"/>
    <w:rsid w:val="0024758D"/>
    <w:pPr>
      <w:pBdr>
        <w:top w:val="nil"/>
        <w:left w:val="nil"/>
        <w:bottom w:val="nil"/>
        <w:right w:val="nil"/>
        <w:between w:val="nil"/>
      </w:pBdr>
      <w:autoSpaceDE w:val="0"/>
      <w:autoSpaceDN w:val="0"/>
      <w:adjustRightInd w:val="0"/>
      <w:spacing w:after="160" w:line="259" w:lineRule="auto"/>
    </w:pPr>
    <w:rPr>
      <w:rFonts w:eastAsia="Arial" w:cs="Arial"/>
      <w:lang w:eastAsia="fr-FR"/>
    </w:rPr>
  </w:style>
  <w:style w:type="paragraph" w:customStyle="1" w:styleId="Listepuce2">
    <w:name w:val="Liste à puce 2"/>
    <w:basedOn w:val="Listepuce"/>
    <w:uiPriority w:val="1"/>
    <w:rsid w:val="00251547"/>
    <w:pPr>
      <w:numPr>
        <w:numId w:val="27"/>
      </w:numPr>
    </w:pPr>
    <w:rPr>
      <w:szCs w:val="24"/>
    </w:rPr>
  </w:style>
  <w:style w:type="paragraph" w:customStyle="1" w:styleId="Listepuce">
    <w:name w:val="Liste à puce"/>
    <w:basedOn w:val="BodyText"/>
    <w:qFormat/>
    <w:rsid w:val="00E83749"/>
    <w:pPr>
      <w:numPr>
        <w:numId w:val="26"/>
      </w:numPr>
      <w:spacing w:before="20" w:after="20"/>
      <w:contextualSpacing/>
    </w:pPr>
  </w:style>
  <w:style w:type="paragraph" w:customStyle="1" w:styleId="Titre2bis">
    <w:name w:val="Titre 2 bis"/>
    <w:basedOn w:val="Heading2"/>
    <w:next w:val="BodyText"/>
    <w:rsid w:val="00787BFC"/>
    <w:pPr>
      <w:outlineLvl w:val="9"/>
    </w:pPr>
  </w:style>
  <w:style w:type="paragraph" w:styleId="TOC1">
    <w:name w:val="toc 1"/>
    <w:basedOn w:val="BodyText"/>
    <w:uiPriority w:val="39"/>
    <w:unhideWhenUsed/>
    <w:rsid w:val="00E83749"/>
    <w:pPr>
      <w:spacing w:before="240" w:after="100"/>
    </w:pPr>
    <w:rPr>
      <w:caps/>
      <w:color w:val="39659F"/>
      <w:sz w:val="24"/>
    </w:rPr>
  </w:style>
  <w:style w:type="paragraph" w:styleId="TOC2">
    <w:name w:val="toc 2"/>
    <w:basedOn w:val="BodyText"/>
    <w:next w:val="BodyText"/>
    <w:uiPriority w:val="39"/>
    <w:unhideWhenUsed/>
    <w:rsid w:val="004649AC"/>
    <w:pPr>
      <w:spacing w:after="100"/>
    </w:pPr>
  </w:style>
  <w:style w:type="paragraph" w:customStyle="1" w:styleId="Important">
    <w:name w:val="Important"/>
    <w:basedOn w:val="BodyText"/>
    <w:next w:val="BodyText"/>
    <w:qFormat/>
    <w:rsid w:val="00565E3B"/>
    <w:pPr>
      <w:pBdr>
        <w:top w:val="none" w:sz="0" w:space="0" w:color="auto"/>
        <w:left w:val="single" w:sz="12" w:space="4" w:color="39659F"/>
        <w:bottom w:val="none" w:sz="0" w:space="0" w:color="auto"/>
        <w:right w:val="none" w:sz="0" w:space="0" w:color="auto"/>
        <w:between w:val="none" w:sz="0" w:space="0" w:color="auto"/>
      </w:pBdr>
      <w:shd w:val="clear" w:color="AFABB7" w:fill="auto"/>
      <w:spacing w:before="360" w:after="240"/>
      <w:ind w:left="284"/>
    </w:pPr>
    <w:rPr>
      <w:color w:val="39659F"/>
    </w:rPr>
  </w:style>
  <w:style w:type="paragraph" w:customStyle="1" w:styleId="Bulleinfo">
    <w:name w:val="Bulle info"/>
    <w:basedOn w:val="Listepuce"/>
    <w:rsid w:val="00E83749"/>
    <w:pPr>
      <w:numPr>
        <w:numId w:val="25"/>
      </w:num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  <w:between w:val="none" w:sz="0" w:space="0" w:color="auto"/>
      </w:pBdr>
      <w:shd w:val="clear" w:color="auto" w:fill="F2F2F2" w:themeFill="background1" w:themeFillShade="F2"/>
      <w:spacing w:before="0" w:after="160"/>
    </w:pPr>
    <w:rPr>
      <w:sz w:val="20"/>
    </w:rPr>
  </w:style>
  <w:style w:type="paragraph" w:customStyle="1" w:styleId="Legende">
    <w:name w:val="Legende"/>
    <w:basedOn w:val="Normal"/>
    <w:qFormat/>
    <w:rsid w:val="004E4109"/>
    <w:pPr>
      <w:spacing w:before="120" w:after="120"/>
      <w:contextualSpacing/>
    </w:pPr>
    <w:rPr>
      <w:i/>
      <w:sz w:val="16"/>
    </w:rPr>
  </w:style>
  <w:style w:type="paragraph" w:customStyle="1" w:styleId="Listepuce3">
    <w:name w:val="Liste à puce 3"/>
    <w:basedOn w:val="Listepuce"/>
    <w:rsid w:val="00251547"/>
    <w:pPr>
      <w:numPr>
        <w:numId w:val="28"/>
      </w:numPr>
    </w:pPr>
    <w:rPr>
      <w:szCs w:val="24"/>
    </w:rPr>
  </w:style>
  <w:style w:type="paragraph" w:styleId="ListContinue">
    <w:name w:val="List Continue"/>
    <w:basedOn w:val="BodyText"/>
    <w:rsid w:val="007C72EB"/>
    <w:pPr>
      <w:spacing w:before="20" w:after="20"/>
      <w:ind w:left="284"/>
      <w:contextualSpacing/>
    </w:pPr>
    <w:rPr>
      <w:szCs w:val="24"/>
    </w:rPr>
  </w:style>
  <w:style w:type="paragraph" w:customStyle="1" w:styleId="Cellule2defaut">
    <w:name w:val="Cellule 2 defaut"/>
    <w:basedOn w:val="Celluledefaut"/>
    <w:link w:val="Cellule2defautCar"/>
    <w:rsid w:val="00593833"/>
    <w:rPr>
      <w:sz w:val="16"/>
      <w:szCs w:val="22"/>
    </w:rPr>
  </w:style>
  <w:style w:type="paragraph" w:styleId="ListContinue2">
    <w:name w:val="List Continue 2"/>
    <w:basedOn w:val="ListContinue"/>
    <w:rsid w:val="007C72EB"/>
    <w:pPr>
      <w:ind w:left="567"/>
    </w:pPr>
  </w:style>
  <w:style w:type="paragraph" w:styleId="ListContinue3">
    <w:name w:val="List Continue 3"/>
    <w:basedOn w:val="ListContinue"/>
    <w:rsid w:val="007C72EB"/>
    <w:pPr>
      <w:ind w:left="851"/>
    </w:pPr>
  </w:style>
  <w:style w:type="paragraph" w:customStyle="1" w:styleId="Celluleentete">
    <w:name w:val="Cellule entete"/>
    <w:basedOn w:val="Celluledefaut"/>
    <w:qFormat/>
    <w:rsid w:val="00251547"/>
    <w:pPr>
      <w:spacing w:before="20"/>
    </w:pPr>
    <w:rPr>
      <w:rFonts w:eastAsiaTheme="majorEastAsia"/>
      <w:b/>
    </w:rPr>
  </w:style>
  <w:style w:type="paragraph" w:customStyle="1" w:styleId="Celluletotal">
    <w:name w:val="Cellule total"/>
    <w:basedOn w:val="Celluledefaut"/>
    <w:qFormat/>
    <w:rsid w:val="00EB5E62"/>
    <w:pPr>
      <w:spacing w:before="20"/>
    </w:pPr>
    <w:rPr>
      <w:b/>
    </w:rPr>
  </w:style>
  <w:style w:type="paragraph" w:customStyle="1" w:styleId="Celluleniveau1">
    <w:name w:val="Cellule niveau 1"/>
    <w:basedOn w:val="Celluledefaut"/>
    <w:qFormat/>
    <w:rsid w:val="00EB5E62"/>
    <w:pPr>
      <w:ind w:left="284"/>
    </w:pPr>
    <w:rPr>
      <w:rFonts w:eastAsiaTheme="majorEastAsia"/>
      <w:color w:val="777777"/>
    </w:rPr>
  </w:style>
  <w:style w:type="paragraph" w:customStyle="1" w:styleId="Celluleniveau2">
    <w:name w:val="Cellule niveau 2"/>
    <w:basedOn w:val="Celluledefaut"/>
    <w:qFormat/>
    <w:rsid w:val="002762A5"/>
    <w:pPr>
      <w:ind w:left="567" w:right="0"/>
    </w:pPr>
    <w:rPr>
      <w:color w:val="777777"/>
      <w:szCs w:val="18"/>
    </w:rPr>
  </w:style>
  <w:style w:type="paragraph" w:customStyle="1" w:styleId="Celluledefaut">
    <w:name w:val="Cellule defaut"/>
    <w:basedOn w:val="BodyText"/>
    <w:link w:val="CelluledefautCarCar"/>
    <w:qFormat/>
    <w:rsid w:val="00F02C4A"/>
    <w:pPr>
      <w:spacing w:before="60" w:after="20"/>
      <w:ind w:left="28" w:right="28"/>
    </w:pPr>
    <w:rPr>
      <w:rFonts w:eastAsia="Times New Roman"/>
      <w:sz w:val="20"/>
      <w:szCs w:val="20"/>
    </w:rPr>
  </w:style>
  <w:style w:type="table" w:styleId="TableGrid">
    <w:name w:val="Table Grid"/>
    <w:basedOn w:val="TableNormal"/>
    <w:uiPriority w:val="99"/>
    <w:rsid w:val="00F53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s-titre2">
    <w:name w:val="Sous-titre 2"/>
    <w:basedOn w:val="BodyText"/>
    <w:rsid w:val="00FC2E48"/>
    <w:pPr>
      <w:spacing w:after="480"/>
      <w:jc w:val="right"/>
    </w:pPr>
    <w:rPr>
      <w:rFonts w:eastAsia="Times New Roman"/>
      <w:sz w:val="28"/>
    </w:rPr>
  </w:style>
  <w:style w:type="paragraph" w:customStyle="1" w:styleId="Cellule2entete">
    <w:name w:val="Cellule 2 entete"/>
    <w:basedOn w:val="Cellule2defaut"/>
    <w:rsid w:val="00EB5E62"/>
    <w:rPr>
      <w:b/>
    </w:rPr>
  </w:style>
  <w:style w:type="paragraph" w:customStyle="1" w:styleId="Cellule2niveau1">
    <w:name w:val="Cellule 2 niveau 1"/>
    <w:basedOn w:val="Cellule2defaut"/>
    <w:rsid w:val="000169B4"/>
    <w:pPr>
      <w:ind w:left="284"/>
    </w:pPr>
  </w:style>
  <w:style w:type="paragraph" w:customStyle="1" w:styleId="Cellule2niveau2">
    <w:name w:val="Cellule 2 niveau 2"/>
    <w:basedOn w:val="Cellule2defaut"/>
    <w:rsid w:val="000169B4"/>
    <w:pPr>
      <w:ind w:left="567"/>
    </w:pPr>
  </w:style>
  <w:style w:type="paragraph" w:customStyle="1" w:styleId="Cellule2total">
    <w:name w:val="Cellule 2 total"/>
    <w:basedOn w:val="Cellule2defaut"/>
    <w:link w:val="Cellule2totalCar"/>
    <w:rsid w:val="00EB5E62"/>
    <w:rPr>
      <w:b/>
    </w:rPr>
  </w:style>
  <w:style w:type="character" w:customStyle="1" w:styleId="Cellule2defautCar">
    <w:name w:val="Cellule 2 defaut Car"/>
    <w:link w:val="Cellule2defaut"/>
    <w:rsid w:val="00593833"/>
    <w:rPr>
      <w:rFonts w:ascii="Century Gothic" w:hAnsi="Century Gothic"/>
      <w:sz w:val="16"/>
      <w:szCs w:val="22"/>
      <w:lang w:val="fr-FR" w:eastAsia="fr-FR" w:bidi="ar-SA"/>
    </w:rPr>
  </w:style>
  <w:style w:type="character" w:customStyle="1" w:styleId="Cellule2totalCar">
    <w:name w:val="Cellule 2 total Car"/>
    <w:link w:val="Cellule2total"/>
    <w:rsid w:val="00EB5E62"/>
    <w:rPr>
      <w:rFonts w:ascii="Source Sans Pro" w:eastAsia="Times New Roman" w:hAnsi="Source Sans Pro"/>
      <w:b/>
      <w:color w:val="5F5F5F"/>
      <w:sz w:val="16"/>
      <w:szCs w:val="22"/>
    </w:rPr>
  </w:style>
  <w:style w:type="table" w:customStyle="1" w:styleId="Tableauhvs">
    <w:name w:val="Tableau hvs"/>
    <w:basedOn w:val="TableNormal"/>
    <w:uiPriority w:val="99"/>
    <w:rsid w:val="0093022A"/>
    <w:rPr>
      <w:rFonts w:eastAsiaTheme="minorHAnsi" w:cstheme="minorBidi"/>
      <w:szCs w:val="22"/>
      <w:lang w:eastAsia="en-US"/>
    </w:rPr>
    <w:tblPr>
      <w:tblStyleRowBandSize w:val="1"/>
      <w:tblStyleColBandSize w:val="1"/>
    </w:tblPr>
    <w:tblStylePr w:type="firstRow">
      <w:rPr>
        <w:rFonts w:ascii="Arial" w:hAnsi="Arial"/>
        <w:sz w:val="20"/>
      </w:rPr>
      <w:tblPr/>
      <w:tcPr>
        <w:tcBorders>
          <w:top w:val="nil"/>
          <w:bottom w:val="single" w:sz="4" w:space="0" w:color="39659F"/>
        </w:tcBorders>
      </w:tcPr>
    </w:tblStylePr>
    <w:tblStylePr w:type="lastRow">
      <w:rPr>
        <w:rFonts w:ascii="Arial" w:hAnsi="Arial"/>
        <w:sz w:val="20"/>
      </w:rPr>
      <w:tblPr/>
      <w:tcPr>
        <w:tcBorders>
          <w:top w:val="single" w:sz="12" w:space="0" w:color="39659F"/>
          <w:left w:val="nil"/>
          <w:bottom w:val="single" w:sz="4" w:space="0" w:color="39659F"/>
          <w:right w:val="nil"/>
          <w:insideH w:val="nil"/>
          <w:insideV w:val="nil"/>
        </w:tcBorders>
      </w:tcPr>
    </w:tblStylePr>
  </w:style>
  <w:style w:type="paragraph" w:customStyle="1" w:styleId="TitreCouverture">
    <w:name w:val="TitreCouverture"/>
    <w:basedOn w:val="BodyText"/>
    <w:qFormat/>
    <w:rsid w:val="009350EE"/>
    <w:rPr>
      <w:b/>
      <w:sz w:val="96"/>
      <w:szCs w:val="120"/>
    </w:rPr>
  </w:style>
  <w:style w:type="character" w:customStyle="1" w:styleId="CorpsdetexteCar">
    <w:name w:val="Corps de texte Car"/>
    <w:link w:val="BodyText"/>
    <w:uiPriority w:val="99"/>
    <w:rsid w:val="0024758D"/>
    <w:rPr>
      <w:color w:val="5F5F5F"/>
      <w:sz w:val="22"/>
      <w:szCs w:val="22"/>
    </w:rPr>
  </w:style>
  <w:style w:type="character" w:customStyle="1" w:styleId="CelluledefautCarCar">
    <w:name w:val="Cellule defaut Car Car"/>
    <w:link w:val="Celluledefaut"/>
    <w:rsid w:val="00F02C4A"/>
    <w:rPr>
      <w:rFonts w:ascii="Source Sans Pro" w:eastAsia="Times New Roman" w:hAnsi="Source Sans Pro"/>
      <w:color w:val="5F5F5F"/>
    </w:rPr>
  </w:style>
  <w:style w:type="character" w:customStyle="1" w:styleId="Titre1Car">
    <w:name w:val="Titre 1 Car"/>
    <w:basedOn w:val="DefaultParagraphFont"/>
    <w:link w:val="Heading1"/>
    <w:uiPriority w:val="9"/>
    <w:rsid w:val="004A1928"/>
    <w:rPr>
      <w:rFonts w:ascii="Franklin Gothic Book" w:hAnsi="Franklin Gothic Book" w:eastAsiaTheme="majorEastAsia" w:cstheme="majorBidi"/>
      <w:caps/>
      <w:color w:val="39659F"/>
      <w:spacing w:val="60"/>
      <w:sz w:val="60"/>
      <w:szCs w:val="32"/>
    </w:rPr>
  </w:style>
  <w:style w:type="character" w:customStyle="1" w:styleId="Titre2Car">
    <w:name w:val="Titre 2 Car"/>
    <w:basedOn w:val="DefaultParagraphFont"/>
    <w:link w:val="Heading2"/>
    <w:uiPriority w:val="9"/>
    <w:rsid w:val="004A1928"/>
    <w:rPr>
      <w:rFonts w:ascii="Franklin Gothic Book" w:hAnsi="Franklin Gothic Book" w:eastAsiaTheme="majorEastAsia" w:cstheme="majorBidi"/>
      <w:caps/>
      <w:color w:val="39659F"/>
      <w:sz w:val="40"/>
      <w:szCs w:val="26"/>
    </w:rPr>
  </w:style>
  <w:style w:type="character" w:customStyle="1" w:styleId="Titre3Car">
    <w:name w:val="Titre 3 Car"/>
    <w:basedOn w:val="DefaultParagraphFont"/>
    <w:link w:val="Heading3"/>
    <w:uiPriority w:val="9"/>
    <w:rsid w:val="00565E3B"/>
    <w:rPr>
      <w:rFonts w:eastAsiaTheme="majorEastAsia" w:cstheme="majorBidi"/>
      <w:color w:val="39659F"/>
      <w:sz w:val="28"/>
      <w:szCs w:val="30"/>
    </w:rPr>
  </w:style>
  <w:style w:type="character" w:customStyle="1" w:styleId="Titre4Car">
    <w:name w:val="Titre 4 Car"/>
    <w:basedOn w:val="DefaultParagraphFont"/>
    <w:link w:val="Heading4"/>
    <w:uiPriority w:val="9"/>
    <w:rsid w:val="00CC3628"/>
    <w:rPr>
      <w:rFonts w:eastAsiaTheme="majorEastAsia" w:cstheme="majorBidi"/>
      <w:b/>
      <w:iCs/>
      <w:color w:val="5F5F5F"/>
      <w:sz w:val="22"/>
      <w:szCs w:val="28"/>
    </w:rPr>
  </w:style>
  <w:style w:type="character" w:customStyle="1" w:styleId="Titre5Car">
    <w:name w:val="Titre 5 Car"/>
    <w:basedOn w:val="DefaultParagraphFont"/>
    <w:link w:val="Heading5"/>
    <w:uiPriority w:val="9"/>
    <w:rsid w:val="00E83749"/>
    <w:rPr>
      <w:rFonts w:eastAsiaTheme="majorEastAsia" w:cstheme="majorBidi"/>
      <w:color w:val="39659F"/>
      <w:sz w:val="22"/>
      <w:szCs w:val="22"/>
    </w:rPr>
  </w:style>
  <w:style w:type="character" w:styleId="Strong">
    <w:name w:val="Strong"/>
    <w:basedOn w:val="DefaultParagraphFont"/>
    <w:uiPriority w:val="99"/>
    <w:qFormat/>
    <w:rsid w:val="000D575D"/>
    <w:rPr>
      <w:rFonts w:eastAsiaTheme="majorEastAsia"/>
      <w:b/>
      <w:color w:val="5F5F5F"/>
    </w:rPr>
  </w:style>
  <w:style w:type="paragraph" w:styleId="BodyTextFirstIndent">
    <w:name w:val="Body Text First Indent"/>
    <w:basedOn w:val="BodyText"/>
    <w:link w:val="Retrait1religneCar"/>
    <w:uiPriority w:val="99"/>
    <w:semiHidden/>
    <w:unhideWhenUsed/>
    <w:rsid w:val="00FC2E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/>
      <w:autoSpaceDN/>
      <w:adjustRightInd/>
      <w:ind w:firstLine="360"/>
    </w:pPr>
    <w:rPr>
      <w:rFonts w:eastAsiaTheme="minorHAnsi" w:cstheme="minorBidi"/>
      <w:lang w:eastAsia="en-US"/>
    </w:rPr>
  </w:style>
  <w:style w:type="character" w:customStyle="1" w:styleId="Retrait1religneCar">
    <w:name w:val="Retrait 1re ligne Car"/>
    <w:basedOn w:val="CorpsdetexteCar"/>
    <w:link w:val="BodyTextFirstIndent"/>
    <w:uiPriority w:val="99"/>
    <w:semiHidden/>
    <w:rsid w:val="00FC2E48"/>
    <w:rPr>
      <w:rFonts w:eastAsiaTheme="minorHAnsi" w:cstheme="minorBidi"/>
      <w:color w:val="5F5F5F"/>
      <w:sz w:val="22"/>
      <w:szCs w:val="22"/>
      <w:lang w:eastAsia="en-US"/>
    </w:rPr>
  </w:style>
  <w:style w:type="paragraph" w:styleId="Header">
    <w:name w:val="header"/>
    <w:basedOn w:val="Normal"/>
    <w:link w:val="En-tt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paragraph" w:styleId="Footer">
    <w:name w:val="footer"/>
    <w:basedOn w:val="Normal"/>
    <w:link w:val="Pieddepag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character" w:styleId="BookTitle">
    <w:name w:val="Book Title"/>
    <w:basedOn w:val="DefaultParagraphFont"/>
    <w:uiPriority w:val="33"/>
    <w:qFormat/>
    <w:rsid w:val="00E705F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705F7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E705F7"/>
    <w:rPr>
      <w:i/>
      <w:iCs/>
      <w:color w:val="404040" w:themeColor="text1" w:themeTint="BF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5B9BD5" w:themeColor="accent1"/>
      </w:pBdr>
      <w:spacing w:after="300" w:line="240" w:lineRule="auto"/>
      <w:contextualSpacing/>
      <w:outlineLvl w:val="9"/>
    </w:pPr>
    <w:rPr>
      <w:rFonts w:ascii="Cambria" w:eastAsia="Times New Roman" w:hAnsi="Cambria" w:cs="Times New Roman"/>
      <w:color w:val="17365D" w:themeShade="BF"/>
      <w:spacing w:val="5"/>
      <w:kern w:val="28"/>
      <w:sz w:val="52"/>
      <w:szCs w:val="52"/>
    </w:rPr>
  </w:style>
  <w:style w:type="paragraph" w:customStyle="1" w:styleId="h2title">
    <w:name w:val="h2_title"/>
    <w:basedOn w:val="Heading2"/>
    <w:pPr>
      <w:pageBreakBefore w:val="0"/>
      <w:spacing w:line="570" w:lineRule="atLeast"/>
      <w:jc w:val="center"/>
    </w:pPr>
    <w:rPr>
      <w:b/>
      <w:bCs/>
      <w:caps w:val="0"/>
      <w:color w:val="202020"/>
      <w:sz w:val="48"/>
      <w:szCs w:val="48"/>
    </w:rPr>
  </w:style>
  <w:style w:type="paragraph" w:customStyle="1" w:styleId="updated-at">
    <w:name w:val="updated-at"/>
    <w:basedOn w:val="Normal"/>
    <w:pPr>
      <w:spacing w:line="360" w:lineRule="atLeast"/>
    </w:pPr>
    <w:rPr>
      <w:sz w:val="27"/>
      <w:szCs w:val="27"/>
    </w:rPr>
  </w:style>
  <w:style w:type="paragraph" w:customStyle="1" w:styleId="content">
    <w:name w:val="content"/>
    <w:basedOn w:val="Normal"/>
  </w:style>
  <w:style w:type="paragraph" w:customStyle="1" w:styleId="p">
    <w:name w:val="p"/>
    <w:basedOn w:val="Normal"/>
    <w:rPr>
      <w:color w:val="646464"/>
    </w:rPr>
  </w:style>
  <w:style w:type="paragraph" w:customStyle="1" w:styleId="fd-document-box-black">
    <w:name w:val="fd-document-box-black"/>
    <w:basedOn w:val="Normal"/>
    <w:pPr>
      <w:pBdr>
        <w:top w:val="single" w:sz="6" w:space="0" w:color="D6D6D6"/>
        <w:left w:val="single" w:sz="24" w:space="0" w:color="202020"/>
        <w:bottom w:val="single" w:sz="6" w:space="0" w:color="D6D6D6"/>
        <w:right w:val="single" w:sz="6" w:space="0" w:color="D6D6D6"/>
      </w:pBdr>
      <w:shd w:val="clear" w:color="auto" w:fill="F5F5F5"/>
      <w:spacing w:line="300" w:lineRule="atLeast"/>
    </w:pPr>
    <w:rPr>
      <w:sz w:val="21"/>
      <w:szCs w:val="21"/>
      <w:bdr w:val="single" w:sz="6" w:space="0" w:color="D6D6D6"/>
      <w:shd w:val="clear" w:color="auto" w:fill="F5F5F5"/>
    </w:rPr>
  </w:style>
  <w:style w:type="paragraph" w:customStyle="1" w:styleId="fd-document-box-blackfd-document-box-title">
    <w:name w:val="fd-document-box-black_fd-document-box-title"/>
    <w:basedOn w:val="Normal"/>
    <w:pPr>
      <w:pBdr>
        <w:top w:val="none" w:sz="0" w:space="12" w:color="auto"/>
        <w:left w:val="none" w:sz="0" w:space="24" w:color="auto"/>
        <w:bottom w:val="none" w:sz="0" w:space="0" w:color="auto"/>
        <w:right w:val="none" w:sz="0" w:space="24" w:color="auto"/>
      </w:pBdr>
    </w:pPr>
    <w:rPr>
      <w:color w:val="202020"/>
    </w:rPr>
  </w:style>
  <w:style w:type="paragraph" w:customStyle="1" w:styleId="fd-document-box-blackfd-document-box-descriptionany">
    <w:name w:val="fd-document-box-black_fd-document-box-description &gt; any"/>
    <w:basedOn w:val="Normal"/>
    <w:pPr>
      <w:pBdr>
        <w:top w:val="none" w:sz="0" w:space="0" w:color="auto"/>
        <w:left w:val="none" w:sz="0" w:space="24" w:color="auto"/>
        <w:bottom w:val="none" w:sz="0" w:space="0" w:color="auto"/>
        <w:right w:val="none" w:sz="0" w:space="24" w:color="auto"/>
      </w:pBdr>
    </w:pPr>
  </w:style>
  <w:style w:type="paragraph" w:customStyle="1" w:styleId="fd-document-box-blackfd-document-box-descriptionpnth-last-child1">
    <w:name w:val="fd-document-box-black_fd-document-box-description_p_nth-last-child(1)"/>
    <w:basedOn w:val="Normal"/>
    <w:pPr>
      <w:pBdr>
        <w:bottom w:val="none" w:sz="0" w:space="12" w:color="auto"/>
      </w:pBdr>
    </w:pPr>
  </w:style>
  <w:style w:type="paragraph" w:customStyle="1" w:styleId="fd-document-box-blue">
    <w:name w:val="fd-document-box-blue"/>
    <w:basedOn w:val="Normal"/>
    <w:pPr>
      <w:pBdr>
        <w:top w:val="single" w:sz="6" w:space="0" w:color="D6D6D6"/>
        <w:left w:val="single" w:sz="24" w:space="0" w:color="4623EB"/>
        <w:bottom w:val="single" w:sz="6" w:space="0" w:color="D6D6D6"/>
        <w:right w:val="single" w:sz="6" w:space="0" w:color="D6D6D6"/>
      </w:pBdr>
      <w:shd w:val="clear" w:color="auto" w:fill="F5F5F5"/>
      <w:spacing w:line="300" w:lineRule="atLeast"/>
    </w:pPr>
    <w:rPr>
      <w:sz w:val="21"/>
      <w:szCs w:val="21"/>
      <w:bdr w:val="single" w:sz="6" w:space="0" w:color="D6D6D6"/>
      <w:shd w:val="clear" w:color="auto" w:fill="F5F5F5"/>
    </w:rPr>
  </w:style>
  <w:style w:type="paragraph" w:customStyle="1" w:styleId="fd-document-box-bluefd-document-box-title">
    <w:name w:val="fd-document-box-blue_fd-document-box-title"/>
    <w:basedOn w:val="Normal"/>
    <w:pPr>
      <w:pBdr>
        <w:top w:val="none" w:sz="0" w:space="12" w:color="auto"/>
        <w:left w:val="none" w:sz="0" w:space="24" w:color="auto"/>
        <w:bottom w:val="none" w:sz="0" w:space="0" w:color="auto"/>
        <w:right w:val="none" w:sz="0" w:space="24" w:color="auto"/>
      </w:pBdr>
    </w:pPr>
    <w:rPr>
      <w:color w:val="4623EB"/>
    </w:rPr>
  </w:style>
  <w:style w:type="paragraph" w:customStyle="1" w:styleId="fd-document-box-bluefd-document-box-descriptionany">
    <w:name w:val="fd-document-box-blue_fd-document-box-description &gt; any"/>
    <w:basedOn w:val="Normal"/>
    <w:pPr>
      <w:pBdr>
        <w:top w:val="none" w:sz="0" w:space="0" w:color="auto"/>
        <w:left w:val="none" w:sz="0" w:space="24" w:color="auto"/>
        <w:bottom w:val="none" w:sz="0" w:space="0" w:color="auto"/>
        <w:right w:val="none" w:sz="0" w:space="24" w:color="auto"/>
      </w:pBdr>
    </w:pPr>
  </w:style>
  <w:style w:type="paragraph" w:customStyle="1" w:styleId="linotnth-last-child1">
    <w:name w:val="li_not(:nth-last-child(1))"/>
    <w:basedOn w:val="Normal"/>
  </w:style>
  <w:style w:type="character" w:customStyle="1" w:styleId="a">
    <w:name w:val="a"/>
    <w:basedOn w:val="DefaultParagraphFont"/>
    <w:rPr>
      <w:color w:val="4623EB"/>
    </w:rPr>
  </w:style>
  <w:style w:type="paragraph" w:customStyle="1" w:styleId="fd-document-box-bluefd-document-box-descriptionpnth-last-child1">
    <w:name w:val="fd-document-box-blue_fd-document-box-description_p_nth-last-child(1)"/>
    <w:basedOn w:val="Normal"/>
    <w:pPr>
      <w:pBdr>
        <w:bottom w:val="none" w:sz="0" w:space="12" w:color="auto"/>
      </w:pBdr>
    </w:pPr>
  </w:style>
  <w:style w:type="paragraph" w:customStyle="1" w:styleId="fd-document-box-red">
    <w:name w:val="fd-document-box-red"/>
    <w:basedOn w:val="Normal"/>
    <w:pPr>
      <w:pBdr>
        <w:top w:val="single" w:sz="6" w:space="0" w:color="D6D6D6"/>
        <w:left w:val="single" w:sz="24" w:space="0" w:color="FF6E6E"/>
        <w:bottom w:val="single" w:sz="6" w:space="0" w:color="D6D6D6"/>
        <w:right w:val="single" w:sz="6" w:space="0" w:color="D6D6D6"/>
      </w:pBdr>
      <w:shd w:val="clear" w:color="auto" w:fill="F5F5F5"/>
      <w:spacing w:line="300" w:lineRule="atLeast"/>
    </w:pPr>
    <w:rPr>
      <w:sz w:val="21"/>
      <w:szCs w:val="21"/>
      <w:bdr w:val="single" w:sz="6" w:space="0" w:color="D6D6D6"/>
      <w:shd w:val="clear" w:color="auto" w:fill="F5F5F5"/>
    </w:rPr>
  </w:style>
  <w:style w:type="paragraph" w:customStyle="1" w:styleId="fd-document-box-redfd-document-box-title">
    <w:name w:val="fd-document-box-red_fd-document-box-title"/>
    <w:basedOn w:val="Normal"/>
    <w:pPr>
      <w:pBdr>
        <w:top w:val="none" w:sz="0" w:space="12" w:color="auto"/>
        <w:left w:val="none" w:sz="0" w:space="24" w:color="auto"/>
        <w:bottom w:val="none" w:sz="0" w:space="0" w:color="auto"/>
        <w:right w:val="none" w:sz="0" w:space="24" w:color="auto"/>
      </w:pBdr>
    </w:pPr>
    <w:rPr>
      <w:color w:val="FF6E6E"/>
    </w:rPr>
  </w:style>
  <w:style w:type="paragraph" w:customStyle="1" w:styleId="fd-document-box-redfd-document-box-descriptionpnth-last-child1">
    <w:name w:val="fd-document-box-red_fd-document-box-description_p_nth-last-child(1)"/>
    <w:basedOn w:val="Normal"/>
    <w:pPr>
      <w:pBdr>
        <w:bottom w:val="none" w:sz="0" w:space="12" w:color="auto"/>
      </w:pBdr>
    </w:pPr>
  </w:style>
  <w:style w:type="paragraph" w:customStyle="1" w:styleId="legal-notice">
    <w:name w:val="legal-notice"/>
    <w:basedOn w:val="Normal"/>
    <w:pPr>
      <w:spacing w:line="240" w:lineRule="atLeast"/>
      <w:jc w:val="center"/>
    </w:pPr>
    <w:rPr>
      <w:color w:val="9A9A9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legifrance.gouv.fr/affichCodeArticle.do?cidTexte=LEGITEXT000006070721&amp;idArticle=LEGIARTI000006444374&amp;dateTexte=&amp;categorieLien=cid" TargetMode="External" /><Relationship Id="rId11" Type="http://schemas.openxmlformats.org/officeDocument/2006/relationships/hyperlink" Target="https://www.legifrance.gouv.fr/affichCodeArticle.do?idArticle=LEGIARTI000029329292&amp;cidTexte=LEGITEXT000005634379" TargetMode="External" /><Relationship Id="rId12" Type="http://schemas.openxmlformats.org/officeDocument/2006/relationships/hyperlink" Target="https://www.legifrance.gouv.fr/affichCodeArticle.do?cidTexte=LEGITEXT000005634379&amp;idArticle=LEGIARTI000030615053" TargetMode="External" /><Relationship Id="rId13" Type="http://schemas.openxmlformats.org/officeDocument/2006/relationships/hyperlink" Target="https://www.legifrance.gouv.fr/affichCodeArticle.do?idArticle=LEGIARTI000006223103&amp;cidTexte=LEGITEXT000005634379" TargetMode="External" /><Relationship Id="rId14" Type="http://schemas.openxmlformats.org/officeDocument/2006/relationships/hyperlink" Target="https://www.legifrance.gouv.fr/affichCodeArticle.do?idArticle=LEGIARTI000030615057&amp;cidTexte=LEGITEXT000005634379&amp;dateTexte=20150618" TargetMode="External" /><Relationship Id="rId15" Type="http://schemas.openxmlformats.org/officeDocument/2006/relationships/hyperlink" Target="https://www.legifrance.gouv.fr/affichCode.do?idSectionTA=LEGISCTA000006161257&amp;cidTexte=LEGITEXT000005634379" TargetMode="External" /><Relationship Id="rId16" Type="http://schemas.openxmlformats.org/officeDocument/2006/relationships/hyperlink" Target="http://bofip.impots.gouv.fr/bofip/2696-PGP.html?identifiant=BOI-ENR-DMTG-20-30-10-20141030" TargetMode="External" /><Relationship Id="rId17" Type="http://schemas.openxmlformats.org/officeDocument/2006/relationships/hyperlink" Target="https://api.fidroit.fr/document/37852" TargetMode="External" /><Relationship Id="rId18" Type="http://schemas.openxmlformats.org/officeDocument/2006/relationships/hyperlink" Target="https://api.fidroit.fr/document/49190" TargetMode="External" /><Relationship Id="rId19" Type="http://schemas.openxmlformats.org/officeDocument/2006/relationships/hyperlink" Target="https://www.impots.gouv.fr/portail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api.fidroit.fr/document/45640" TargetMode="External" /><Relationship Id="rId21" Type="http://schemas.openxmlformats.org/officeDocument/2006/relationships/header" Target="header1.xml" /><Relationship Id="rId22" Type="http://schemas.openxmlformats.org/officeDocument/2006/relationships/footer" Target="footer1.xm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s://api.fidroit.fr/api/technical-resource/attachment/7289/download" TargetMode="External" /><Relationship Id="rId7" Type="http://schemas.openxmlformats.org/officeDocument/2006/relationships/hyperlink" Target="https://api.fidroit.fr/document/50580" TargetMode="External" /><Relationship Id="rId8" Type="http://schemas.openxmlformats.org/officeDocument/2006/relationships/hyperlink" Target="https://api.fidroit.fr/api/technical-resource/attachment/old/avis/avisccrcs25oct2012.pdf" TargetMode="External" /><Relationship Id="rId9" Type="http://schemas.openxmlformats.org/officeDocument/2006/relationships/hyperlink" Target="https://www.legifrance.gouv.fr/affichCodeArticle.do?cidTexte=LEGITEXT000006070721&amp;idArticle=LEGIARTI000006437944&amp;dateTexte=&amp;categorieLien=cid" TargetMode="External" 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4A46-50BC-4C60-85AE-62D66024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</Template>
  <TotalTime>20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Harvest</Manager>
  <Company>Harvest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Harvest</dc:creator>
  <cp:revision>20</cp:revision>
  <cp:lastPrinted>1899-12-31T23:00:00Z</cp:lastPrinted>
  <dcterms:created xsi:type="dcterms:W3CDTF">2024-01-30T14:32:47Z</dcterms:created>
  <dcterms:modified xsi:type="dcterms:W3CDTF">2024-01-30T14:32:47Z</dcterms:modified>
</cp:coreProperties>
</file>