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600"/>
        <w:ind w:hanging="0" w:start="0" w:end="0"/>
        <w:jc w:val="start"/>
        <w:rPr/>
      </w:pPr>
      <w:r>
        <w:rPr/>
        <w:t>Match SCPI / LMNP et immobilier ancien : quoi choisir ?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cette journée ensoleillée, Mme DAGUTS, conseillère en gestion de patrimoine au sein du cabinet rencontre Monsieur DUPONTEIL, client historique.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Celui-ci l’informe avoir un nouvel objectif : la préparation de sa retraite.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 de ses collègues vient de partir en retraite, M. DUPONTEIL vient donc de prendre conscience de sa future perte de revenu et souhaite donc l’anticiper, en prévoyant des revenus complémentaires.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Afin de choisir la ou les solutions les plus adaptées, Mme DAGUTS recueille les informations suivantes :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 DUPONTEIL est né le 01/01/1970, il est célibataire, sans enfant.</w:t>
        <w:br/>
        <w:t>Il souhaite investir 100 000 € sur une durée de 15 ans, afin d’obtenir des revenus complémentaires immédiats.</w:t>
        <w:br/>
        <w:t>Sa tranche marginale d’imposition est de 30 %, d’après l’analyse de notre experte.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M. DUPONTEIL, comme beaucoup, est attiré par l’immobilier.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Dans l’esprit de notre analyste, un véritable match s’opère entre 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tLeast" w:line="375" w:before="0" w:after="0"/>
        <w:ind w:hanging="0" w:start="709" w:end="0"/>
        <w:jc w:val="start"/>
        <w:rPr/>
      </w:pPr>
      <w:hyperlink r:id="rId2">
        <w:r>
          <w:rPr>
            <w:rStyle w:val="Hyperlink"/>
          </w:rPr>
          <w:t>SCPI</w:t>
        </w:r>
      </w:hyperlink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tLeast" w:line="375" w:before="0" w:after="0"/>
        <w:ind w:hanging="0" w:start="709" w:end="0"/>
        <w:jc w:val="start"/>
        <w:rPr/>
      </w:pPr>
      <w:hyperlink r:id="rId3">
        <w:r>
          <w:rPr>
            <w:rStyle w:val="Hyperlink"/>
          </w:rPr>
          <w:t>LMNP géré</w:t>
        </w:r>
      </w:hyperlink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tLeast" w:line="375"/>
        <w:ind w:hanging="0" w:start="709" w:end="0"/>
        <w:jc w:val="start"/>
        <w:rPr/>
      </w:pPr>
      <w:hyperlink r:id="rId4">
        <w:r>
          <w:rPr>
            <w:rStyle w:val="Hyperlink"/>
          </w:rPr>
          <w:t>Immobilier dans l’ancien</w:t>
        </w:r>
      </w:hyperlink>
    </w:p>
    <w:p>
      <w:pPr>
        <w:pStyle w:val="Heading2"/>
        <w:pBdr/>
        <w:bidi w:val="0"/>
        <w:ind w:hanging="0" w:start="0" w:end="0"/>
        <w:jc w:val="start"/>
        <w:rPr/>
      </w:pPr>
      <w:bookmarkStart w:id="0" w:name="s1"/>
      <w:bookmarkEnd w:id="0"/>
      <w:r>
        <w:rPr/>
        <w:t>Mais qu’en est -il ? Qui de la SCPI, LMNP géré ou l’immobilier dans l’ancien remportera la victoire ?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>
          <w:rStyle w:val="Strong"/>
        </w:rPr>
        <w:t>Point clef</w:t>
      </w:r>
      <w:r>
        <w:rPr/>
        <w:t> =&gt; En matière d’immobilier, comme tout revenu du patrimoine, la fiscalité est alourdie par les prélèvements sociaux qui viennent s’ajouter à l’impôt sur le revenu (barème progressif).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Voici ce que le client peut espérer en investissant 100 000€ afin d’obtenir un revenu annuel immédiat :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84"/>
        <w:gridCol w:w="1393"/>
        <w:gridCol w:w="997"/>
        <w:gridCol w:w="1603"/>
        <w:gridCol w:w="1297"/>
        <w:gridCol w:w="624"/>
        <w:gridCol w:w="504"/>
        <w:gridCol w:w="1736"/>
      </w:tblGrid>
      <w:tr>
        <w:trPr/>
        <w:tc>
          <w:tcPr>
            <w:tcW w:w="1484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3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Rendement Brut</w:t>
            </w:r>
          </w:p>
        </w:tc>
        <w:tc>
          <w:tcPr>
            <w:tcW w:w="997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Charges *</w:t>
            </w:r>
          </w:p>
        </w:tc>
        <w:tc>
          <w:tcPr>
            <w:tcW w:w="1603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Rendement net de charges</w:t>
            </w:r>
          </w:p>
        </w:tc>
        <w:tc>
          <w:tcPr>
            <w:tcW w:w="1297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Revenus net de charges</w:t>
            </w:r>
          </w:p>
        </w:tc>
        <w:tc>
          <w:tcPr>
            <w:tcW w:w="1128" w:type="dxa"/>
            <w:gridSpan w:val="2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Impôts</w:t>
            </w:r>
          </w:p>
        </w:tc>
        <w:tc>
          <w:tcPr>
            <w:tcW w:w="1736" w:type="dxa"/>
            <w:vMerge w:val="restart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Trésorerie annuel nette de fiscalité</w:t>
            </w:r>
          </w:p>
        </w:tc>
      </w:tr>
      <w:tr>
        <w:trPr/>
        <w:tc>
          <w:tcPr>
            <w:tcW w:w="1484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3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7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3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97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IR</w:t>
            </w:r>
          </w:p>
        </w:tc>
        <w:tc>
          <w:tcPr>
            <w:tcW w:w="50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PS</w:t>
            </w:r>
          </w:p>
        </w:tc>
        <w:tc>
          <w:tcPr>
            <w:tcW w:w="1736" w:type="dxa"/>
            <w:vMerge w:val="continue"/>
            <w:tcBorders/>
            <w:shd w:fill="3D1CA0" w:val="clear"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8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Immobilier dans l’ancien</w:t>
            </w:r>
          </w:p>
        </w:tc>
        <w:tc>
          <w:tcPr>
            <w:tcW w:w="139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4,5 %</w:t>
            </w:r>
          </w:p>
        </w:tc>
        <w:tc>
          <w:tcPr>
            <w:tcW w:w="9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1,5 %</w:t>
            </w:r>
          </w:p>
        </w:tc>
        <w:tc>
          <w:tcPr>
            <w:tcW w:w="160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3 %</w:t>
            </w:r>
          </w:p>
        </w:tc>
        <w:tc>
          <w:tcPr>
            <w:tcW w:w="12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3 000 €</w:t>
            </w:r>
          </w:p>
        </w:tc>
        <w:tc>
          <w:tcPr>
            <w:tcW w:w="62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900 €</w:t>
            </w:r>
          </w:p>
        </w:tc>
        <w:tc>
          <w:tcPr>
            <w:tcW w:w="50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516 €</w:t>
            </w:r>
          </w:p>
        </w:tc>
        <w:tc>
          <w:tcPr>
            <w:tcW w:w="1736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1 584 €</w:t>
            </w:r>
          </w:p>
        </w:tc>
      </w:tr>
      <w:tr>
        <w:trPr/>
        <w:tc>
          <w:tcPr>
            <w:tcW w:w="148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SCPI</w:t>
            </w:r>
          </w:p>
        </w:tc>
        <w:tc>
          <w:tcPr>
            <w:tcW w:w="139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4,5 %</w:t>
            </w:r>
          </w:p>
        </w:tc>
        <w:tc>
          <w:tcPr>
            <w:tcW w:w="9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0 %</w:t>
            </w:r>
          </w:p>
        </w:tc>
        <w:tc>
          <w:tcPr>
            <w:tcW w:w="160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4,5 %</w:t>
            </w:r>
          </w:p>
        </w:tc>
        <w:tc>
          <w:tcPr>
            <w:tcW w:w="12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4 500 €</w:t>
            </w:r>
          </w:p>
        </w:tc>
        <w:tc>
          <w:tcPr>
            <w:tcW w:w="62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1300 €</w:t>
            </w:r>
          </w:p>
        </w:tc>
        <w:tc>
          <w:tcPr>
            <w:tcW w:w="50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770 €</w:t>
            </w:r>
          </w:p>
        </w:tc>
        <w:tc>
          <w:tcPr>
            <w:tcW w:w="1736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2 500 €</w:t>
            </w:r>
          </w:p>
        </w:tc>
      </w:tr>
      <w:tr>
        <w:trPr/>
        <w:tc>
          <w:tcPr>
            <w:tcW w:w="148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LMNP géré</w:t>
            </w:r>
          </w:p>
        </w:tc>
        <w:tc>
          <w:tcPr>
            <w:tcW w:w="139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4,5 %</w:t>
            </w:r>
          </w:p>
        </w:tc>
        <w:tc>
          <w:tcPr>
            <w:tcW w:w="9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0,5 %</w:t>
            </w:r>
          </w:p>
        </w:tc>
        <w:tc>
          <w:tcPr>
            <w:tcW w:w="160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4 %</w:t>
            </w:r>
          </w:p>
        </w:tc>
        <w:tc>
          <w:tcPr>
            <w:tcW w:w="129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4 000 €</w:t>
            </w:r>
          </w:p>
        </w:tc>
        <w:tc>
          <w:tcPr>
            <w:tcW w:w="62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250 €</w:t>
            </w:r>
          </w:p>
        </w:tc>
        <w:tc>
          <w:tcPr>
            <w:tcW w:w="504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50 €</w:t>
            </w:r>
          </w:p>
        </w:tc>
        <w:tc>
          <w:tcPr>
            <w:tcW w:w="1736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3 700 €</w:t>
            </w:r>
          </w:p>
        </w:tc>
      </w:tr>
    </w:tbl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* les charges prennent en comptes : la taxe foncière, les charges de copro, les frais de gestion et d’assurance, les travaux, …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Observations : Sur une base de rentabilité brute égale, vous pouvez le constater, que le gain varie du simple ou double selon le type d’investissement.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les charges et la fiscalité liées à chaque placement doivent influencer votre choix.</w:t>
      </w:r>
    </w:p>
    <w:tbl>
      <w:tblPr>
        <w:tblW w:w="7384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7"/>
        <w:gridCol w:w="653"/>
        <w:gridCol w:w="1313"/>
        <w:gridCol w:w="2091"/>
      </w:tblGrid>
      <w:tr>
        <w:trPr/>
        <w:tc>
          <w:tcPr>
            <w:tcW w:w="3327" w:type="dxa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3" w:type="dxa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SCPI</w:t>
            </w:r>
          </w:p>
        </w:tc>
        <w:tc>
          <w:tcPr>
            <w:tcW w:w="1313" w:type="dxa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LMNP géré</w:t>
            </w:r>
          </w:p>
        </w:tc>
        <w:tc>
          <w:tcPr>
            <w:tcW w:w="2091" w:type="dxa"/>
            <w:tcBorders/>
            <w:shd w:fill="3D1CA0" w:val="clear"/>
            <w:vAlign w:val="center"/>
          </w:tcPr>
          <w:p>
            <w:pPr>
              <w:pStyle w:val="Titredetableau"/>
              <w:bidi w:val="0"/>
              <w:ind w:hanging="0" w:start="0" w:end="0"/>
              <w:rPr/>
            </w:pPr>
            <w:r>
              <w:rPr/>
              <w:t>Immobilier Ancien</w:t>
            </w:r>
          </w:p>
        </w:tc>
      </w:tr>
      <w:tr>
        <w:trPr/>
        <w:tc>
          <w:tcPr>
            <w:tcW w:w="7384" w:type="dxa"/>
            <w:gridSpan w:val="4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Généralité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Rendement net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Accessibilité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Mutualisation du risque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 – 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Effet de levier</w:t>
            </w:r>
          </w:p>
        </w:tc>
        <w:tc>
          <w:tcPr>
            <w:tcW w:w="4057" w:type="dxa"/>
            <w:gridSpan w:val="3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Indexation des revenus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Délégation de gestion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Liquidité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</w:t>
            </w:r>
          </w:p>
        </w:tc>
      </w:tr>
      <w:tr>
        <w:trPr/>
        <w:tc>
          <w:tcPr>
            <w:tcW w:w="7384" w:type="dxa"/>
            <w:gridSpan w:val="4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Fiscalité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Déduction des intérêts d’emprunt</w:t>
            </w:r>
          </w:p>
        </w:tc>
        <w:tc>
          <w:tcPr>
            <w:tcW w:w="4057" w:type="dxa"/>
            <w:gridSpan w:val="3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Avantages fiscaux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 – –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IR + PS</w:t>
            </w:r>
          </w:p>
        </w:tc>
        <w:tc>
          <w:tcPr>
            <w:tcW w:w="65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 – –</w:t>
            </w:r>
          </w:p>
        </w:tc>
        <w:tc>
          <w:tcPr>
            <w:tcW w:w="1313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  <w:tc>
          <w:tcPr>
            <w:tcW w:w="2091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 – 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IFI</w:t>
            </w:r>
          </w:p>
        </w:tc>
        <w:tc>
          <w:tcPr>
            <w:tcW w:w="4057" w:type="dxa"/>
            <w:gridSpan w:val="3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– – –</w:t>
            </w:r>
          </w:p>
        </w:tc>
      </w:tr>
      <w:tr>
        <w:trPr/>
        <w:tc>
          <w:tcPr>
            <w:tcW w:w="3327" w:type="dxa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/>
              <w:t>Taxation des plus values</w:t>
            </w:r>
          </w:p>
        </w:tc>
        <w:tc>
          <w:tcPr>
            <w:tcW w:w="4057" w:type="dxa"/>
            <w:gridSpan w:val="3"/>
            <w:tcBorders>
              <w:top w:val="single" w:sz="2" w:space="0" w:color="EDEDED"/>
              <w:start w:val="single" w:sz="2" w:space="0" w:color="EDEDED"/>
              <w:bottom w:val="single" w:sz="2" w:space="0" w:color="EDEDED"/>
              <w:end w:val="single" w:sz="2" w:space="0" w:color="EDEDED"/>
            </w:tcBorders>
            <w:tcMar>
              <w:top w:w="225" w:type="dxa"/>
              <w:start w:w="150" w:type="dxa"/>
              <w:bottom w:w="225" w:type="dxa"/>
              <w:end w:w="150" w:type="dxa"/>
            </w:tcMar>
            <w:vAlign w:val="center"/>
          </w:tcPr>
          <w:p>
            <w:pPr>
              <w:pStyle w:val="Contenudetableau"/>
              <w:bidi w:val="0"/>
              <w:ind w:hanging="0" w:start="0" w:end="0"/>
              <w:jc w:val="center"/>
              <w:rPr/>
            </w:pPr>
            <w:r>
              <w:rPr>
                <w:rStyle w:val="Strong"/>
              </w:rPr>
              <w:t>+++</w:t>
            </w:r>
          </w:p>
        </w:tc>
      </w:tr>
    </w:tbl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Point clé =&gt; Vous vous interrogez sur les avantages fiscaux mentionnés ? Aucun souci, nous avons les réponses à vos questions.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Dans le cadre d’un LMNP, géré ou non, avant tout calcul de l’impôt sur le revenu dû, vous allez déduire vos charges : Taxes diverses, intérêts d’emprunts, assurances, … ainsi que </w:t>
      </w:r>
      <w:hyperlink r:id="rId5">
        <w:r>
          <w:rPr>
            <w:rStyle w:val="Hyperlink"/>
          </w:rPr>
          <w:t>l’amortissement du bâti mais également du mobilier, et des frais d’acquisition</w:t>
        </w:r>
      </w:hyperlink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stiondepatrimoine.com/immobilier/scpi/le-principe-de-la-scpi.html" TargetMode="External"/><Relationship Id="rId3" Type="http://schemas.openxmlformats.org/officeDocument/2006/relationships/hyperlink" Target="https://gestiondepatrimoine.com/immobilier/location-meublee/lmnp" TargetMode="External"/><Relationship Id="rId4" Type="http://schemas.openxmlformats.org/officeDocument/2006/relationships/hyperlink" Target="https://gestiondepatrimoine.com/immobilier/defiscalisation/dispositif-malraux.html" TargetMode="External"/><Relationship Id="rId5" Type="http://schemas.openxmlformats.org/officeDocument/2006/relationships/hyperlink" Target="https://gestiondepatrimoine.com/immobilier/location-meublee/amortissement-location-meuble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2024-02-16T15:22:16Z</dcterms:created>
  <dc:creator/>
  <dc:description/>
  <dc:language>fr-FR</dc:language>
  <cp:lastModifiedBy/>
  <dcterms:modified xsi:type="dcterms:W3CDTF">2024-02-16T15:22:38Z</dcterms:modified>
  <cp:revision>2</cp:revision>
  <dc:subject/>
  <dc:title/>
</cp:coreProperties>
</file>