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Souscrire un contrat de capitalisation (personne physique)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2 janv. 2023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Situation initiale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Monsieur Jacquin, âgé de 72 ans, est veuf et a deux fils, Vincent et Maxime.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a déjà souscrit plusieurs contrats d’assurance-vie au profit de ses enfants. Les abattements de 152 000 € (au titre des versements réalisés avant le 70ème anniversaire) et de 30 500 € (au titre des versements réalisés après 70 ans) sont déjà utilisés en totalité.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n’a pas réalisé de donation durant les 15 dernières années.</w:t>
      </w:r>
    </w:p>
    <w:p>
      <w:pPr>
        <w:pStyle w:val="p"/>
        <w:spacing w:before="0" w:after="180" w:line="330" w:lineRule="atLeast"/>
        <w:ind w:left="0" w:right="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est propriétaire : </w:t>
      </w:r>
    </w:p>
    <w:p>
      <w:pPr>
        <w:pStyle w:val="linotnth-last-child1"/>
        <w:numPr>
          <w:ilvl w:val="0"/>
          <w:numId w:val="29"/>
        </w:numPr>
        <w:spacing w:before="240"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de sa résidence principale, évaluée à 300 000 € </w:t>
      </w:r>
    </w:p>
    <w:p>
      <w:pPr>
        <w:pStyle w:val="linotnth-last-child1"/>
        <w:numPr>
          <w:ilvl w:val="0"/>
          <w:numId w:val="29"/>
        </w:numPr>
        <w:spacing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d’un immeuble locatif évalué à 350 000 €</w:t>
      </w:r>
    </w:p>
    <w:p>
      <w:pPr>
        <w:numPr>
          <w:ilvl w:val="0"/>
          <w:numId w:val="29"/>
        </w:numPr>
        <w:spacing w:after="240" w:line="330" w:lineRule="atLeast"/>
        <w:ind w:left="720" w:right="0" w:hanging="36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et dispose de 50 000 € de liquidités (comptes titres, livets..)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dispose de 400 000 € de liquidités à investir.</w:t>
      </w:r>
    </w:p>
    <w:p>
      <w:pPr>
        <w:pStyle w:val="p"/>
        <w:spacing w:before="0" w:after="180" w:line="330" w:lineRule="atLeast"/>
        <w:ind w:left="0" w:right="0"/>
        <w:jc w:val="both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souhaite optimiser la transmission de son patrimoine, réduire autant que possible la fiscalité dont seront redevables ses enfants à son décès et percevoir des flux réguliers.</w:t>
      </w:r>
    </w:p>
    <w:p>
      <w:pPr>
        <w:pStyle w:val="fd-document-box-purplefd-document-box-title"/>
        <w:pageBreakBefore w:val="0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24" w:color="D6D6D6"/>
        </w:pBdr>
        <w:shd w:val="clear" w:color="auto" w:fill="F5F5F5"/>
        <w:spacing w:before="0" w:after="240" w:line="240" w:lineRule="atLeast"/>
        <w:ind w:left="540" w:right="495"/>
        <w:outlineLvl w:val="4"/>
        <w:rPr>
          <w:b/>
          <w:bCs/>
          <w:color w:val="C882FF"/>
          <w:sz w:val="18"/>
          <w:szCs w:val="18"/>
        </w:rPr>
      </w:pPr>
      <w:r>
        <w:rPr>
          <w:b/>
          <w:bCs/>
          <w:color w:val="C882FF"/>
          <w:sz w:val="18"/>
          <w:szCs w:val="18"/>
        </w:rPr>
        <w:t>Remarque : </w:t>
      </w:r>
    </w:p>
    <w:p>
      <w:pPr>
        <w:pStyle w:val="fd-document-box-purplefd-document-box-descriptionany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24" w:color="D6D6D6"/>
        </w:pBdr>
        <w:shd w:val="clear" w:color="auto" w:fill="F5F5F5"/>
        <w:spacing w:before="0" w:after="180" w:line="300" w:lineRule="atLeast"/>
        <w:ind w:left="540" w:right="495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Par hypothèse :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before="240"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on  retient une date de décès dans 20 ans,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on considère une valorisation de son épargne à 2 %, nette de prélèvements sociaux,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les enfants sont soumis aux droits de succession au taux de 20 %.</w:t>
      </w:r>
    </w:p>
    <w:p>
      <w:pPr>
        <w:pStyle w:val="fd-document-box-purpleulli"/>
        <w:pBdr>
          <w:top w:val="single" w:sz="6" w:space="12" w:color="D6D6D6"/>
          <w:left w:val="single" w:sz="24" w:space="24" w:color="C882FF"/>
          <w:bottom w:val="single" w:sz="6" w:space="0" w:color="D6D6D6"/>
          <w:right w:val="single" w:sz="6" w:space="0" w:color="D6D6D6"/>
        </w:pBdr>
        <w:shd w:val="clear" w:color="auto" w:fill="F5F5F5"/>
        <w:spacing w:after="600" w:line="300" w:lineRule="atLeast"/>
        <w:ind w:left="1050" w:right="525"/>
        <w:jc w:val="both"/>
        <w:rPr>
          <w:color w:val="646464"/>
          <w:sz w:val="21"/>
          <w:szCs w:val="21"/>
        </w:rPr>
      </w:pPr>
      <w:r>
        <w:rPr>
          <w:color w:val="646464"/>
          <w:sz w:val="21"/>
          <w:szCs w:val="21"/>
        </w:rPr>
        <w:t>au moyen de retraits programmés, Monsieur Jacquin perçoit l’équivalent de la valorisation annuelle du contrat.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Investissement sur un contrat d’assurance-vie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On propose à Monsieur Jacquin de réinvestir les 400 000 € dans un contrat d’assurance-vie après son 70ème anniversaire et l’abattement de 30 500 € est déjà été utilisé : les primes versées restent intégralement taxables.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Au décès, les capitaux décès (nets de prélèvements sociaux) versés à chacun de ses enfants s’établissent à 200 000 €.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Primes versées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acquise au décès en raison des rachats partiels réguliers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succession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succession à 20 %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40 000 € 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Capital décès net perçu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160 000 € par enfant (200 000 - 40 000)</w:t>
            </w:r>
          </w:p>
        </w:tc>
      </w:tr>
    </w:tbl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Les deux enfants s’enrichissent de 320 000 € au total.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Investissement et donation d’un contrat de capitalisation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On propose à Monsieur Jacquin d’investir les 200 000 € sur deux contrats de capitalisation avec donation de la nue-propriété respective des contrats à ses fils. Il conserve un usufruit, évalué 30 %. Les droits de donations de 12 400 € (6 200 € x 2) sont payés par le père. Cette somme aurait pu être placée au même taux (2 % nets de prélèvements sociaux). Par conséquent, le coût réel à prendre en compte est d’environ 18 400 €. Nous le déduirons par la suite.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Contrat de capitalisation (pleine propriété)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donation</w:t>
            </w:r>
            <w:r>
              <w:rPr>
                <w:color w:val="202020"/>
                <w:sz w:val="21"/>
                <w:szCs w:val="21"/>
              </w:rPr>
              <w:br/>
            </w:r>
            <w:r>
              <w:rPr>
                <w:color w:val="202020"/>
                <w:sz w:val="21"/>
                <w:szCs w:val="21"/>
              </w:rPr>
              <w:t>(nue-propriété du contrat de capitalisation = 70 %)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140 000 €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Abattement en ligne directe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Assiette des droits de donation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40 000 €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succession à 20 %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6 200 € par enfant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(*) L'abattement de 100 000 € et les plus petites tranches du barème sont consommés.</w:t>
      </w:r>
    </w:p>
    <w:p>
      <w:pPr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 xml:space="preserve">M. Jacquin réalise des retraits réguliers sa vie durant. A son décès, l’usufruit s’éteint et les enfants se retrouve pleins propriétaires des contrats. Ils rachètent alors leur contrat de capitalisation et paient la fiscalité correspondante. </w:t>
      </w:r>
    </w:p>
    <w:tbl>
      <w:tblPr>
        <w:tblStyle w:val="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35"/>
        <w:gridCol w:w="5436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b/>
                <w:bCs/>
                <w:color w:val="202020"/>
                <w:sz w:val="21"/>
                <w:szCs w:val="21"/>
              </w:rPr>
            </w:pPr>
            <w:r>
              <w:rPr>
                <w:b/>
                <w:bCs/>
                <w:color w:val="202020"/>
                <w:sz w:val="21"/>
                <w:szCs w:val="21"/>
              </w:rPr>
              <w:t>Valeur du contrat de capitalisation au jour du décès (après déduction des rachats partiels réguliers)</w:t>
            </w:r>
          </w:p>
        </w:tc>
        <w:tc>
          <w:tcPr>
            <w:tcW w:w="2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200 000 €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des droits de succession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0 € (l'usufruit rejoint la nue-propriété sans taxation)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Droits de donation, payés par le donateur (6 200 €), actualisés à 2 %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 9 200 € par enfant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Imposition des rachats (PFU à 12,8 % sur les intérêts du contrat)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3 000 € par enfant (hypothèse retenue sur 10 000 € d'intérêts générés après la donation en nue-propriété)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Capital décès net perçu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jc w:val="center"/>
              <w:rPr>
                <w:b w:val="0"/>
                <w:bCs w:val="0"/>
                <w:color w:val="646464"/>
                <w:sz w:val="21"/>
                <w:szCs w:val="21"/>
              </w:rPr>
            </w:pPr>
            <w:r>
              <w:rPr>
                <w:b w:val="0"/>
                <w:bCs w:val="0"/>
                <w:color w:val="646464"/>
                <w:sz w:val="21"/>
                <w:szCs w:val="21"/>
              </w:rPr>
              <w:t>187 800 € par enfant (200 000 - 9 200 - 3 000)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(</w:t>
      </w:r>
      <w:r>
        <w:rPr>
          <w:color w:val="646464"/>
          <w:sz w:val="24"/>
          <w:szCs w:val="24"/>
        </w:rPr>
        <w:t>*) Seuls les intérêts générés avant la donation en nue-propriété : les intérêts générés après la donation en nue-propriété ne sont a priori pas purgés.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Les rachats peuvent être progressifs. Dans ce cas, l’abattement de 4 600 € ou 9 200 € permettrait de limiter encore l’imposition des capitaux perçus.</w:t>
      </w:r>
    </w:p>
    <w:p>
      <w:pPr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u w:val="single" w:color="646464"/>
        </w:rPr>
        <w:t>Les deux enfants s’enrichissent de 375 600 € au total.</w:t>
      </w:r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6"/>
      <w:footerReference w:type="default" r:id="rId7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3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description">
    <w:name w:val="description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paragraph" w:customStyle="1" w:styleId="linotnth-last-child1">
    <w:name w:val="li_not(:nth-last-child(1))"/>
    <w:basedOn w:val="Normal"/>
  </w:style>
  <w:style w:type="paragraph" w:customStyle="1" w:styleId="fd-document-box-purple">
    <w:name w:val="fd-document-box-purple"/>
    <w:basedOn w:val="Normal"/>
    <w:pPr>
      <w:pBdr>
        <w:top w:val="single" w:sz="6" w:space="0" w:color="D6D6D6"/>
        <w:left w:val="single" w:sz="24" w:space="0" w:color="C882FF"/>
        <w:bottom w:val="single" w:sz="6" w:space="0" w:color="D6D6D6"/>
        <w:right w:val="single" w:sz="6" w:space="0" w:color="D6D6D6"/>
      </w:pBdr>
      <w:shd w:val="clear" w:color="auto" w:fill="F5F5F5"/>
      <w:spacing w:line="300" w:lineRule="atLeast"/>
    </w:pPr>
    <w:rPr>
      <w:sz w:val="21"/>
      <w:szCs w:val="21"/>
      <w:bdr w:val="single" w:sz="6" w:space="0" w:color="D6D6D6"/>
      <w:shd w:val="clear" w:color="auto" w:fill="F5F5F5"/>
    </w:rPr>
  </w:style>
  <w:style w:type="paragraph" w:customStyle="1" w:styleId="fd-document-box-purplefd-document-box-title">
    <w:name w:val="fd-document-box-purple_fd-document-box-title"/>
    <w:basedOn w:val="Normal"/>
    <w:pPr>
      <w:pBdr>
        <w:top w:val="none" w:sz="0" w:space="12" w:color="auto"/>
        <w:left w:val="none" w:sz="0" w:space="24" w:color="auto"/>
        <w:bottom w:val="none" w:sz="0" w:space="0" w:color="auto"/>
        <w:right w:val="none" w:sz="0" w:space="24" w:color="auto"/>
      </w:pBdr>
    </w:pPr>
    <w:rPr>
      <w:color w:val="C882FF"/>
    </w:rPr>
  </w:style>
  <w:style w:type="paragraph" w:customStyle="1" w:styleId="fd-document-box-purplefd-document-box-descriptionany">
    <w:name w:val="fd-document-box-purple_fd-document-box-description &gt; any"/>
    <w:basedOn w:val="Normal"/>
    <w:pPr>
      <w:pBdr>
        <w:top w:val="none" w:sz="0" w:space="0" w:color="auto"/>
        <w:left w:val="none" w:sz="0" w:space="24" w:color="auto"/>
        <w:bottom w:val="none" w:sz="0" w:space="0" w:color="auto"/>
        <w:right w:val="none" w:sz="0" w:space="24" w:color="auto"/>
      </w:pBdr>
    </w:pPr>
  </w:style>
  <w:style w:type="paragraph" w:customStyle="1" w:styleId="fd-document-box-purpleulli">
    <w:name w:val="fd-document-box-purple_ul_li"/>
    <w:basedOn w:val="Normal"/>
    <w:pPr>
      <w:pBdr>
        <w:left w:val="none" w:sz="0" w:space="24" w:color="auto"/>
      </w:pBdr>
    </w:pPr>
  </w:style>
  <w:style w:type="table" w:customStyle="1" w:styleId="table">
    <w:name w:val="table"/>
    <w:basedOn w:val="TableNormal"/>
    <w:tblPr/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2023-11-24T15:50:06Z</dcterms:created>
  <dcterms:modified xsi:type="dcterms:W3CDTF">2023-11-24T15:50:06Z</dcterms:modified>
</cp:coreProperties>
</file>