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6"/>
        </w:rPr>
        <w:t>Australian Credit Risk Benchmarks - Q2 2026</w:t>
      </w:r>
    </w:p>
    <w:p>
      <w:r>
        <w:rPr>
          <w:rFonts w:ascii="Arial" w:hAnsi="Arial"/>
          <w:i/>
          <w:sz w:val="24"/>
        </w:rPr>
        <w:t>Generated 2026-06-11T08:24:48+00:00 | Data as-of 2024-12-31–2026-02-28</w:t>
      </w:r>
    </w:p>
    <w:p>
      <w:r>
        <w:rPr>
          <w:rFonts w:ascii="Arial" w:hAnsi="Arial"/>
          <w:b/>
          <w:sz w:val="28"/>
        </w:rPr>
        <w:t>Executive summary</w:t>
      </w:r>
    </w:p>
    <w:p>
      <w:r>
        <w:rPr>
          <w:rFonts w:ascii="Arial" w:hAnsi="Arial"/>
          <w:b w:val="0"/>
          <w:i w:val="0"/>
          <w:sz w:val="22"/>
        </w:rPr>
        <w:t>This report consolidates externally-disclosed credit-risk parameters for Australian bank and non-bank lenders into a single set of model-ready benchmarks. It is built from public Basel Pillar 3 disclosures, APRA and RBA statistics, and non-bank lender reports, and is aligned to the APRA APS 113 / Basel IRB framework.</w:t>
      </w:r>
    </w:p>
    <w:p>
      <w:r>
        <w:rPr>
          <w:rFonts w:ascii="Arial" w:hAnsi="Arial"/>
          <w:b w:val="0"/>
          <w:i w:val="0"/>
          <w:sz w:val="22"/>
        </w:rPr>
        <w:t>Every figure is a source-published value — no adjustment, triangulation, or modelling overlay — so each number traces back to a named disclosure and reporting date.</w:t>
      </w:r>
    </w:p>
    <w:p>
      <w:r>
        <w:rPr>
          <w:rFonts w:ascii="Arial" w:hAnsi="Arial"/>
          <w:b/>
          <w:sz w:val="24"/>
        </w:rPr>
        <w:t>What this report covers</w:t>
      </w:r>
    </w:p>
    <w:p>
      <w:pPr>
        <w:pStyle w:val="ListBullet"/>
      </w:pPr>
      <w:r>
        <w:rPr>
          <w:rFonts w:ascii="Arial" w:hAnsi="Arial"/>
          <w:sz w:val="22"/>
        </w:rPr>
        <w:t>Probability of default (PD) — likelihood a borrower defaults within 12 months, by credit segment (Section 1).</w:t>
      </w:r>
    </w:p>
    <w:p>
      <w:pPr>
        <w:pStyle w:val="ListBullet"/>
      </w:pPr>
      <w:r>
        <w:rPr>
          <w:rFonts w:ascii="Arial" w:hAnsi="Arial"/>
          <w:sz w:val="22"/>
        </w:rPr>
        <w:t>Loss given default (LGD) — share of exposure not recovered after default (Section 2).</w:t>
      </w:r>
    </w:p>
    <w:p>
      <w:pPr>
        <w:pStyle w:val="ListBullet"/>
      </w:pPr>
      <w:r>
        <w:rPr>
          <w:rFonts w:ascii="Arial" w:hAnsi="Arial"/>
          <w:sz w:val="22"/>
        </w:rPr>
        <w:t>Expected loss (EL = PD × LGD) — the headline credit-loss rate per segment (Section 3).</w:t>
      </w:r>
    </w:p>
    <w:p>
      <w:pPr>
        <w:pStyle w:val="ListBullet"/>
      </w:pPr>
      <w:r>
        <w:rPr>
          <w:rFonts w:ascii="Arial" w:hAnsi="Arial"/>
          <w:sz w:val="22"/>
        </w:rPr>
        <w:t>Stress testing — PD and LGD under a downturn, using stress multipliers floored at APS 113 regulatory bands (Section 4).</w:t>
      </w:r>
    </w:p>
    <w:p>
      <w:pPr>
        <w:pStyle w:val="ListBullet"/>
      </w:pPr>
      <w:r>
        <w:rPr>
          <w:rFonts w:ascii="Arial" w:hAnsi="Arial"/>
          <w:sz w:val="22"/>
        </w:rPr>
        <w:t>Portfolio monitoring — arrears, non-performing, impaired and loss-rate metrics for early-warning tracking (Section 5).</w:t>
      </w:r>
    </w:p>
    <w:p>
      <w:pPr>
        <w:pStyle w:val="ListBullet"/>
      </w:pPr>
      <w:r>
        <w:rPr>
          <w:rFonts w:ascii="Arial" w:hAnsi="Arial"/>
          <w:sz w:val="22"/>
        </w:rPr>
        <w:t>Per-bank industry exposures — Big 4 exposure, non-performing, provision and write-off by industry sector (Section 6).</w:t>
      </w:r>
    </w:p>
    <w:p>
      <w:r>
        <w:rPr>
          <w:rFonts w:ascii="Arial" w:hAnsi="Arial"/>
          <w:b/>
          <w:sz w:val="24"/>
        </w:rPr>
        <w:t>Coverage at a glance</w:t>
      </w:r>
    </w:p>
    <w:p>
      <w:pPr>
        <w:pStyle w:val="ListBullet"/>
      </w:pPr>
      <w:r>
        <w:rPr>
          <w:rFonts w:ascii="Arial" w:hAnsi="Arial"/>
          <w:sz w:val="22"/>
        </w:rPr>
        <w:t>295 source observations across 16 credit segments.</w:t>
      </w:r>
    </w:p>
    <w:p>
      <w:pPr>
        <w:pStyle w:val="ListBullet"/>
      </w:pPr>
      <w:r>
        <w:rPr>
          <w:rFonts w:ascii="Arial" w:hAnsi="Arial"/>
          <w:sz w:val="22"/>
        </w:rPr>
        <w:t>4 banks in the industry-exposure view (ANZ, CBA, NAB, WBC), plus non-bank lenders and regulatory references.</w:t>
      </w:r>
    </w:p>
    <w:p>
      <w:pPr>
        <w:pStyle w:val="ListBullet"/>
      </w:pPr>
      <w:r>
        <w:rPr>
          <w:rFonts w:ascii="Arial" w:hAnsi="Arial"/>
          <w:sz w:val="22"/>
        </w:rPr>
        <w:t>Data as-of window: 2024-12-31–2026-02-28.</w:t>
      </w:r>
    </w:p>
    <w:p>
      <w:r>
        <w:rPr>
          <w:rFonts w:ascii="Arial" w:hAnsi="Arial"/>
          <w:b/>
          <w:sz w:val="24"/>
        </w:rPr>
        <w:t>How to read the numbers</w:t>
      </w:r>
    </w:p>
    <w:p>
      <w:pPr>
        <w:pStyle w:val="ListBullet"/>
      </w:pPr>
      <w:r>
        <w:rPr>
          <w:rFonts w:ascii="Arial" w:hAnsi="Arial"/>
          <w:sz w:val="22"/>
        </w:rPr>
        <w:t>Rates are decimals in [0, 1]; for example, 0.03 represents three percent.</w:t>
      </w:r>
    </w:p>
    <w:p>
      <w:pPr>
        <w:pStyle w:val="ListBullet"/>
      </w:pPr>
      <w:r>
        <w:rPr>
          <w:rFonts w:ascii="Arial" w:hAnsi="Arial"/>
          <w:sz w:val="22"/>
        </w:rPr>
        <w:t>Expected-loss rate = PD × LGD, shown in basis points (bps); 1 bp = 0.01%, so 14 bps = 0.14%.</w:t>
      </w:r>
    </w:p>
    <w:p>
      <w:pPr>
        <w:pStyle w:val="ListBullet"/>
      </w:pPr>
      <w:r>
        <w:rPr>
          <w:rFonts w:ascii="Arial" w:hAnsi="Arial"/>
          <w:sz w:val="22"/>
        </w:rPr>
        <w:t>Stressed PD/LGD apply 1.5× / 1.2× multipliers, floored at APS 113 bands.</w:t>
      </w:r>
    </w:p>
    <w:p>
      <w:pPr>
        <w:pStyle w:val="ListBullet"/>
      </w:pPr>
      <w:r>
        <w:rPr>
          <w:rFonts w:ascii="Arial" w:hAnsi="Arial"/>
          <w:sz w:val="22"/>
        </w:rPr>
        <w:t>"As-of" is the disclosure date of the most recent source.</w:t>
      </w:r>
    </w:p>
    <w:p>
      <w:r>
        <w:rPr>
          <w:rFonts w:ascii="Arial" w:hAnsi="Arial"/>
          <w:b/>
          <w:sz w:val="28"/>
        </w:rPr>
        <w:t>1. PD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pd_decimal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source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ANZ_PILLAR3_CRE_PD_2024H2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MACQUARIE_BANK_COMMERCIAL_PROPERTY_INVESTMENT_PD_H1FY2026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WBC_PILLAR3_CRE_PD_2024H2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MACQUARIE_BANK_CORPORATE_GENERAL_PD_H1FY2026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ANZ_PILLAR3_CORP_SME_2024H2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MACQUARIE_BANK_CORPORATE_SME_PD_H1FY2026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WBC_PILLAR3_CORP_SME_2024H2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APS113_SLOTTING_GOOD_PD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APS113_SLOTTING_SATIS_PD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APS113_SLOTTING_STRONG_PD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APS113_SLOTTING_WEAK_PD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MACQUARIE_BANK_FINANCIAL_INSTITUTION_PD_H1FY2026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ANZ_PILLAR3_RES_2024H2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MACQUARIE_BANK_RESIDENTIAL_MORTGAGE_PD_H1FY2026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WBC_PILLAR3_RES_2024H2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MACQUARIE_BANK_RETAIL_OTHER_PD_H1FY2026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MACQUARIE_BANK_RETAIL_SME_PD_H1FY2026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MACQUARIE_BANK_SOVEREIGN_PD_H1FY2026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p>
      <w:r>
        <w:rPr>
          <w:rFonts w:ascii="Arial" w:hAnsi="Arial"/>
          <w:b/>
          <w:sz w:val="28"/>
        </w:rPr>
        <w:t>2. LGD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lgd_decimal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source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0.17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APS113_CRE_LGD_FLOOR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MACQUARIE_BANK_COMMERCIAL_PROPERTY_INVESTMENT_LGD_H1FY2026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MACQUARIE_BANK_CORPORATE_GENERAL_LGD_H1FY2026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MACQUARIE_BANK_CORPORATE_SME_LGD_H1FY2026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APS113_SLOTTING_GOOD_LGD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APS113_SLOTTING_SATIS_LGD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APS113_SLOTTING_STRONG_LGD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APS113_SLOTTING_WEAK_LGD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0.49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MACQUARIE_BANK_FINANCIAL_INSTITUTION_LGD_H1FY2026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Invoice Finance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invoice_finance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APS113_INVOICE_LGD_FLOOR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APS113_RES_LGD_FLOOR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CBA_PILLAR3_RES_LGD_2024H2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0.13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MACQUARIE_BANK_RESIDENTIAL_MORTGAGE_LGD_H1FY2026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NAB_PILLAR3_RES_LGD_2024H2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MACQUARIE_BANK_RETAIL_OTHER_LGD_H1FY2026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MACQUARIE_BANK_RETAIL_SME_LGD_H1FY2026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MACQUARIE_BANK_SOVEREIGN_LGD_H1FY2026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Working Capital Unsecured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line_of_credit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APS113_UNSECURED_LGD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Working Capital Unsecured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line_of_credit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CBA_PILLAR3_SME_UNSECURED_LGD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</w:tbl>
    <w:p>
      <w:r>
        <w:rPr>
          <w:rFonts w:ascii="Arial" w:hAnsi="Arial"/>
          <w:b/>
          <w:sz w:val="28"/>
        </w:rPr>
        <w:t>3. Expected Loss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pd_decimal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lgd_decimal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el_rate_bps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pd_n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lgd_n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0.21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46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77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117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0.35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63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0.49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24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0.17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14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0.36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57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120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 bps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p>
      <w:r>
        <w:rPr>
          <w:rFonts w:ascii="Arial" w:hAnsi="Arial"/>
          <w:b/>
          <w:sz w:val="28"/>
        </w:rPr>
        <w:t>4. Stress Testing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base_el_bps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stressed_pd_decimal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stressed_lgd_decimal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stressed_el_bps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46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0.25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125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77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139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117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0.06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301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63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0.42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210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24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0.59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43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14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0.21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25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57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0.44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102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120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0.04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215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5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0.06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8 bps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p>
      <w:r>
        <w:rPr>
          <w:rFonts w:ascii="Arial" w:hAnsi="Arial"/>
          <w:b/>
          <w:sz w:val="28"/>
        </w:rPr>
        <w:t>5. Portfolio Monitor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arrears_decimal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npl_decimal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impaired_decimal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loss_rate_decimal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sources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ADI Sector Total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adi_sector_total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Bridging Residential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bridging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0.08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Consumer Secured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consumer_secured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Invoice Finance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invoice_finance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2026-02-28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 Mortgage Specialist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residential_mortgage_specialist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2026-02-28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SME Corporate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</w:tbl>
    <w:p>
      <w:r>
        <w:rPr>
          <w:rFonts w:ascii="Arial" w:hAnsi="Arial"/>
          <w:b/>
          <w:sz w:val="28"/>
        </w:rPr>
        <w:t>6. Per-Bank Industry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bank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industry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exposure_aud_m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npe_aud_m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npe_decimal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provision_aud_m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write_offs_aud_m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write_off_decimal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 &amp; Forestry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33156.00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343.00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Business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15143.00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97549.00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353.00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11623.00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Consumer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828841.00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8205.00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Electricity, Gas &amp; Water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14049.00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Entertainment, Leisure &amp; Tourism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19340.00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Finance &amp;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40764.00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 Administration &amp; Defence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153882.00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Health &amp; Community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15212.00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16717.00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Mining, Oil &amp; Gas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3434.00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29667.00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&amp;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22708.00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Wholesale &amp; Retail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29785.00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Accommodation and hospitality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14704.00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Agriculture, forestry, fishing and mining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69428.00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1809.00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Business services and property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23174.00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544.00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94697.00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1125.00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15140.00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393.00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Finance and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170647.00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 and public authorities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75817.00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21932.00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659.00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31383.00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Personal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20790.00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Residential mortgages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496085.00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5401.00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Retail and wholesale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36531.00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647.00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and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22584.00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376.00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Utilities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25787.00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270.00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Accommodation, cafes and restaurants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12977.00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Agriculture, forestry and fishing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26642.00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459.00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12718.00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303.00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Finance and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81032.00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Government, administration and defence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117150.00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20002.00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Mining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5929.00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11456.00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86453.00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Property services and business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22400.00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Retail lending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673155.00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6146.00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693.00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22989.00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29138.00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582.00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and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17931.00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Utilities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20014.00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Agriculture, Forestry, Fishing &amp; Mining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55628.00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671.00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Business &amp; Property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23532.00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80758.00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13211.00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Electricity, Gas &amp; Water Supply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23658.00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Entertainment, Leisure &amp; Tourism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17670.00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Financial, Investment &amp;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402472.00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 &amp; Official Institutions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146648.00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50831.00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32415.00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Personal Lending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20788.00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554118.00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5987.00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Retail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17969.00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&amp;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21170.00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Wholesale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25252.00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