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External Benchmark Calibration Report — Q3 2025</w:t>
      </w:r>
    </w:p>
    <w:p>
      <w:r>
        <w:rPr>
          <w:rFonts w:ascii="Arial" w:hAnsi="Arial"/>
          <w:i/>
          <w:sz w:val="24"/>
        </w:rPr>
        <w:t>Model Risk Committee — 2026-04-22</w:t>
      </w:r>
    </w:p>
    <w:p>
      <w:r>
        <w:rPr>
          <w:rFonts w:ascii="Arial" w:hAnsi="Arial"/>
          <w:b/>
          <w:sz w:val="28"/>
        </w:rPr>
        <w:t>1. Executive Summary</w:t>
      </w:r>
    </w:p>
    <w:p>
      <w:r>
        <w:rPr>
          <w:rFonts w:ascii="Arial" w:hAnsi="Arial"/>
          <w:b w:val="0"/>
          <w:i w:val="0"/>
          <w:sz w:val="22"/>
        </w:rPr>
        <w:t>This calibration draws on 625 external benchmark entries across 6 publishers (APRA, CBA, NAB, WBC, ANZ, ASIC+ABS) covering 34 asset-class segments. The flagship CBA CRE PD of 2.50% flows through the adjustment chain to 2.50% for bank institutions and 5.38% for private credit — the engine's canonical regression test. HIGH-severity peer divergence: WBC corporate_general lgd at 6.10× peer median.</w:t>
      </w:r>
    </w:p>
    <w:p>
      <w:pPr>
        <w:pStyle w:val="ListBullet"/>
      </w:pPr>
      <w:r>
        <w:rPr>
          <w:rFonts w:ascii="Arial" w:hAnsi="Arial"/>
          <w:sz w:val="22"/>
        </w:rPr>
        <w:t>Segments covered: 34</w:t>
      </w:r>
    </w:p>
    <w:p>
      <w:pPr>
        <w:pStyle w:val="ListBullet"/>
      </w:pPr>
      <w:r>
        <w:rPr>
          <w:rFonts w:ascii="Arial" w:hAnsi="Arial"/>
          <w:sz w:val="22"/>
        </w:rPr>
        <w:t>Benchmark entries: 625</w:t>
      </w:r>
    </w:p>
    <w:p>
      <w:pPr>
        <w:pStyle w:val="ListBullet"/>
      </w:pPr>
      <w:r>
        <w:rPr>
          <w:rFonts w:ascii="Arial" w:hAnsi="Arial"/>
          <w:sz w:val="22"/>
        </w:rPr>
        <w:t>Entries by source type: {'pillar3': 321, 'apra_adi': 228, 'insolvency': 76}</w:t>
      </w:r>
    </w:p>
    <w:p>
      <w:pPr>
        <w:pStyle w:val="ListBullet"/>
      </w:pPr>
      <w:r>
        <w:rPr>
          <w:rFonts w:ascii="Arial" w:hAnsi="Arial"/>
          <w:sz w:val="22"/>
        </w:rPr>
        <w:t>Stale sources flagged: 0</w:t>
      </w:r>
    </w:p>
    <w:p>
      <w:pPr>
        <w:pStyle w:val="ListBullet"/>
      </w:pPr>
      <w:r>
        <w:rPr>
          <w:rFonts w:ascii="Arial" w:hAnsi="Arial"/>
          <w:sz w:val="22"/>
        </w:rPr>
        <w:t>Institution type: bank</w:t>
      </w:r>
    </w:p>
    <w:p>
      <w:pPr>
        <w:pStyle w:val="ListBullet"/>
      </w:pPr>
      <w:r>
        <w:rPr>
          <w:rFonts w:ascii="Arial" w:hAnsi="Arial"/>
          <w:sz w:val="22"/>
        </w:rPr>
        <w:t>Period: Q3 2025</w:t>
      </w:r>
    </w:p>
    <w:p>
      <w:r>
        <w:rPr>
          <w:rFonts w:ascii="Arial" w:hAnsi="Arial"/>
          <w:b/>
          <w:i w:val="0"/>
          <w:sz w:val="22"/>
        </w:rPr>
        <w:t>Flagship comparison: 2.5000% raw CBA CRE PD -&gt; Bank 2.5000% / PC 5.3763% (2.15x).</w:t>
      </w:r>
    </w:p>
    <w:p>
      <w:r>
        <w:rPr>
          <w:rFonts w:ascii="Arial" w:hAnsi="Arial"/>
          <w:b/>
          <w:sz w:val="28"/>
        </w:rPr>
        <w:t>2. Source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source_id</w:t>
            </w:r>
          </w:p>
        </w:tc>
        <w:tc>
          <w:tcPr>
            <w:tcW w:type="dxa" w:w="1337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publisher</w:t>
            </w:r>
          </w:p>
        </w:tc>
        <w:tc>
          <w:tcPr>
            <w:tcW w:type="dxa" w:w="1337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source_type</w:t>
            </w:r>
          </w:p>
        </w:tc>
        <w:tc>
          <w:tcPr>
            <w:tcW w:type="dxa" w:w="1337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asset_class</w:t>
            </w:r>
          </w:p>
        </w:tc>
        <w:tc>
          <w:tcPr>
            <w:tcW w:type="dxa" w:w="1337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data_type</w:t>
            </w:r>
          </w:p>
        </w:tc>
        <w:tc>
          <w:tcPr>
            <w:tcW w:type="dxa" w:w="1337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value</w:t>
            </w:r>
          </w:p>
        </w:tc>
        <w:tc>
          <w:tcPr>
            <w:tcW w:type="dxa" w:w="1337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retrieval_date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ANZ_CORPORATE_GENERAL_0P00_TO_LT0P15_LGD_LGD_2025Q3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corporate_general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0.52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ANZ_CORPORATE_GENERAL_0P15_TO_LT0P25_LGD_LGD_2025Q3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corporate_general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0.5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ANZ_CORPORATE_GENERAL_0P25_TO_LT0P50_LGD_LGD_2025Q3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corporate_general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0.29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ANZ_CORPORATE_GENERAL_0P50_TO_LT0P75_LGD_LGD_2025Q3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corporate_general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0.31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ANZ_CORPORATE_GENERAL_0P75_TO_LT2P50_LGD_LGD_2025Q3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corporate_general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0.32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ANZ_CORPORATE_GENERAL_0P75_TO_LT2P50_PD_PD_2025Q3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corporate_general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0.014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ANZ_CORPORATE_GENERAL_100P00_DEFAULT_LGD_LGD_2025Q3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corporate_general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0.32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ANZ_CORPORATE_GENERAL_10P00_TO_LT100P00_LGD_LGD_2025Q3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corporate_general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0.4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ANZ_CORPORATE_GENERAL_2P50_TO_LT10P00_LGD_LGD_2025Q3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corporate_general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ANZ_CORPORATE_GENERAL_2P50_TO_LT10P00_PD_PD_2025Q3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corporate_general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0.0479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ANZ_DEVELOPMENT_DEFAULT_RISK_WEIGHT_SUPERVISORY_VALUE_2025Q3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development_default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supervisory_value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ANZ_DEVELOPMENT_GOOD_RISK_WEIGHT_SUPERVISORY_VALUE_2025Q3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development_good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supervisory_value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0.9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ANZ_DEVELOPMENT_STRONG_RISK_WEIGHT_SUPERVISORY_VALUE_2025Q3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development_strong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supervisory_value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0.7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ANZ_FINANCIAL_INSTITUTION_0P00_TO_LT0P15_LGD_LGD_2025Q3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financial_institution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0.48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ANZ_FINANCIAL_INSTITUTION_0P00_TO_LT0P15_PD_PD_2025Q3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financial_institution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0.0006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ANZ_FINANCIAL_INSTITUTION_0P15_TO_LT0P25_LGD_LGD_2025Q3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financial_institution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0.51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ANZ_FINANCIAL_INSTITUTION_0P15_TO_LT0P25_PD_PD_2025Q3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financial_institution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0.002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ANZ_FINANCIAL_INSTITUTION_0P25_TO_LT0P50_LGD_LGD_2025Q3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financial_institution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0.48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ANZ_FINANCIAL_INSTITUTION_0P25_TO_LT0P50_PD_PD_2025Q3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financial_institution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0.0035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ANZ_FINANCIAL_INSTITUTION_0P50_TO_LT0P75_LGD_LGD_2025Q3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financial_institution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0.49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ANZ_FINANCIAL_INSTITUTION_0P50_TO_LT0P75_PD_PD_2025Q3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financial_institution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0.0059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ANZ_FINANCIAL_INSTITUTION_0P75_TO_LT2P50_LGD_LGD_2025Q3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financial_institution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0.42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ANZ_FINANCIAL_INSTITUTION_0P75_TO_LT2P50_PD_PD_2025Q3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financial_institution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0.0128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ANZ_FINANCIAL_INSTITUTION_100P00_DEFAULT_LGD_LGD_2025Q3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financial_institution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0.5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ANZ_FINANCIAL_INSTITUTION_100P00_DEFAULT_PD_PD_2025Q3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financial_institution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1.0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ANZ_FINANCIAL_INSTITUTION_10P00_TO_LT100P00_LGD_LGD_2025Q3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financial_institution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0.48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ANZ_FINANCIAL_INSTITUTION_10P00_TO_LT100P00_PD_PD_2025Q3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financial_institution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0.3486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ANZ_FINANCIAL_INSTITUTION_2P50_TO_LT10P00_LGD_LGD_2025Q3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financial_institution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0.41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ANZ_FINANCIAL_INSTITUTION_2P50_TO_LT10P00_PD_PD_2025Q3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financial_institution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0.0409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ANZ_RESIDENTIAL_MORTGAGE_0P00_TO_LT0P15_LGD_LGD_2025Q3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0.16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ANZ_RESIDENTIAL_MORTGAGE_0P15_TO_LT0P25_LGD_LGD_2025Q3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0.17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ANZ_RESIDENTIAL_MORTGAGE_0P25_TO_LT0P50_LGD_LGD_2025Q3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0.18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ANZ_RESIDENTIAL_MORTGAGE_0P25_TO_LT0P50_PD_PD_2025Q3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0.0037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ANZ_RESIDENTIAL_MORTGAGE_0P50_TO_LT0P75_LGD_LGD_2025Q3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0.19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ANZ_RESIDENTIAL_MORTGAGE_0P50_TO_LT0P75_PD_PD_2025Q3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0.0066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ANZ_RESIDENTIAL_MORTGAGE_0P75_TO_LT2P50_LGD_LGD_2025Q3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0.2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ANZ_RESIDENTIAL_MORTGAGE_0P75_TO_LT2P50_PD_PD_2025Q3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0.0137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ANZ_RESIDENTIAL_MORTGAGE_100P00_DEFAULT_LGD_LGD_2025Q3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0.2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ANZ_RESIDENTIAL_MORTGAGE_10P00_TO_LT100P00_LGD_LGD_2025Q3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0.2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ANZ_RESIDENTIAL_MORTGAGE_2P50_TO_LT10P00_LGD_LGD_2025Q3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0.21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ANZ_RETAIL_OTHER_0P00_TO_LT0P15_LGD_LGD_2025Q3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retail_other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0.77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ANZ_RETAIL_OTHER_0P00_TO_LT0P15_PD_PD_2025Q3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retail_other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0.0011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ANZ_RETAIL_OTHER_0P15_TO_LT0P25_LGD_LGD_2025Q3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retail_other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0.78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ANZ_RETAIL_OTHER_0P15_TO_LT0P25_PD_PD_2025Q3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retail_other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0.0019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ANZ_RETAIL_OTHER_0P25_TO_LT0P50_LGD_LGD_2025Q3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retail_other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0.78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ANZ_RETAIL_OTHER_0P25_TO_LT0P50_PD_PD_2025Q3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retail_other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0.0034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ANZ_RETAIL_OTHER_0P50_TO_LT0P75_LGD_LGD_2025Q3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retail_other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0.81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ANZ_RETAIL_OTHER_0P50_TO_LT0P75_PD_PD_2025Q3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retail_other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0.0062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ANZ_RETAIL_OTHER_0P75_TO_LT2P50_LGD_LGD_2025Q3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retail_other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0.78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ANZ_RETAIL_OTHER_0P75_TO_LT2P50_PD_PD_2025Q3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retail_other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0.0128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ANZ_RETAIL_OTHER_100P00_DEFAULT_LGD_LGD_2025Q3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retail_other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0.81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ANZ_RETAIL_OTHER_100P00_DEFAULT_PD_PD_2025Q3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retail_other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1.0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ANZ_RETAIL_OTHER_10P00_TO_LT100P00_LGD_LGD_2025Q3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retail_other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0.86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ANZ_RETAIL_OTHER_10P00_TO_LT100P00_PD_PD_2025Q3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retail_other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0.1846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ANZ_RETAIL_OTHER_2P50_TO_LT10P00_LGD_LGD_2025Q3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retail_other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0.86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ANZ_RETAIL_OTHER_2P50_TO_LT10P00_PD_PD_2025Q3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retail_other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0.0459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ANZ_RETAIL_QRR_0P00_TO_LT0P15_LGD_LGD_2025Q3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retail_qrr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0.74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ANZ_RETAIL_QRR_0P00_TO_LT0P15_PD_PD_2025Q3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retail_qrr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0.0011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ANZ_RETAIL_QRR_0P15_TO_LT0P25_LGD_LGD_2025Q3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retail_qrr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0.74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ANZ_RETAIL_QRR_0P15_TO_LT0P25_PD_PD_2025Q3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retail_qrr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0.0019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ANZ_RETAIL_QRR_0P25_TO_LT0P50_LGD_LGD_2025Q3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retail_qrr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0.75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ANZ_RETAIL_QRR_0P25_TO_LT0P50_PD_PD_2025Q3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retail_qrr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0.0036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ANZ_RETAIL_QRR_0P50_TO_LT0P75_LGD_LGD_2025Q3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retail_qrr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0.74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ANZ_RETAIL_QRR_0P50_TO_LT0P75_PD_PD_2025Q3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retail_qrr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0.0065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ANZ_RETAIL_QRR_0P75_TO_LT2P50_LGD_LGD_2025Q3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retail_qrr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0.79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ANZ_RETAIL_QRR_0P75_TO_LT2P50_PD_PD_2025Q3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retail_qrr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0.0135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ANZ_RETAIL_QRR_100P00_DEFAULT_LGD_LGD_2025Q3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retail_qrr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0.76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ANZ_RETAIL_QRR_100P00_DEFAULT_PD_PD_2025Q3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retail_qrr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1.0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ANZ_RETAIL_QRR_10P00_TO_LT100P00_LGD_LGD_2025Q3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retail_qrr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0.81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ANZ_RETAIL_QRR_10P00_TO_LT100P00_PD_PD_2025Q3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retail_qrr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0.1977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ANZ_RETAIL_QRR_2P50_TO_LT10P00_LGD_LGD_2025Q3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retail_qrr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0.82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ANZ_RETAIL_QRR_2P50_TO_LT10P00_PD_PD_2025Q3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retail_qrr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0.0407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ANZ_RETAIL_SME_0P00_TO_LT0P15_LGD_LGD_2025Q3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retail_sme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0.14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ANZ_RETAIL_SME_0P15_TO_LT0P25_LGD_LGD_2025Q3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retail_sme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0.17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ANZ_RETAIL_SME_0P25_TO_LT0P50_LGD_LGD_2025Q3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retail_sme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0.27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ANZ_RETAIL_SME_0P50_TO_LT0P75_LGD_LGD_2025Q3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retail_sme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0.38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ANZ_RETAIL_SME_0P75_TO_LT2P50_LGD_LGD_2025Q3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retail_sme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0.26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ANZ_RETAIL_SME_0P75_TO_LT2P50_PD_PD_2025Q3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retail_sme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0.016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ANZ_RETAIL_SME_100P00_DEFAULT_LGD_LGD_2025Q3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retail_sme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0.4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ANZ_RETAIL_SME_10P00_TO_LT100P00_LGD_LGD_2025Q3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retail_sme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0.5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ANZ_RETAIL_SME_2P50_TO_LT10P00_LGD_LGD_2025Q3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retail_sme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0.29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ANZ_RETAIL_SME_2P50_TO_LT10P00_PD_PD_2025Q3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retail_sme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0.0442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ANZ_SOVEREIGN_0P00_TO_LT0P15_LGD_LGD_2025Q3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0.09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ANZ_SOVEREIGN_0P00_TO_LT0P15_PD_PD_2025Q3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0.0002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ANZ_SOVEREIGN_0P15_TO_LT0P25_LGD_LGD_2025Q3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0.5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ANZ_SOVEREIGN_0P15_TO_LT0P25_PD_PD_2025Q3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0.002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ANZ_SOVEREIGN_0P25_TO_LT0P50_LGD_LGD_2025Q3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0.5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ANZ_SOVEREIGN_0P25_TO_LT0P50_PD_PD_2025Q3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0.0027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ANZ_SOVEREIGN_0P50_TO_LT0P75_LGD_LGD_2025Q3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0.5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ANZ_SOVEREIGN_0P50_TO_LT0P75_PD_PD_2025Q3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0.0058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ANZ_SOVEREIGN_0P75_TO_LT2P50_LGD_LGD_2025Q3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0.5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ANZ_SOVEREIGN_0P75_TO_LT2P50_PD_PD_2025Q3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0.0132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ANZ_SOVEREIGN_100P00_DEFAULT_LGD_LGD_2025Q3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0.5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ANZ_SOVEREIGN_100P00_DEFAULT_PD_PD_2025Q3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1.0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ANZ_SOVEREIGN_10P00_TO_LT100P00_LGD_LGD_2025Q3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0.5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ANZ_SOVEREIGN_10P00_TO_LT100P00_PD_PD_2025Q3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0.2391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ANZ_SOVEREIGN_2P50_TO_LT10P00_LGD_LGD_2025Q3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lgd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0.5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ANZ_SOVEREIGN_2P50_TO_LT10P00_PD_PD_2025Q3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pillar3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pd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0.05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APRA_ADI_SECTOR_TOTAL_ALL_ADIS_NINETY_DPD_RATE_IMPAIRED_RATIO_2022Q1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APRA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apra_adi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adi_sector_total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impaired_ratio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0.006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2026-04-21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APRA_ADI_SECTOR_TOTAL_ALL_ADIS_NINETY_DPD_RATE_IMPAIRED_RATIO_2022Q2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APRA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apra_adi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adi_sector_total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impaired_ratio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0.005</w:t>
            </w:r>
          </w:p>
        </w:tc>
        <w:tc>
          <w:tcPr>
            <w:tcW w:type="dxa" w:w="1337"/>
          </w:tcPr>
          <w:p>
            <w:r/>
            <w:r>
              <w:rPr>
                <w:rFonts w:ascii="Arial" w:hAnsi="Arial"/>
                <w:sz w:val="22"/>
              </w:rPr>
              <w:t>2026-04-21</w:t>
            </w:r>
          </w:p>
        </w:tc>
      </w:tr>
    </w:tbl>
    <w:p>
      <w:r>
        <w:rPr>
          <w:rFonts w:ascii="Arial" w:hAnsi="Arial"/>
          <w:b/>
          <w:sz w:val="28"/>
        </w:rPr>
        <w:t>3. Adjustment Audit Trail</w:t>
      </w:r>
    </w:p>
    <w:p>
      <w:r>
        <w:rPr>
          <w:rFonts w:ascii="Arial" w:hAnsi="Arial"/>
          <w:b/>
          <w:sz w:val="24"/>
        </w:rPr>
        <w:t>corporate_sme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source_id</w:t>
            </w:r>
          </w:p>
        </w:tc>
        <w:tc>
          <w:tcPr>
            <w:tcW w:type="dxa" w:w="23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step_name</w:t>
            </w:r>
          </w:p>
        </w:tc>
        <w:tc>
          <w:tcPr>
            <w:tcW w:type="dxa" w:w="23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multiplier</w:t>
            </w:r>
          </w:p>
        </w:tc>
        <w:tc>
          <w:tcPr>
            <w:tcW w:type="dxa" w:w="23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rationale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CBA_CORPORATE_SME_0P75_TO_LT2P50_PD_PD_FY2025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peer_mix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1.0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Peer composition mix vs benchmark basket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CBA_CORPORATE_SME_2P50_TO_LT10P00_PD_PD_FY2025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peer_mix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1.0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Peer composition mix vs benchmark basket</w:t>
            </w:r>
          </w:p>
        </w:tc>
      </w:tr>
    </w:tbl>
    <w:p>
      <w:r>
        <w:rPr>
          <w:rFonts w:ascii="Arial" w:hAnsi="Arial"/>
          <w:b/>
          <w:sz w:val="24"/>
        </w:rPr>
        <w:t>residential_mortgage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source_id</w:t>
            </w:r>
          </w:p>
        </w:tc>
        <w:tc>
          <w:tcPr>
            <w:tcW w:type="dxa" w:w="23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step_name</w:t>
            </w:r>
          </w:p>
        </w:tc>
        <w:tc>
          <w:tcPr>
            <w:tcW w:type="dxa" w:w="23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multiplier</w:t>
            </w:r>
          </w:p>
        </w:tc>
        <w:tc>
          <w:tcPr>
            <w:tcW w:type="dxa" w:w="23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rationale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ANZ_RESIDENTIAL_MORTGAGE_0P25_TO_LT0P50_PD_PD_2025Q3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peer_mix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1.0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Peer composition mix vs benchmark basket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ANZ_RESIDENTIAL_MORTGAGE_0P50_TO_LT0P75_PD_PD_2025Q3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peer_mix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1.0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Peer composition mix vs benchmark basket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ANZ_RESIDENTIAL_MORTGAGE_0P75_TO_LT2P50_PD_PD_2025Q3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peer_mix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1.0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Peer composition mix vs benchmark basket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CBA_RESIDENTIAL_MORTGAGE_0P25_TO_LT0P50_PD_PD_FY2025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peer_mix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1.0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Peer composition mix vs benchmark basket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CBA_RESIDENTIAL_MORTGAGE_0P50_TO_LT0P75_PD_PD_FY2025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peer_mix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1.0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Peer composition mix vs benchmark basket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CBA_RESIDENTIAL_MORTGAGE_0P75_TO_LT2P50_PD_PD_FY2025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peer_mix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1.0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Peer composition mix vs benchmark basket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WBC_RESIDENTIAL_MORTGAGE_0P75_TO_LT2P50_PD_PD_2025Q3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peer_mix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1.0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Peer composition mix vs benchmark basket</w:t>
            </w:r>
          </w:p>
        </w:tc>
      </w:tr>
    </w:tbl>
    <w:p>
      <w:r>
        <w:rPr>
          <w:rFonts w:ascii="Arial" w:hAnsi="Arial"/>
          <w:b/>
          <w:sz w:val="28"/>
        </w:rPr>
        <w:t>4. Triangulated Values</w:t>
      </w:r>
    </w:p>
    <w:p>
      <w:r>
        <w:rPr>
          <w:rFonts w:ascii="Arial" w:hAnsi="Arial"/>
          <w:b w:val="0"/>
          <w:i w:val="0"/>
          <w:sz w:val="22"/>
        </w:rPr>
        <w:t>Triangulation synthesises multiple sources into a single benchmark per asset-class × data-type × period using peer-median across the Big 4 cohort. Outliers exceeding 3× the median are excluded and surfaced in Section 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segment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benchmark_value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method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source_count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confidence_n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corporate_sme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0.02635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weighted_by_years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40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0.008329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weighted_by_years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140</w:t>
            </w:r>
          </w:p>
        </w:tc>
      </w:tr>
    </w:tbl>
    <w:p>
      <w:r>
        <w:rPr>
          <w:rFonts w:ascii="Arial" w:hAnsi="Arial"/>
          <w:b/>
          <w:sz w:val="28"/>
        </w:rPr>
        <w:t>5. Calibration Outputs (5 methods)</w:t>
      </w:r>
    </w:p>
    <w:p>
      <w:r>
        <w:rPr>
          <w:rFonts w:ascii="Arial" w:hAnsi="Arial"/>
          <w:b w:val="0"/>
          <w:i w:val="0"/>
          <w:sz w:val="22"/>
        </w:rPr>
        <w:t>Each segment's triangulated value is run through five calibration methods: central tendency, logistic recalibration, Bayesian blending, external blending, and Pluto-Tasche (comparison only). Methods converge when the cohort is large; they diverge when confidence_n is small.</w:t>
      </w:r>
    </w:p>
    <w:p>
      <w:r>
        <w:rPr>
          <w:rFonts w:ascii="Arial" w:hAnsi="Arial"/>
          <w:b/>
          <w:sz w:val="24"/>
        </w:rPr>
        <w:t>corporate_sme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method</w:t>
            </w:r>
          </w:p>
        </w:tc>
        <w:tc>
          <w:tcPr>
            <w:tcW w:type="dxa" w:w="23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value</w:t>
            </w:r>
          </w:p>
        </w:tc>
        <w:tc>
          <w:tcPr>
            <w:tcW w:type="dxa" w:w="23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floor_triggered</w:t>
            </w:r>
          </w:p>
        </w:tc>
        <w:tc>
          <w:tcPr>
            <w:tcW w:type="dxa" w:w="23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extras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central_tendency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0.02635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logistic_recalibration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0.02635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confidence_n=40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bayesian_blending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0.02635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confidence_n=40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external_blending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0.02635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internal_weight=0.9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pluto_tasche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0.02635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role=comparison_only</w:t>
            </w:r>
          </w:p>
        </w:tc>
      </w:tr>
    </w:tbl>
    <w:p>
      <w:r>
        <w:rPr>
          <w:rFonts w:ascii="Arial" w:hAnsi="Arial"/>
          <w:b/>
          <w:sz w:val="24"/>
        </w:rPr>
        <w:t>residential_mortgage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method</w:t>
            </w:r>
          </w:p>
        </w:tc>
        <w:tc>
          <w:tcPr>
            <w:tcW w:type="dxa" w:w="23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value</w:t>
            </w:r>
          </w:p>
        </w:tc>
        <w:tc>
          <w:tcPr>
            <w:tcW w:type="dxa" w:w="23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floor_triggered</w:t>
            </w:r>
          </w:p>
        </w:tc>
        <w:tc>
          <w:tcPr>
            <w:tcW w:type="dxa" w:w="23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extras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central_tendency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0.008329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logistic_recalibration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0.008329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confidence_n=140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bayesian_blending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0.008329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confidence_n=140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external_blending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0.008329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internal_weight=0.9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pluto_tasche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0.008329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role=comparison_only</w:t>
            </w:r>
          </w:p>
        </w:tc>
      </w:tr>
    </w:tbl>
    <w:p>
      <w:r>
        <w:rPr>
          <w:rFonts w:ascii="Arial" w:hAnsi="Arial"/>
          <w:b/>
          <w:sz w:val="28"/>
        </w:rPr>
        <w:t>6. Downturn LGD</w:t>
      </w:r>
    </w:p>
    <w:p>
      <w:r>
        <w:rPr>
          <w:rFonts w:ascii="Arial" w:hAnsi="Arial"/>
          <w:b w:val="0"/>
          <w:i w:val="0"/>
          <w:sz w:val="22"/>
        </w:rPr>
        <w:t>Downturn LGD values are raw component-level benchmarks, not run through the PD adjustment chain. No regulatory floor applies. Values are sourced from Pillar 3 A-IRB disclosures and represent exposure-weighted long-run averages with a product-specific downturn uplift applied.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product</w:t>
            </w:r>
          </w:p>
        </w:tc>
        <w:tc>
          <w:tcPr>
            <w:tcW w:type="dxa" w:w="156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long_run_lgd</w:t>
            </w:r>
          </w:p>
        </w:tc>
        <w:tc>
          <w:tcPr>
            <w:tcW w:type="dxa" w:w="156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uplift</w:t>
            </w:r>
          </w:p>
        </w:tc>
        <w:tc>
          <w:tcPr>
            <w:tcW w:type="dxa" w:w="156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downturn_lgd</w:t>
            </w:r>
          </w:p>
        </w:tc>
        <w:tc>
          <w:tcPr>
            <w:tcW w:type="dxa" w:w="156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lgd_for_capital</w:t>
            </w:r>
          </w:p>
        </w:tc>
        <w:tc>
          <w:tcPr>
            <w:tcW w:type="dxa" w:w="156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lgd_for_ecl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residential_property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0.25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1.45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0.3625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0.3625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0.25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commercial_property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0.25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1.75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0.4375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0.4375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0.25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0.25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2.0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0.5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0.5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0.25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corporate_sme_secured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0.25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1.5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0.375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0.375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0.25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corporate_sme_unsecured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0.25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1.6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0.4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0.4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0.25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trade_finance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0.25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1.4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0.35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0.35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0.25</w:t>
            </w:r>
          </w:p>
        </w:tc>
      </w:tr>
    </w:tbl>
    <w:p>
      <w:r>
        <w:rPr>
          <w:rFonts w:ascii="Arial" w:hAnsi="Arial"/>
          <w:b/>
          <w:sz w:val="28"/>
        </w:rPr>
        <w:t>7. Bank vs Private Credit Comparison</w:t>
      </w:r>
    </w:p>
    <w:p>
      <w:r>
        <w:rPr>
          <w:rFonts w:ascii="Arial" w:hAnsi="Arial"/>
          <w:b w:val="0"/>
          <w:i w:val="0"/>
          <w:sz w:val="22"/>
        </w:rPr>
        <w:t>The same raw CBA CRE PD (2.50%) produces 2.50% for a bank-profile institution and 5.38% for private credit. The 2.15× spread reflects selection bias, higher LVR, and shorter sponsor trading history in the PC cohort — all calibrated per MRC-approved multiplier ranges documented in Section 3.</w:t>
      </w:r>
    </w:p>
    <w:p>
      <w:r>
        <w:rPr>
          <w:rFonts w:ascii="Arial" w:hAnsi="Arial"/>
          <w:b w:val="0"/>
          <w:i w:val="0"/>
          <w:sz w:val="22"/>
        </w:rPr>
        <w:t>Same raw CBA CRE PD of 2.5000% flows through both institutional chains. Bank adjustments are near-neutral (peer_mix 1.00); private credit applies selection_bias, LVR, and trading_history multipliers.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chain</w:t>
            </w:r>
          </w:p>
        </w:tc>
        <w:tc>
          <w:tcPr>
            <w:tcW w:type="dxa" w:w="23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adjusted_value</w:t>
            </w:r>
          </w:p>
        </w:tc>
        <w:tc>
          <w:tcPr>
            <w:tcW w:type="dxa" w:w="23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steps</w:t>
            </w:r>
          </w:p>
        </w:tc>
        <w:tc>
          <w:tcPr>
            <w:tcW w:type="dxa" w:w="23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final_multiplier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Bank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0.025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1.0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Private Credit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0.053763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2"/>
              </w:rPr>
              <w:t>2.1505</w:t>
            </w:r>
          </w:p>
        </w:tc>
      </w:tr>
    </w:tbl>
    <w:p>
      <w:r>
        <w:rPr>
          <w:rFonts w:ascii="Arial" w:hAnsi="Arial"/>
          <w:b/>
          <w:i w:val="0"/>
          <w:sz w:val="22"/>
        </w:rPr>
        <w:t>PC / Bank ratio: 2.15x</w:t>
      </w:r>
    </w:p>
    <w:p>
      <w:r>
        <w:rPr>
          <w:rFonts w:ascii="Arial" w:hAnsi="Arial"/>
          <w:b/>
          <w:sz w:val="28"/>
        </w:rPr>
        <w:t>8. Data Governance</w:t>
      </w:r>
    </w:p>
    <w:p>
      <w:r>
        <w:rPr>
          <w:rFonts w:ascii="Arial" w:hAnsi="Arial"/>
          <w:b w:val="0"/>
          <w:i w:val="0"/>
          <w:sz w:val="22"/>
        </w:rPr>
        <w:t>Governance reports run automatically against every benchmark at each calibration cycle. Flags are grouped by rule and dimension below; detailed findings are in the technical appendix.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report_type</w:t>
            </w:r>
          </w:p>
        </w:tc>
        <w:tc>
          <w:tcPr>
            <w:tcW w:type="dxa" w:w="312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flag_count</w:t>
            </w:r>
          </w:p>
        </w:tc>
        <w:tc>
          <w:tcPr>
            <w:tcW w:type="dxa" w:w="312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finding_count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2"/>
              </w:rPr>
              <w:t>stale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2"/>
              </w:rPr>
              <w:t>625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2"/>
              </w:rPr>
              <w:t>quality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2"/>
              </w:rPr>
              <w:t>76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2"/>
              </w:rPr>
              <w:t>625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2"/>
              </w:rPr>
              <w:t>coverage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2"/>
              </w:rPr>
              <w:t>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2"/>
              </w:rPr>
              <w:t>pillar3_divergence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2"/>
              </w:rPr>
              <w:t>68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2"/>
              </w:rPr>
              <w:t>318</w:t>
            </w:r>
          </w:p>
        </w:tc>
      </w:tr>
    </w:tbl>
    <w:p>
      <w:r>
        <w:rPr>
          <w:rFonts w:ascii="Arial" w:hAnsi="Arial"/>
          <w:b/>
          <w:sz w:val="24"/>
        </w:rPr>
        <w:t>Flags (grouped)</w:t>
      </w:r>
    </w:p>
    <w:p>
      <w:pPr>
        <w:pStyle w:val="ListBullet"/>
      </w:pPr>
      <w:r>
        <w:rPr>
          <w:rFonts w:ascii="Arial" w:hAnsi="Arial"/>
          <w:sz w:val="22"/>
        </w:rPr>
        <w:t>low_quality · ASIC_ABS · frequency — 76 findings across 19 ANZSIC industry divisions, FY2022Q2–FY2025Q2. Quarterly frequency-dimension flags on annual-cadence failure-rate data; expected behaviour of the quality rule, not a data issue.</w:t>
      </w:r>
    </w:p>
    <w:p>
      <w:pPr>
        <w:pStyle w:val="ListBullet"/>
      </w:pPr>
      <w:r>
        <w:rPr>
          <w:rFonts w:ascii="Arial" w:hAnsi="Arial"/>
          <w:sz w:val="22"/>
        </w:rPr>
        <w:t>pillar3_divergence · ANZ · vs peer median — 24 findings. Sources where a bank's value diverges materially from the Big 4 peer median. See detailed table in Technical Appendix §8.</w:t>
      </w:r>
    </w:p>
    <w:p>
      <w:pPr>
        <w:pStyle w:val="ListBullet"/>
      </w:pPr>
      <w:r>
        <w:rPr>
          <w:rFonts w:ascii="Arial" w:hAnsi="Arial"/>
          <w:sz w:val="22"/>
        </w:rPr>
        <w:t>pillar3_divergence · CBA · vs peer median — 26 findings. Sources where a bank's value diverges materially from the Big 4 peer median. See detailed table in Technical Appendix §8.</w:t>
      </w:r>
    </w:p>
    <w:p>
      <w:pPr>
        <w:pStyle w:val="ListBullet"/>
      </w:pPr>
      <w:r>
        <w:rPr>
          <w:rFonts w:ascii="Arial" w:hAnsi="Arial"/>
          <w:sz w:val="22"/>
        </w:rPr>
        <w:t>pillar3_divergence · WBC · vs peer median — 18 findings. Sources where a bank's value diverges materially from the Big 4 peer median. See detailed table in Technical Appendix §8.</w:t>
      </w:r>
    </w:p>
    <w:p>
      <w:r>
        <w:rPr>
          <w:rFonts w:ascii="Arial" w:hAnsi="Arial"/>
          <w:b/>
          <w:sz w:val="28"/>
        </w:rPr>
        <w:t>9. Version History</w:t>
      </w:r>
    </w:p>
    <w:p>
      <w:r>
        <w:rPr>
          <w:rFonts w:ascii="Arial" w:hAnsi="Arial"/>
          <w:b w:val="0"/>
          <w:i w:val="0"/>
          <w:sz w:val="22"/>
        </w:rPr>
        <w:t>This calibration is reproducible from source_id + version. Prior versions are preserved via immutable supersession; a point-in-time re-run of any previous period will reproduce the exact values used at that cycle.</w:t>
      </w:r>
    </w:p>
    <w:p>
      <w:r>
        <w:rPr>
          <w:rFonts w:ascii="Arial" w:hAnsi="Arial"/>
          <w:b w:val="0"/>
          <w:i/>
          <w:sz w:val="22"/>
        </w:rPr>
        <w:t>No prior period registry available for comparison. Showing current version count per source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source_id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current_version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latest_value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value_date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superseded_by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ANZ_CORPORATE_GENERAL_0P00_TO_LT0P15_LGD_LGD_2025Q3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0.52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ANZ_CORPORATE_GENERAL_0P15_TO_LT0P25_LGD_LGD_2025Q3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ANZ_CORPORATE_GENERAL_0P25_TO_LT0P50_LGD_LGD_2025Q3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0.29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ANZ_CORPORATE_GENERAL_0P50_TO_LT0P75_LGD_LGD_2025Q3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0.31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ANZ_CORPORATE_GENERAL_0P75_TO_LT2P50_LGD_LGD_2025Q3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0.32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ANZ_CORPORATE_GENERAL_0P75_TO_LT2P50_PD_PD_2025Q3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0.014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ANZ_CORPORATE_GENERAL_100P00_DEFAULT_LGD_LGD_2025Q3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0.32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ANZ_CORPORATE_GENERAL_10P00_TO_LT100P00_LGD_LGD_2025Q3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ANZ_CORPORATE_GENERAL_2P50_TO_LT10P00_LGD_LGD_2025Q3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ANZ_CORPORATE_GENERAL_2P50_TO_LT10P00_PD_PD_2025Q3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0.0479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ANZ_DEVELOPMENT_DEFAULT_RISK_WEIGHT_SUPERVISORY_VALUE_2025Q3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ANZ_DEVELOPMENT_GOOD_RISK_WEIGHT_SUPERVISORY_VALUE_2025Q3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0.9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ANZ_DEVELOPMENT_STRONG_RISK_WEIGHT_SUPERVISORY_VALUE_2025Q3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0.7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ANZ_FINANCIAL_INSTITUTION_0P00_TO_LT0P15_LGD_LGD_2025Q3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0.48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ANZ_FINANCIAL_INSTITUTION_0P00_TO_LT0P15_PD_PD_2025Q3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0.0006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ANZ_FINANCIAL_INSTITUTION_0P15_TO_LT0P25_LGD_LGD_2025Q3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0.51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ANZ_FINANCIAL_INSTITUTION_0P15_TO_LT0P25_PD_PD_2025Q3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0.002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ANZ_FINANCIAL_INSTITUTION_0P25_TO_LT0P50_LGD_LGD_2025Q3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0.48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ANZ_FINANCIAL_INSTITUTION_0P25_TO_LT0P50_PD_PD_2025Q3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0.0035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ANZ_FINANCIAL_INSTITUTION_0P50_TO_LT0P75_LGD_LGD_2025Q3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0.49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ANZ_FINANCIAL_INSTITUTION_0P50_TO_LT0P75_PD_PD_2025Q3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0.0059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ANZ_FINANCIAL_INSTITUTION_0P75_TO_LT2P50_LGD_LGD_2025Q3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0.42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ANZ_FINANCIAL_INSTITUTION_0P75_TO_LT2P50_PD_PD_2025Q3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0.0128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ANZ_FINANCIAL_INSTITUTION_100P00_DEFAULT_LGD_LGD_2025Q3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ANZ_FINANCIAL_INSTITUTION_100P00_DEFAULT_PD_PD_2025Q3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1.0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ANZ_FINANCIAL_INSTITUTION_10P00_TO_LT100P00_LGD_LGD_2025Q3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0.48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ANZ_FINANCIAL_INSTITUTION_10P00_TO_LT100P00_PD_PD_2025Q3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0.3486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ANZ_FINANCIAL_INSTITUTION_2P50_TO_LT10P00_LGD_LGD_2025Q3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0.41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ANZ_FINANCIAL_INSTITUTION_2P50_TO_LT10P00_PD_PD_2025Q3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0.0409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ANZ_RESIDENTIAL_MORTGAGE_0P00_TO_LT0P15_LGD_LGD_2025Q3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0.16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ANZ_RESIDENTIAL_MORTGAGE_0P15_TO_LT0P25_LGD_LGD_2025Q3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0.17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ANZ_RESIDENTIAL_MORTGAGE_0P25_TO_LT0P50_LGD_LGD_2025Q3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0.18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ANZ_RESIDENTIAL_MORTGAGE_0P25_TO_LT0P50_PD_PD_2025Q3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0.0037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ANZ_RESIDENTIAL_MORTGAGE_0P50_TO_LT0P75_LGD_LGD_2025Q3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0.19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ANZ_RESIDENTIAL_MORTGAGE_0P50_TO_LT0P75_PD_PD_2025Q3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0.0066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ANZ_RESIDENTIAL_MORTGAGE_0P75_TO_LT2P50_LGD_LGD_2025Q3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ANZ_RESIDENTIAL_MORTGAGE_0P75_TO_LT2P50_PD_PD_2025Q3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0.0137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ANZ_RESIDENTIAL_MORTGAGE_100P00_DEFAULT_LGD_LGD_2025Q3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ANZ_RESIDENTIAL_MORTGAGE_10P00_TO_LT100P00_LGD_LGD_2025Q3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ANZ_RESIDENTIAL_MORTGAGE_2P50_TO_LT10P00_LGD_LGD_2025Q3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0.21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ANZ_RETAIL_OTHER_0P00_TO_LT0P15_LGD_LGD_2025Q3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0.77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ANZ_RETAIL_OTHER_0P00_TO_LT0P15_PD_PD_2025Q3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0.0011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ANZ_RETAIL_OTHER_0P15_TO_LT0P25_LGD_LGD_2025Q3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0.78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ANZ_RETAIL_OTHER_0P15_TO_LT0P25_PD_PD_2025Q3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0.0019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ANZ_RETAIL_OTHER_0P25_TO_LT0P50_LGD_LGD_2025Q3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0.78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ANZ_RETAIL_OTHER_0P25_TO_LT0P50_PD_PD_2025Q3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0.0034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ANZ_RETAIL_OTHER_0P50_TO_LT0P75_LGD_LGD_2025Q3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0.81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ANZ_RETAIL_OTHER_0P50_TO_LT0P75_PD_PD_2025Q3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0.0062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ANZ_RETAIL_OTHER_0P75_TO_LT2P50_LGD_LGD_2025Q3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0.78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ANZ_RETAIL_OTHER_0P75_TO_LT2P50_PD_PD_2025Q3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0.0128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ANZ_RETAIL_OTHER_100P00_DEFAULT_LGD_LGD_2025Q3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0.81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ANZ_RETAIL_OTHER_100P00_DEFAULT_PD_PD_2025Q3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1.0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ANZ_RETAIL_OTHER_10P00_TO_LT100P00_LGD_LGD_2025Q3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0.86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ANZ_RETAIL_OTHER_10P00_TO_LT100P00_PD_PD_2025Q3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0.1846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ANZ_RETAIL_OTHER_2P50_TO_LT10P00_LGD_LGD_2025Q3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0.86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ANZ_RETAIL_OTHER_2P50_TO_LT10P00_PD_PD_2025Q3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0.0459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ANZ_RETAIL_QRR_0P00_TO_LT0P15_LGD_LGD_2025Q3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0.74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ANZ_RETAIL_QRR_0P00_TO_LT0P15_PD_PD_2025Q3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0.0011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ANZ_RETAIL_QRR_0P15_TO_LT0P25_LGD_LGD_2025Q3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0.74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ANZ_RETAIL_QRR_0P15_TO_LT0P25_PD_PD_2025Q3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0.0019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ANZ_RETAIL_QRR_0P25_TO_LT0P50_LGD_LGD_2025Q3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0.75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ANZ_RETAIL_QRR_0P25_TO_LT0P50_PD_PD_2025Q3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0.0036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ANZ_RETAIL_QRR_0P50_TO_LT0P75_LGD_LGD_2025Q3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0.74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ANZ_RETAIL_QRR_0P50_TO_LT0P75_PD_PD_2025Q3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0.0065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ANZ_RETAIL_QRR_0P75_TO_LT2P50_LGD_LGD_2025Q3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0.79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ANZ_RETAIL_QRR_0P75_TO_LT2P50_PD_PD_2025Q3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0.0135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ANZ_RETAIL_QRR_100P00_DEFAULT_LGD_LGD_2025Q3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0.76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ANZ_RETAIL_QRR_100P00_DEFAULT_PD_PD_2025Q3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1.0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ANZ_RETAIL_QRR_10P00_TO_LT100P00_LGD_LGD_2025Q3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0.81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ANZ_RETAIL_QRR_10P00_TO_LT100P00_PD_PD_2025Q3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0.1977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ANZ_RETAIL_QRR_2P50_TO_LT10P00_LGD_LGD_2025Q3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0.82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ANZ_RETAIL_QRR_2P50_TO_LT10P00_PD_PD_2025Q3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0.0407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ANZ_RETAIL_SME_0P00_TO_LT0P15_LGD_LGD_2025Q3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0.14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ANZ_RETAIL_SME_0P15_TO_LT0P25_LGD_LGD_2025Q3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0.17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ANZ_RETAIL_SME_0P25_TO_LT0P50_LGD_LGD_2025Q3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0.27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ANZ_RETAIL_SME_0P50_TO_LT0P75_LGD_LGD_2025Q3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0.38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ANZ_RETAIL_SME_0P75_TO_LT2P50_LGD_LGD_2025Q3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ANZ_RETAIL_SME_0P75_TO_LT2P50_PD_PD_2025Q3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0.016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ANZ_RETAIL_SME_100P00_DEFAULT_LGD_LGD_2025Q3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ANZ_RETAIL_SME_10P00_TO_LT100P00_LGD_LGD_2025Q3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(current)</w:t>
            </w:r>
          </w:p>
        </w:tc>
      </w:tr>
    </w:tbl>
    <w:p>
      <w:r>
        <w:rPr>
          <w:rFonts w:ascii="Arial" w:hAnsi="Arial"/>
          <w:b/>
          <w:sz w:val="28"/>
        </w:rPr>
        <w:t>10. Source Documentation</w:t>
      </w:r>
    </w:p>
    <w:p>
      <w:r>
        <w:rPr>
          <w:rFonts w:ascii="Arial" w:hAnsi="Arial"/>
          <w:b w:val="0"/>
          <w:i w:val="0"/>
          <w:sz w:val="22"/>
        </w:rPr>
        <w:t>Provenance for every publisher contributing to the registry, including download cadence, extraction method, and known gaps.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source_id</w:t>
            </w:r>
          </w:p>
        </w:tc>
        <w:tc>
          <w:tcPr>
            <w:tcW w:type="dxa" w:w="156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publisher</w:t>
            </w:r>
          </w:p>
        </w:tc>
        <w:tc>
          <w:tcPr>
            <w:tcW w:type="dxa" w:w="156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url</w:t>
            </w:r>
          </w:p>
        </w:tc>
        <w:tc>
          <w:tcPr>
            <w:tcW w:type="dxa" w:w="156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retrieval_date</w:t>
            </w:r>
          </w:p>
        </w:tc>
        <w:tc>
          <w:tcPr>
            <w:tcW w:type="dxa" w:w="156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quality_score</w:t>
            </w:r>
          </w:p>
        </w:tc>
        <w:tc>
          <w:tcPr>
            <w:tcW w:type="dxa" w:w="156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notes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ANZ_CORPORATE_GENERAL_0P00_TO_LT0P15_LGD_LGD_2025Q3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pd_band=0.00 to &lt;0.15;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ANZ_CORPORATE_GENERAL_0P15_TO_LT0P25_LGD_LGD_2025Q3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pd_band=0.15 to &lt;0.25;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ANZ_CORPORATE_GENERAL_0P25_TO_LT0P50_LGD_LGD_2025Q3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pd_band=0.25 to &lt;0.50;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ANZ_CORPORATE_GENERAL_0P50_TO_LT0P75_LGD_LGD_2025Q3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pd_band=0.50 to &lt;0.75;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ANZ_CORPORATE_GENERAL_0P75_TO_LT2P50_LGD_LGD_2025Q3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pd_band=0.75 to &lt;2.50;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ANZ_CORPORATE_GENERAL_0P75_TO_LT2P50_PD_PD_2025Q3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pd_band=0.75 to &lt;2.50;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ANZ_CORPORATE_GENERAL_100P00_DEFAULT_LGD_LGD_2025Q3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pd_band=100.00 (Default);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ANZ_CORPORATE_GENERAL_10P00_TO_LT100P00_LGD_LGD_2025Q3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pd_band=10.00 to &lt;100.00;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ANZ_CORPORATE_GENERAL_2P50_TO_LT10P00_LGD_LGD_2025Q3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pd_band=2.50 to &lt;10.00;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ANZ_CORPORATE_GENERAL_2P50_TO_LT10P00_PD_PD_2025Q3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pd_band=2.50 to &lt;10.00;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ANZ_DEVELOPMENT_DEFAULT_RISK_WEIGHT_SUPERVISORY_VALUE_2025Q3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source_table=CR10; source_page=3; pd_band=all; value_basis=supervisory_prescribed;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ANZ_DEVELOPMENT_GOOD_RISK_WEIGHT_SUPERVISORY_VALUE_2025Q3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source_table=CR10; source_page=70; pd_band=all; value_basis=supervisory_prescribed;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ANZ_DEVELOPMENT_STRONG_RISK_WEIGHT_SUPERVISORY_VALUE_2025Q3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source_table=CR10; source_page=70; pd_band=all; value_basis=supervisory_prescribed;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ANZ_FINANCIAL_INSTITUTION_0P00_TO_LT0P15_LGD_LGD_2025Q3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source_page=59; pd_band=0.00 to &lt;0.15;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ANZ_FINANCIAL_INSTITUTION_0P00_TO_LT0P15_PD_PD_2025Q3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source_page=59; pd_band=0.00 to &lt;0.15;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ANZ_FINANCIAL_INSTITUTION_0P15_TO_LT0P25_LGD_LGD_2025Q3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source_page=63; pd_band=0.15 to &lt;0.25;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ANZ_FINANCIAL_INSTITUTION_0P15_TO_LT0P25_PD_PD_2025Q3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source_page=59; pd_band=0.15 to &lt;0.25;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ANZ_FINANCIAL_INSTITUTION_0P25_TO_LT0P50_LGD_LGD_2025Q3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source_page=63; pd_band=0.25 to &lt;0.50;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ANZ_FINANCIAL_INSTITUTION_0P25_TO_LT0P50_PD_PD_2025Q3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source_page=63; pd_band=0.25 to &lt;0.50;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ANZ_FINANCIAL_INSTITUTION_0P50_TO_LT0P75_LGD_LGD_2025Q3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source_page=63; pd_band=0.50 to &lt;0.75;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ANZ_FINANCIAL_INSTITUTION_0P50_TO_LT0P75_PD_PD_2025Q3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source_page=63; pd_band=0.50 to &lt;0.75;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ANZ_FINANCIAL_INSTITUTION_0P75_TO_LT2P50_LGD_LGD_2025Q3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source_page=63; pd_band=0.75 to &lt;2.50;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ANZ_FINANCIAL_INSTITUTION_0P75_TO_LT2P50_PD_PD_2025Q3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source_page=63; pd_band=0.75 to &lt;2.50;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ANZ_FINANCIAL_INSTITUTION_100P00_DEFAULT_LGD_LGD_2025Q3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source_page=59; pd_band=100.00 (Default);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ANZ_FINANCIAL_INSTITUTION_100P00_DEFAULT_PD_PD_2025Q3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source_page=59; pd_band=100.00 (Default);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ANZ_FINANCIAL_INSTITUTION_10P00_TO_LT100P00_LGD_LGD_2025Q3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source_page=63; pd_band=10.00 to &lt;100.00;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ANZ_FINANCIAL_INSTITUTION_10P00_TO_LT100P00_PD_PD_2025Q3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source_page=63; pd_band=10.00 to &lt;100.00;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ANZ_FINANCIAL_INSTITUTION_2P50_TO_LT10P00_LGD_LGD_2025Q3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source_page=63; pd_band=2.50 to &lt;10.00;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ANZ_FINANCIAL_INSTITUTION_2P50_TO_LT10P00_PD_PD_2025Q3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source_page=63; pd_band=2.50 to &lt;10.00;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ANZ_RESIDENTIAL_MORTGAGE_0P00_TO_LT0P15_LGD_LGD_2025Q3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pd_band=0.00 to &lt;0.15;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ANZ_RESIDENTIAL_MORTGAGE_0P15_TO_LT0P25_LGD_LGD_2025Q3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pd_band=0.15 to &lt;0.25;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ANZ_RESIDENTIAL_MORTGAGE_0P25_TO_LT0P50_LGD_LGD_2025Q3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pd_band=0.25 to &lt;0.50;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ANZ_RESIDENTIAL_MORTGAGE_0P25_TO_LT0P50_PD_PD_2025Q3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pd_band=0.25 to &lt;0.50;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ANZ_RESIDENTIAL_MORTGAGE_0P50_TO_LT0P75_LGD_LGD_2025Q3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pd_band=0.50 to &lt;0.75;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ANZ_RESIDENTIAL_MORTGAGE_0P50_TO_LT0P75_PD_PD_2025Q3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pd_band=0.50 to &lt;0.75;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ANZ_RESIDENTIAL_MORTGAGE_0P75_TO_LT2P50_LGD_LGD_2025Q3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pd_band=0.75 to &lt;2.50;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ANZ_RESIDENTIAL_MORTGAGE_0P75_TO_LT2P50_PD_PD_2025Q3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pd_band=0.75 to &lt;2.50;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ANZ_RESIDENTIAL_MORTGAGE_100P00_DEFAULT_LGD_LGD_2025Q3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pd_band=100.00 (Default);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ANZ_RESIDENTIAL_MORTGAGE_10P00_TO_LT100P00_LGD_LGD_2025Q3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pd_band=10.00 to &lt;100.00;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ANZ_RESIDENTIAL_MORTGAGE_2P50_TO_LT10P00_LGD_LGD_2025Q3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pd_band=2.50 to &lt;10.00;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ANZ_RETAIL_OTHER_0P00_TO_LT0P15_LGD_LGD_2025Q3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pd_band=0.00 to &lt;0.15;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ANZ_RETAIL_OTHER_0P00_TO_LT0P15_PD_PD_2025Q3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pd_band=0.00 to &lt;0.15;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ANZ_RETAIL_OTHER_0P15_TO_LT0P25_LGD_LGD_2025Q3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pd_band=0.15 to &lt;0.25;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ANZ_RETAIL_OTHER_0P15_TO_LT0P25_PD_PD_2025Q3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source_page=58; pd_band=0.15 to &lt;0.25;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ANZ_RETAIL_OTHER_0P25_TO_LT0P50_LGD_LGD_2025Q3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pd_band=0.25 to &lt;0.50;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ANZ_RETAIL_OTHER_0P25_TO_LT0P50_PD_PD_2025Q3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pd_band=0.25 to &lt;0.50;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ANZ_RETAIL_OTHER_0P50_TO_LT0P75_LGD_LGD_2025Q3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pd_band=0.50 to &lt;0.75;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ANZ_RETAIL_OTHER_0P50_TO_LT0P75_PD_PD_2025Q3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pd_band=0.50 to &lt;0.75;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ANZ_RETAIL_OTHER_0P75_TO_LT2P50_LGD_LGD_2025Q3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pd_band=0.75 to &lt;2.50;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ANZ_RETAIL_OTHER_0P75_TO_LT2P50_PD_PD_2025Q3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pd_band=0.75 to &lt;2.50;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ANZ_RETAIL_OTHER_100P00_DEFAULT_LGD_LGD_2025Q3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pd_band=100.00 (Default);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ANZ_RETAIL_OTHER_100P00_DEFAULT_PD_PD_2025Q3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source_page=58; pd_band=100.00 (Default);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ANZ_RETAIL_OTHER_10P00_TO_LT100P00_LGD_LGD_2025Q3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pd_band=10.00 to &lt;100.00;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ANZ_RETAIL_OTHER_10P00_TO_LT100P00_PD_PD_2025Q3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pd_band=10.00 to &lt;100.00;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ANZ_RETAIL_OTHER_2P50_TO_LT10P00_LGD_LGD_2025Q3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pd_band=2.50 to &lt;10.00;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ANZ_RETAIL_OTHER_2P50_TO_LT10P00_PD_PD_2025Q3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source_page=64; pd_band=2.50 to &lt;10.00;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ANZ_RETAIL_QRR_0P00_TO_LT0P15_LGD_LGD_2025Q3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source_page=58; pd_band=0.00 to &lt;0.15;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ANZ_RETAIL_QRR_0P00_TO_LT0P15_PD_PD_2025Q3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source_page=58; pd_band=0.00 to &lt;0.15;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ANZ_RETAIL_QRR_0P15_TO_LT0P25_LGD_LGD_2025Q3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source_page=58; pd_band=0.15 to &lt;0.25;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ANZ_RETAIL_QRR_0P15_TO_LT0P25_PD_PD_2025Q3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source_page=58; pd_band=0.15 to &lt;0.25;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ANZ_RETAIL_QRR_0P25_TO_LT0P50_LGD_LGD_2025Q3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source_page=58; pd_band=0.25 to &lt;0.50;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ANZ_RETAIL_QRR_0P25_TO_LT0P50_PD_PD_2025Q3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source_page=58; pd_band=0.25 to &lt;0.50;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ANZ_RETAIL_QRR_0P50_TO_LT0P75_LGD_LGD_2025Q3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source_page=58; pd_band=0.50 to &lt;0.75;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ANZ_RETAIL_QRR_0P50_TO_LT0P75_PD_PD_2025Q3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source_page=58; pd_band=0.50 to &lt;0.75;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ANZ_RETAIL_QRR_0P75_TO_LT2P50_LGD_LGD_2025Q3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source_page=58; pd_band=0.75 to &lt;2.50;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ANZ_RETAIL_QRR_0P75_TO_LT2P50_PD_PD_2025Q3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source_page=62; pd_band=0.75 to &lt;2.50;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ANZ_RETAIL_QRR_100P00_DEFAULT_LGD_LGD_2025Q3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source_page=58; pd_band=100.00 (Default);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ANZ_RETAIL_QRR_100P00_DEFAULT_PD_PD_2025Q3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source_page=58; pd_band=100.00 (Default);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ANZ_RETAIL_QRR_10P00_TO_LT100P00_LGD_LGD_2025Q3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source_page=58; pd_band=10.00 to &lt;100.00;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ANZ_RETAIL_QRR_10P00_TO_LT100P00_PD_PD_2025Q3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source_page=62; pd_band=10.00 to &lt;100.00;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ANZ_RETAIL_QRR_2P50_TO_LT10P00_LGD_LGD_2025Q3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source_page=58; pd_band=2.50 to &lt;10.00;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ANZ_RETAIL_QRR_2P50_TO_LT10P00_PD_PD_2025Q3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source_page=58; pd_band=2.50 to &lt;10.00;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ANZ_RETAIL_SME_0P00_TO_LT0P15_LGD_LGD_2025Q3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source_page=62; pd_band=0.00 to &lt;0.15;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ANZ_RETAIL_SME_0P15_TO_LT0P25_LGD_LGD_2025Q3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source_page=62; pd_band=0.15 to &lt;0.25;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ANZ_RETAIL_SME_0P25_TO_LT0P50_LGD_LGD_2025Q3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source_page=58; pd_band=0.25 to &lt;0.50;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ANZ_RETAIL_SME_0P50_TO_LT0P75_LGD_LGD_2025Q3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source_page=58; pd_band=0.50 to &lt;0.75;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ANZ_RETAIL_SME_0P75_TO_LT2P50_LGD_LGD_2025Q3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source_page=58; pd_band=0.75 to &lt;2.50;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ANZ_RETAIL_SME_0P75_TO_LT2P50_PD_PD_2025Q3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source_page=58; pd_band=0.75 to &lt;2.50;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ANZ_RETAIL_SME_100P00_DEFAULT_LGD_LGD_2025Q3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source_page=62; pd_band=100.00 (Default); value_basis=exposure_weighted; adapter=AnzPillar3PdfAdapter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ANZ_RETAIL_SME_10P00_TO_LT100P00_LGD_LGD_2025Q3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https://www.anz.com.au/shareholder/centre/reporting/pillar-3-disclosure/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2026-04-22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HIGH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2"/>
              </w:rPr>
              <w:t>coverage=anz_pillar3_annual_pdf; source_table=CR6; source_page=62; pd_band=10.00 to &lt;100.00; value_basis=exposure_weighted; adapter=AnzPillar3PdfAdapter</w:t>
            </w:r>
          </w:p>
        </w:tc>
      </w:tr>
    </w:tbl>
    <w:p>
      <w:r>
        <w:rPr>
          <w:rFonts w:ascii="Arial" w:hAnsi="Arial"/>
          <w:b/>
          <w:sz w:val="24"/>
        </w:rPr>
        <w:t>Unavailable sources (gaps documented for MRC)</w:t>
      </w:r>
    </w:p>
    <w:p>
      <w:r>
        <w:rPr>
          <w:rFonts w:ascii="Arial" w:hAnsi="Arial"/>
          <w:b w:val="0"/>
          <w:i w:val="0"/>
          <w:sz w:val="22"/>
        </w:rPr>
        <w:t>ICC Trade Register (International Chamber of Commerce): UNAVAILABLE — paid tier required. ICC restructured to paid-only tiers (€2,500–€30,000) effective 2025 edition. Free 2024 edition no longer accessible. Trade finance products (import LC, export LC, performance guarantees, SCF payables) currently calibrated using internal model only. Re-evaluate ICC paid subscription when trade finance exposure exceeds materiality threshold.</w:t>
      </w:r>
    </w:p>
    <w:p>
      <w:r>
        <w:rPr>
          <w:rFonts w:ascii="Arial" w:hAnsi="Arial"/>
          <w:b/>
          <w:sz w:val="28"/>
        </w:rPr>
        <w:t>11. Committee Sign-Off</w:t>
      </w:r>
    </w:p>
    <w:p>
      <w:r>
        <w:rPr>
          <w:rFonts w:ascii="Arial" w:hAnsi="Arial"/>
          <w:b w:val="0"/>
          <w:i w:val="0"/>
          <w:sz w:val="22"/>
        </w:rPr>
        <w:t>The following signatures are required to adopt this calibration for the Q3 2025 cycle. Names, dates, and signatures to be filled in at the formal sign-off meeting. A signed copy will be retained in the governance archive and a PDF-exported version will supersede this draft.</w:t>
      </w:r>
    </w:p>
    <w:p>
      <w:r>
        <w:rPr>
          <w:rFonts w:ascii="Arial" w:hAnsi="Arial"/>
          <w:b/>
          <w:sz w:val="28"/>
        </w:rPr>
        <w:t>3 Lines of Defence Sign-Off</w:t>
      </w:r>
    </w:p>
    <w:p>
      <w:r>
        <w:rPr>
          <w:rFonts w:ascii="Arial" w:hAnsi="Arial"/>
          <w:b w:val="0"/>
          <w:i/>
          <w:sz w:val="22"/>
        </w:rPr>
        <w:t>Each line of defence signs below to confirm review and acceptance of this benchmark governance report.</w:t>
      </w:r>
    </w:p>
    <w:p>
      <w:r>
        <w:rPr>
          <w:rFonts w:ascii="Arial" w:hAnsi="Arial"/>
          <w:b/>
          <w:sz w:val="24"/>
        </w:rPr>
        <w:t>1st Line of Defence — Model Owner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Name</w:t>
            </w:r>
          </w:p>
        </w:tc>
        <w:tc>
          <w:tcPr>
            <w:tcW w:type="dxa" w:w="259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Role</w:t>
            </w:r>
          </w:p>
        </w:tc>
        <w:tc>
          <w:tcPr>
            <w:tcW w:type="dxa" w:w="1728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Date</w:t>
            </w:r>
          </w:p>
        </w:tc>
        <w:tc>
          <w:tcPr>
            <w:tcW w:type="dxa" w:w="2448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Signature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2"/>
              </w:rPr>
              <w:t>Model Owner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2"/>
              </w:rPr>
            </w:r>
          </w:p>
        </w:tc>
      </w:tr>
    </w:tbl>
    <w:p>
      <w:r>
        <w:rPr>
          <w:rFonts w:ascii="Arial" w:hAnsi="Arial"/>
          <w:b/>
          <w:sz w:val="24"/>
        </w:rPr>
        <w:t>2nd Line of Defence — Model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Name</w:t>
            </w:r>
          </w:p>
        </w:tc>
        <w:tc>
          <w:tcPr>
            <w:tcW w:type="dxa" w:w="259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Role</w:t>
            </w:r>
          </w:p>
        </w:tc>
        <w:tc>
          <w:tcPr>
            <w:tcW w:type="dxa" w:w="1728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Date</w:t>
            </w:r>
          </w:p>
        </w:tc>
        <w:tc>
          <w:tcPr>
            <w:tcW w:type="dxa" w:w="2448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Signature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2"/>
              </w:rPr>
              <w:t>Model Validation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2"/>
              </w:rPr>
            </w:r>
          </w:p>
        </w:tc>
      </w:tr>
    </w:tbl>
    <w:p>
      <w:r>
        <w:rPr>
          <w:rFonts w:ascii="Arial" w:hAnsi="Arial"/>
          <w:b/>
          <w:sz w:val="24"/>
        </w:rPr>
        <w:t>3rd Line of Defence — Internal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Name</w:t>
            </w:r>
          </w:p>
        </w:tc>
        <w:tc>
          <w:tcPr>
            <w:tcW w:type="dxa" w:w="259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Role</w:t>
            </w:r>
          </w:p>
        </w:tc>
        <w:tc>
          <w:tcPr>
            <w:tcW w:type="dxa" w:w="1728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Date</w:t>
            </w:r>
          </w:p>
        </w:tc>
        <w:tc>
          <w:tcPr>
            <w:tcW w:type="dxa" w:w="2448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Signature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2"/>
              </w:rPr>
              <w:t>Internal Audit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2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Arial" w:hAnsi="Arial"/>
        <w:i/>
        <w:sz w:val="18"/>
      </w:rPr>
      <w:t>Generated by External Benchmark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