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Australian Credit Risk Benchmarks - Q2 2026</w:t>
      </w:r>
    </w:p>
    <w:p>
      <w:r>
        <w:rPr>
          <w:rFonts w:ascii="Arial" w:hAnsi="Arial"/>
          <w:i/>
          <w:sz w:val="24"/>
        </w:rPr>
        <w:t>Generated 2026-06-15T04:37:23+00:00 | Data as-of 2024-12-31–2026-02-28</w:t>
      </w:r>
    </w:p>
    <w:p>
      <w:r>
        <w:rPr>
          <w:rFonts w:ascii="Arial" w:hAnsi="Arial"/>
          <w:b/>
          <w:sz w:val="28"/>
        </w:rPr>
        <w:t>Executive summary</w:t>
      </w:r>
    </w:p>
    <w:p>
      <w:r>
        <w:rPr>
          <w:rFonts w:ascii="Arial" w:hAnsi="Arial"/>
          <w:b w:val="0"/>
          <w:i w:val="0"/>
          <w:sz w:val="22"/>
        </w:rPr>
        <w:t>This report consolidates externally-disclosed credit-risk parameters for Australian bank and non-bank lenders into a single set of model-ready benchmarks. It is built from public Basel Pillar 3 disclosures, APRA and RBA statistics, and non-bank lender reports, and is aligned to the APRA APS 113 / Basel IRB framework.</w:t>
      </w:r>
    </w:p>
    <w:p>
      <w:r>
        <w:rPr>
          <w:rFonts w:ascii="Arial" w:hAnsi="Arial"/>
          <w:b w:val="0"/>
          <w:i w:val="0"/>
          <w:sz w:val="22"/>
        </w:rPr>
        <w:t>Every figure is a source-published value — no adjustment, triangulation, or modelling overlay — so each number traces back to a named disclosure and reporting date.</w:t>
      </w:r>
    </w:p>
    <w:p>
      <w:r>
        <w:rPr>
          <w:rFonts w:ascii="Arial" w:hAnsi="Arial"/>
          <w:b/>
          <w:sz w:val="24"/>
        </w:rPr>
        <w:t>What this report covers</w:t>
      </w:r>
    </w:p>
    <w:p>
      <w:pPr>
        <w:pStyle w:val="ListBullet"/>
      </w:pPr>
      <w:r>
        <w:rPr>
          <w:rFonts w:ascii="Arial" w:hAnsi="Arial"/>
          <w:sz w:val="22"/>
        </w:rPr>
        <w:t>Probability of default (PD) — likelihood a borrower defaults within 12 months, by credit segment (Section 1).</w:t>
      </w:r>
    </w:p>
    <w:p>
      <w:pPr>
        <w:pStyle w:val="ListBullet"/>
      </w:pPr>
      <w:r>
        <w:rPr>
          <w:rFonts w:ascii="Arial" w:hAnsi="Arial"/>
          <w:sz w:val="22"/>
        </w:rPr>
        <w:t>Loss given default (LGD) — share of exposure not recovered after default (Section 2).</w:t>
      </w:r>
    </w:p>
    <w:p>
      <w:pPr>
        <w:pStyle w:val="ListBullet"/>
      </w:pPr>
      <w:r>
        <w:rPr>
          <w:rFonts w:ascii="Arial" w:hAnsi="Arial"/>
          <w:sz w:val="22"/>
        </w:rPr>
        <w:t>Expected loss (EL = PD × LGD) — the headline credit-loss rate per segment (Section 3).</w:t>
      </w:r>
    </w:p>
    <w:p>
      <w:pPr>
        <w:pStyle w:val="ListBullet"/>
      </w:pPr>
      <w:r>
        <w:rPr>
          <w:rFonts w:ascii="Arial" w:hAnsi="Arial"/>
          <w:sz w:val="22"/>
        </w:rPr>
        <w:t>Stress testing — PD, LGD and EAD under a base / mild / severe scenario set (mild = Basel CRE36.51 two-quarters-zero-growth), stressed PD floored at APS 113 regulatory bands (Section 4).</w:t>
      </w:r>
    </w:p>
    <w:p>
      <w:pPr>
        <w:pStyle w:val="ListBullet"/>
      </w:pPr>
      <w:r>
        <w:rPr>
          <w:rFonts w:ascii="Arial" w:hAnsi="Arial"/>
          <w:sz w:val="22"/>
        </w:rPr>
        <w:t>Portfolio monitoring — arrears, non-performing, impaired and loss-rate metrics for early-warning tracking (Section 5).</w:t>
      </w:r>
    </w:p>
    <w:p>
      <w:pPr>
        <w:pStyle w:val="ListBullet"/>
      </w:pPr>
      <w:r>
        <w:rPr>
          <w:rFonts w:ascii="Arial" w:hAnsi="Arial"/>
          <w:sz w:val="22"/>
        </w:rPr>
        <w:t>Per-bank industry exposures — Big 4 exposure, non-performing, provision and write-off by industry sector (Section 6).</w:t>
      </w:r>
    </w:p>
    <w:p>
      <w:r>
        <w:rPr>
          <w:rFonts w:ascii="Arial" w:hAnsi="Arial"/>
          <w:b/>
          <w:sz w:val="24"/>
        </w:rPr>
        <w:t>Coverage at a glance</w:t>
      </w:r>
    </w:p>
    <w:p>
      <w:pPr>
        <w:pStyle w:val="ListBullet"/>
      </w:pPr>
      <w:r>
        <w:rPr>
          <w:rFonts w:ascii="Arial" w:hAnsi="Arial"/>
          <w:sz w:val="22"/>
        </w:rPr>
        <w:t>295 source observations across 16 credit segments.</w:t>
      </w:r>
    </w:p>
    <w:p>
      <w:pPr>
        <w:pStyle w:val="ListBullet"/>
      </w:pPr>
      <w:r>
        <w:rPr>
          <w:rFonts w:ascii="Arial" w:hAnsi="Arial"/>
          <w:sz w:val="22"/>
        </w:rPr>
        <w:t>4 banks in the industry-exposure view (ANZ, CBA, NAB, WBC), plus non-bank lenders and regulatory references.</w:t>
      </w:r>
    </w:p>
    <w:p>
      <w:pPr>
        <w:pStyle w:val="ListBullet"/>
      </w:pPr>
      <w:r>
        <w:rPr>
          <w:rFonts w:ascii="Arial" w:hAnsi="Arial"/>
          <w:sz w:val="22"/>
        </w:rPr>
        <w:t>Data as-of window: 2024-12-31–2026-02-28.</w:t>
      </w:r>
    </w:p>
    <w:p>
      <w:r>
        <w:rPr>
          <w:rFonts w:ascii="Arial" w:hAnsi="Arial"/>
          <w:b/>
          <w:sz w:val="24"/>
        </w:rPr>
        <w:t>How to read the numbers</w:t>
      </w:r>
    </w:p>
    <w:p>
      <w:pPr>
        <w:pStyle w:val="ListBullet"/>
      </w:pPr>
      <w:r>
        <w:rPr>
          <w:rFonts w:ascii="Arial" w:hAnsi="Arial"/>
          <w:sz w:val="22"/>
        </w:rPr>
        <w:t>Rates are decimals in [0, 1]; for example, 0.03 represents three percent.</w:t>
      </w:r>
    </w:p>
    <w:p>
      <w:pPr>
        <w:pStyle w:val="ListBullet"/>
      </w:pPr>
      <w:r>
        <w:rPr>
          <w:rFonts w:ascii="Arial" w:hAnsi="Arial"/>
          <w:sz w:val="22"/>
        </w:rPr>
        <w:t>Expected-loss rate = PD × LGD, shown in basis points (bps); 1 bp = 0.01%, so 14 bps = 0.14%.</w:t>
      </w:r>
    </w:p>
    <w:p>
      <w:pPr>
        <w:pStyle w:val="ListBullet"/>
      </w:pPr>
      <w:r>
        <w:rPr>
          <w:rFonts w:ascii="Arial" w:hAnsi="Arial"/>
          <w:sz w:val="22"/>
        </w:rPr>
        <w:t>Stressed PD/LGD/EAD apply per-scenario multipliers (config/stress_scenarios.yaml); stressed PD is floored at the APS 113 reality-check bands. Multipliers are illustrative, not calibrated regulatory parameters.</w:t>
      </w:r>
    </w:p>
    <w:p>
      <w:pPr>
        <w:pStyle w:val="ListBullet"/>
      </w:pPr>
      <w:r>
        <w:rPr>
          <w:rFonts w:ascii="Arial" w:hAnsi="Arial"/>
          <w:sz w:val="22"/>
        </w:rPr>
        <w:t>"As-of" is the disclosure date of the most recent source.</w:t>
      </w:r>
    </w:p>
    <w:p>
      <w:r>
        <w:rPr>
          <w:rFonts w:ascii="Arial" w:hAnsi="Arial"/>
          <w:b/>
          <w:sz w:val="28"/>
        </w:rPr>
        <w:t>1. PD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pd_decimal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MACQUARIE_BANK_COMMERCIAL_PROPERTY_INVESTMENT_PD_H1FY2026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WBC_PILLAR3_CRE_PD_2024H2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MACQUARIE_BANK_CORPORATE_GENERAL_PD_H1FY2026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MACQUARIE_BANK_CORPORATE_SME_PD_H1FY2026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WBC_PILLAR3_CORP_SME_2024H2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APS113_SLOTTING_GOOD_PD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APS113_SLOTTING_SATIS_PD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APS113_SLOTTING_STRONG_PD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APS113_SLOTTING_WEAK_PD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MACQUARIE_BANK_FINANCIAL_INSTITUTION_PD_H1FY2026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MACQUARIE_BANK_RESIDENTIAL_MORTGAGE_PD_H1FY2026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WBC_PILLAR3_RES_2024H2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MACQUARIE_BANK_RETAIL_OTHER_PD_H1FY2026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MACQUARIE_BANK_RETAIL_SME_PD_H1FY2026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MACQUARIE_BANK_SOVEREIGN_PD_H1FY2026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p>
      <w:r>
        <w:rPr>
          <w:rFonts w:ascii="Arial" w:hAnsi="Arial"/>
          <w:b/>
          <w:sz w:val="28"/>
        </w:rPr>
        <w:t>2. LGD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lgd_decimal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APS113_CRE_LGD_FLOOR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MACQUARIE_BANK_COMMERCIAL_PROPERTY_INVESTMENT_LGD_H1FY2026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MACQUARIE_BANK_CORPORATE_GENERAL_LGD_H1FY2026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MACQUARIE_BANK_CORPORATE_SME_LGD_H1FY2026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APS113_SLOTTING_GOOD_LGD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APS113_SLOTTING_SATIS_LGD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APS113_SLOTTING_STRONG_LGD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APS113_SLOTTING_WEAK_LGD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MACQUARIE_BANK_FINANCIAL_INSTITUTION_LGD_H1FY2026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Invoice Finance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invoice_finance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APS113_INVOICE_LGD_FLOOR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APS113_RES_LGD_FLOOR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CBA_PILLAR3_RES_LGD_2024H2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MACQUARIE_BANK_RESIDENTIAL_MORTGAGE_LGD_H1FY2026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NAB_PILLAR3_RES_LGD_2024H2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MACQUARIE_BANK_RETAIL_OTHER_LGD_H1FY2026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MACQUARIE_BANK_RETAIL_SME_LGD_H1FY2026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MACQUARIE_BANK_SOVEREIGN_LGD_H1FY2026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Working Capital Unsecured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line_of_credit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APS113_UNSECURED_LGD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Working Capital Unsecured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line_of_credit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CBA_PILLAR3_SME_UNSECURED_LGD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</w:tbl>
    <w:p>
      <w:r>
        <w:rPr>
          <w:rFonts w:ascii="Arial" w:hAnsi="Arial"/>
          <w:b/>
          <w:sz w:val="28"/>
        </w:rPr>
        <w:t>3. Expected Loss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pd_decimal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el_rate_bps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pd_n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lgd_n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0.36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p>
      <w:r>
        <w:rPr>
          <w:rFonts w:ascii="Arial" w:hAnsi="Arial"/>
          <w:b/>
          <w:sz w:val="28"/>
        </w:rPr>
        <w:t>4. Stress Testing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scenario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base_el_bps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stressed_pd_decimal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stressed_lgd_decimal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stressed_el_bps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stressed_el_incl_ead_bps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0.64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270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410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512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0.69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0.36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102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112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198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0.58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419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523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p>
      <w:r>
        <w:rPr>
          <w:rFonts w:ascii="Arial" w:hAnsi="Arial"/>
          <w:b/>
          <w:sz w:val="28"/>
        </w:rPr>
        <w:t>4a. Stress Scenarios &amp; Governance</w:t>
      </w:r>
    </w:p>
    <w:p>
      <w:r>
        <w:rPr>
          <w:rFonts w:ascii="Arial" w:hAnsi="Arial"/>
          <w:b w:val="0"/>
          <w:i w:val="0"/>
          <w:sz w:val="22"/>
        </w:rPr>
        <w:t>Scenario macro paths — shocks map from a stated path:</w:t>
      </w:r>
    </w:p>
    <w:p>
      <w:pPr>
        <w:pStyle w:val="ListBullet"/>
      </w:pPr>
      <w:r>
        <w:rPr>
          <w:rFonts w:ascii="Arial" w:hAnsi="Arial"/>
          <w:sz w:val="22"/>
        </w:rPr>
        <w:t>Base (current environment) — Current conditions, no recession overlay. GDP growth around trend, unemployment broadly stable, cash rate and property prices at the latest observed levels (RBA SMP / FSR baseline).</w:t>
      </w:r>
    </w:p>
    <w:p>
      <w:pPr>
        <w:pStyle w:val="ListBullet"/>
      </w:pPr>
      <w:r>
        <w:rPr>
          <w:rFonts w:ascii="Arial" w:hAnsi="Arial"/>
          <w:sz w:val="22"/>
        </w:rPr>
        <w:t>Mild recession (Basel CRE36.51 minimum) — Basel CRE36.51 mandatory minimum — two consecutive quarters of zero GDP growth. Unemployment rises ~1.0-1.5pp, modest property-price softening (~5-10%), and some drawdown of undrawn limits as borrowers seek liquidity (PD/LGD/EAD all stressed).</w:t>
      </w:r>
    </w:p>
    <w:p>
      <w:pPr>
        <w:pStyle w:val="ListBullet"/>
      </w:pPr>
      <w:r>
        <w:rPr>
          <w:rFonts w:ascii="Arial" w:hAnsi="Arial"/>
          <w:sz w:val="22"/>
        </w:rPr>
        <w:t>Severe recession (GFC-like) — GFC-like severe-but-plausible downturn (APS 220 para 72). Multi-quarter contraction, unemployment +3-4pp, property prices -20% to -30%, and a sharp utilisation spike on revolving facilities into default.</w:t>
      </w:r>
    </w:p>
    <w:p>
      <w:r>
        <w:rPr>
          <w:rFonts w:ascii="Arial" w:hAnsi="Arial"/>
          <w:b/>
          <w:sz w:val="28"/>
        </w:rPr>
        <w:t>Reverse stress — multiplier that breaches the reality-check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base_pd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upper_band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breach_pd_x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2.27x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2.14x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2.78x</w:t>
            </w:r>
          </w:p>
        </w:tc>
      </w:tr>
    </w:tbl>
    <w:p>
      <w:pPr>
        <w:pStyle w:val="ListBullet"/>
      </w:pPr>
      <w:r>
        <w:rPr>
          <w:rFonts w:ascii="Arial" w:hAnsi="Arial"/>
          <w:sz w:val="22"/>
        </w:rPr>
        <w:t>No diversification benefit is assumed (APG 113 para 92): each scenario is applied per segment with no offsetting correlation or portfolio-diversification relief.</w:t>
      </w:r>
    </w:p>
    <w:p>
      <w:pPr>
        <w:pStyle w:val="ListBullet"/>
      </w:pPr>
      <w:r>
        <w:rPr>
          <w:rFonts w:ascii="Arial" w:hAnsi="Arial"/>
          <w:sz w:val="22"/>
        </w:rPr>
        <w:t>Feeds limits / capital (APS 220 para 73, APG 110): the stressed EL rate is read against the consuming book's risk-appetite limits and ICAAP capital-vs-buffer assessment; a breach triggers an origination / pricing / limit-tightening review.</w:t>
      </w:r>
    </w:p>
    <w:p>
      <w:pPr>
        <w:pStyle w:val="ListBullet"/>
      </w:pPr>
      <w:r>
        <w:rPr>
          <w:rFonts w:ascii="Arial" w:hAnsi="Arial"/>
          <w:sz w:val="22"/>
        </w:rPr>
        <w:t>Scenario multipliers are illustrative reality-check overlays, not calibrated regulatory parameters. In production they would be derived from a full macroeconomic scenario model and independently validated at least annually, with scenarios, assumptions and limitations documented. Last reviewed 2026-04-28; next review due 2026-10-31.</w:t>
      </w:r>
    </w:p>
    <w:p>
      <w:r>
        <w:rPr>
          <w:rFonts w:ascii="Arial" w:hAnsi="Arial"/>
          <w:b/>
          <w:sz w:val="28"/>
        </w:rPr>
        <w:t>5. Portfolio Monitor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arrears_decimal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npl_decimal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impaired_decimal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loss_rate_decimal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sources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ADI Sector Total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adi_sector_total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Bridging Residential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bridging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0.08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Consumer Secured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consumer_secured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Invoice Finance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invoice_finance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2026-02-28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 Mortgage Specialist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residential_mortgage_specialist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2026-02-28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SME Corporate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</w:tbl>
    <w:p>
      <w:r>
        <w:rPr>
          <w:rFonts w:ascii="Arial" w:hAnsi="Arial"/>
          <w:b/>
          <w:sz w:val="28"/>
        </w:rPr>
        <w:t>6. Per-Bank Industry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bank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industry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exposure_aud_m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npe_aud_m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npe_decimal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provision_aud_m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write_offs_aud_m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write_off_decimal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 &amp; Forestry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33156.00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343.00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Business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15143.00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97549.00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353.00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11623.00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Consumer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828841.00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8205.00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Electricity, Gas &amp; Water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14049.00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Entertainment, Leisure &amp; Tourism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19340.00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Finance &amp;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40764.00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 Administration &amp; Defence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153882.00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Health &amp; Community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15212.00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16717.00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Mining, Oil &amp; Gas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3434.00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29667.00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&amp;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22708.00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Wholesale &amp; Retail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29785.00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Accommodation and hospitality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14704.00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Agriculture, forestry, fishing and mining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69428.00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1809.00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Business services and property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23174.00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544.00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94697.00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1125.00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15140.00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393.00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Finance and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170647.00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 and public authorities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75817.00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21932.00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659.00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31383.00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Personal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20790.00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496085.00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5401.00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and wholesale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36531.00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647.00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and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22584.00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376.00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Utilities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25787.00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270.00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Accommodation, cafes and restaurants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12977.00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Agriculture, forestry and fishing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26642.00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459.00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12718.00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Finance and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81032.00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Government, administration and defence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117150.00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20002.00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Mining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5929.00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11456.00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86453.00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Property services and business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22400.00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lending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673155.00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6146.00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693.00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22989.00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29138.00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582.00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and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17931.00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Utilities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20014.00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Agriculture, Forestry, Fishing &amp; Mining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55628.00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671.00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Business &amp; Property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23532.00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80758.00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13211.00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Electricity, Gas &amp; Water Supply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23658.00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Entertainment, Leisure &amp; Tourism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17670.00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Financial, Investment &amp;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402472.00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 &amp; Official Institutions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146648.00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50831.00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32415.00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Personal Lending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20788.00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554118.00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5987.00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17969.00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&amp;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21170.00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Wholesale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25252.00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