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36"/>
        </w:rPr>
        <w:t>External Benchmark — Environment &amp; Industry Overlay Report — Q1 2026</w:t>
      </w:r>
    </w:p>
    <w:p>
      <w:r>
        <w:rPr>
          <w:rFonts w:ascii="Arial" w:hAnsi="Arial"/>
          <w:i/>
          <w:sz w:val="24"/>
        </w:rPr>
        <w:t>Companion to Report 1 · Sourced from industry-analysis v1 contracts · Generated 2026-04-23 · Data as-of 2026-03-16</w:t>
      </w:r>
    </w:p>
    <w:p>
      <w:r>
        <w:rPr>
          <w:rFonts w:ascii="Arial" w:hAnsi="Arial"/>
          <w:b/>
          <w:sz w:val="28"/>
        </w:rPr>
        <w:t>1. Executive Summary</w:t>
      </w:r>
    </w:p>
    <w:p>
      <w:r>
        <w:rPr>
          <w:rFonts w:ascii="Arial" w:hAnsi="Arial"/>
          <w:b w:val="0"/>
          <w:i w:val="0"/>
          <w:sz w:val="22"/>
        </w:rPr>
        <w:t>Benign macro backdrop — current-state signals support the base-scenario overlay. No automatic uplift applied to stressed pricing inputs this cycle.</w:t>
      </w:r>
    </w:p>
    <w:p>
      <w:pPr>
        <w:pStyle w:val="ListBullet"/>
      </w:pPr>
      <w:r>
        <w:rPr>
          <w:rFonts w:ascii="Arial" w:hAnsi="Arial"/>
          <w:sz w:val="22"/>
        </w:rPr>
        <w:t>Macro regime flag is base (cash-rate regime: neutral_easing; arrears environment: Low, trending improving).</w:t>
      </w:r>
    </w:p>
    <w:p>
      <w:pPr>
        <w:pStyle w:val="ListBullet"/>
      </w:pPr>
      <w:r>
        <w:rPr>
          <w:rFonts w:ascii="Arial" w:hAnsi="Arial"/>
          <w:sz w:val="22"/>
        </w:rPr>
        <w:t>4 of 9 industries carry an 'Elevated' base risk level; top by structural score is Agriculture, Forestry And Fishing (3.50, Elevated).</w:t>
      </w:r>
    </w:p>
    <w:p>
      <w:pPr>
        <w:pStyle w:val="ListBullet"/>
      </w:pPr>
      <w:r>
        <w:rPr>
          <w:rFonts w:ascii="Arial" w:hAnsi="Arial"/>
          <w:sz w:val="22"/>
        </w:rPr>
        <w:t>Property cycle shows 1 segment(s) in Downturn, 1 Slowing, 6 Neutral, 3 Growth.</w:t>
      </w:r>
    </w:p>
    <w:p>
      <w:pPr>
        <w:pStyle w:val="ListBullet"/>
      </w:pPr>
      <w:r>
        <w:rPr>
          <w:rFonts w:ascii="Arial" w:hAnsi="Arial"/>
          <w:sz w:val="22"/>
        </w:rPr>
        <w:t>Downturn segments: Offices.</w:t>
      </w:r>
    </w:p>
    <w:p>
      <w:pPr>
        <w:pStyle w:val="ListBullet"/>
      </w:pPr>
      <w:r>
        <w:rPr>
          <w:rFonts w:ascii="Arial" w:hAnsi="Arial"/>
          <w:sz w:val="22"/>
        </w:rPr>
        <w:t>Growth segments: Short term accommodation buildings, Commercial Buildings - Total, Health buildings.</w:t>
      </w:r>
    </w:p>
    <w:p>
      <w:r>
        <w:rPr>
          <w:rFonts w:ascii="Arial" w:hAnsi="Arial"/>
          <w:b/>
          <w:i w:val="0"/>
          <w:sz w:val="22"/>
        </w:rPr>
        <w:t>Flagship read-through: macro regime is 'base'; 4 of 9 industries sit at 'Elevated' base risk.</w:t>
      </w:r>
    </w:p>
    <w:p>
      <w:r>
        <w:rPr>
          <w:rFonts w:ascii="Arial" w:hAnsi="Arial"/>
          <w:b/>
          <w:sz w:val="28"/>
        </w:rPr>
        <w:t>2. Industry Risk Outlook</w:t>
      </w:r>
    </w:p>
    <w:p>
      <w:r>
        <w:rPr>
          <w:rFonts w:ascii="Arial" w:hAnsi="Arial"/>
          <w:b w:val="0"/>
          <w:i w:val="0"/>
          <w:sz w:val="22"/>
        </w:rPr>
        <w:t>All 9 industries ranked by structural base risk score. Macro conditioner for this cycle: cash rate 3.85% (-0.25 pp over 1 year). The macro component is applied uniformly to every industry by design — it is a single environmental conditioner, not an industry-specific signal.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864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Rank</w:t>
            </w:r>
          </w:p>
        </w:tc>
        <w:tc>
          <w:tcPr>
            <w:tcW w:type="dxa" w:w="3744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Industry</w:t>
            </w:r>
          </w:p>
        </w:tc>
        <w:tc>
          <w:tcPr>
            <w:tcW w:type="dxa" w:w="1584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Classification</w:t>
            </w:r>
          </w:p>
        </w:tc>
        <w:tc>
          <w:tcPr>
            <w:tcW w:type="dxa" w:w="1296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Macro</w:t>
            </w:r>
          </w:p>
        </w:tc>
        <w:tc>
          <w:tcPr>
            <w:tcW w:type="dxa" w:w="1008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Base</w:t>
            </w:r>
          </w:p>
        </w:tc>
        <w:tc>
          <w:tcPr>
            <w:tcW w:type="dxa" w:w="1296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Level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type="dxa" w:w="3744"/>
          </w:tcPr>
          <w:p>
            <w:r/>
            <w:r>
              <w:rPr>
                <w:rFonts w:ascii="Arial" w:hAnsi="Arial"/>
                <w:sz w:val="22"/>
              </w:rPr>
              <w:t>Agriculture, Forestry And Fishing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sz w:val="22"/>
              </w:rPr>
              <w:t>3.75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22"/>
              </w:rPr>
              <w:t>3.20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sz w:val="22"/>
              </w:rPr>
              <w:t>3.50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22"/>
              </w:rPr>
              <w:t>Elevated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/>
                <w:sz w:val="22"/>
              </w:rPr>
              <w:t>2</w:t>
            </w:r>
          </w:p>
        </w:tc>
        <w:tc>
          <w:tcPr>
            <w:tcW w:type="dxa" w:w="3744"/>
          </w:tcPr>
          <w:p>
            <w:r/>
            <w:r>
              <w:rPr>
                <w:rFonts w:ascii="Arial" w:hAnsi="Arial"/>
                <w:sz w:val="22"/>
              </w:rPr>
              <w:t>Manufacturing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sz w:val="22"/>
              </w:rPr>
              <w:t>3.75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22"/>
              </w:rPr>
              <w:t>3.20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sz w:val="22"/>
              </w:rPr>
              <w:t>3.50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22"/>
              </w:rPr>
              <w:t>Elevated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/>
                <w:sz w:val="22"/>
              </w:rPr>
              <w:t>3</w:t>
            </w:r>
          </w:p>
        </w:tc>
        <w:tc>
          <w:tcPr>
            <w:tcW w:type="dxa" w:w="3744"/>
          </w:tcPr>
          <w:p>
            <w:r/>
            <w:r>
              <w:rPr>
                <w:rFonts w:ascii="Arial" w:hAnsi="Arial"/>
                <w:sz w:val="22"/>
              </w:rPr>
              <w:t>Wholesale Trade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sz w:val="22"/>
              </w:rPr>
              <w:t>3.25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22"/>
              </w:rPr>
              <w:t>3.20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sz w:val="22"/>
              </w:rPr>
              <w:t>3.23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22"/>
              </w:rPr>
              <w:t>Elevated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/>
                <w:sz w:val="22"/>
              </w:rPr>
              <w:t>4</w:t>
            </w:r>
          </w:p>
        </w:tc>
        <w:tc>
          <w:tcPr>
            <w:tcW w:type="dxa" w:w="3744"/>
          </w:tcPr>
          <w:p>
            <w:r/>
            <w:r>
              <w:rPr>
                <w:rFonts w:ascii="Arial" w:hAnsi="Arial"/>
                <w:sz w:val="22"/>
              </w:rPr>
              <w:t>Retail Trade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sz w:val="22"/>
              </w:rPr>
              <w:t>3.25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22"/>
              </w:rPr>
              <w:t>3.20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sz w:val="22"/>
              </w:rPr>
              <w:t>3.23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22"/>
              </w:rPr>
              <w:t>Elevated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/>
                <w:sz w:val="22"/>
              </w:rPr>
              <w:t>5</w:t>
            </w:r>
          </w:p>
        </w:tc>
        <w:tc>
          <w:tcPr>
            <w:tcW w:type="dxa" w:w="3744"/>
          </w:tcPr>
          <w:p>
            <w:r/>
            <w:r>
              <w:rPr>
                <w:rFonts w:ascii="Arial" w:hAnsi="Arial"/>
                <w:sz w:val="22"/>
              </w:rPr>
              <w:t>Accommodation And Food Services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sz w:val="22"/>
              </w:rPr>
              <w:t>2.75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22"/>
              </w:rPr>
              <w:t>2.60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sz w:val="22"/>
              </w:rPr>
              <w:t>2.68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22"/>
              </w:rPr>
              <w:t>Medium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/>
                <w:sz w:val="22"/>
              </w:rPr>
              <w:t>6</w:t>
            </w:r>
          </w:p>
        </w:tc>
        <w:tc>
          <w:tcPr>
            <w:tcW w:type="dxa" w:w="3744"/>
          </w:tcPr>
          <w:p>
            <w:r/>
            <w:r>
              <w:rPr>
                <w:rFonts w:ascii="Arial" w:hAnsi="Arial"/>
                <w:sz w:val="22"/>
              </w:rPr>
              <w:t>Construction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sz w:val="22"/>
              </w:rPr>
              <w:t>2.75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22"/>
              </w:rPr>
              <w:t>2.60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sz w:val="22"/>
              </w:rPr>
              <w:t>2.68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22"/>
              </w:rPr>
              <w:t>Medium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/>
                <w:sz w:val="22"/>
              </w:rPr>
              <w:t>7</w:t>
            </w:r>
          </w:p>
        </w:tc>
        <w:tc>
          <w:tcPr>
            <w:tcW w:type="dxa" w:w="3744"/>
          </w:tcPr>
          <w:p>
            <w:r/>
            <w:r>
              <w:rPr>
                <w:rFonts w:ascii="Arial" w:hAnsi="Arial"/>
                <w:sz w:val="22"/>
              </w:rPr>
              <w:t>Health Care and Social Assistance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sz w:val="22"/>
              </w:rPr>
              <w:t>1.75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22"/>
              </w:rPr>
              <w:t>2.80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sz w:val="22"/>
              </w:rPr>
              <w:t>2.22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22"/>
              </w:rPr>
              <w:t>Medium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/>
                <w:sz w:val="22"/>
              </w:rPr>
              <w:t>8</w:t>
            </w:r>
          </w:p>
        </w:tc>
        <w:tc>
          <w:tcPr>
            <w:tcW w:type="dxa" w:w="3744"/>
          </w:tcPr>
          <w:p>
            <w:r/>
            <w:r>
              <w:rPr>
                <w:rFonts w:ascii="Arial" w:hAnsi="Arial"/>
                <w:sz w:val="22"/>
              </w:rPr>
              <w:t>Professional, Scientific And Technical Services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sz w:val="22"/>
              </w:rPr>
              <w:t>2.00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22"/>
              </w:rPr>
              <w:t>2.40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sz w:val="22"/>
              </w:rPr>
              <w:t>2.18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22"/>
              </w:rPr>
              <w:t>Medium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/>
                <w:sz w:val="22"/>
              </w:rPr>
              <w:t>9</w:t>
            </w:r>
          </w:p>
        </w:tc>
        <w:tc>
          <w:tcPr>
            <w:tcW w:type="dxa" w:w="3744"/>
          </w:tcPr>
          <w:p>
            <w:r/>
            <w:r>
              <w:rPr>
                <w:rFonts w:ascii="Arial" w:hAnsi="Arial"/>
                <w:sz w:val="22"/>
              </w:rPr>
              <w:t>Transport, Postal And Warehousing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sz w:val="22"/>
              </w:rPr>
              <w:t>2.25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22"/>
              </w:rPr>
              <w:t>2.00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sz w:val="22"/>
              </w:rPr>
              <w:t>2.14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22"/>
              </w:rPr>
              <w:t>Medium</w:t>
            </w:r>
          </w:p>
        </w:tc>
      </w:tr>
    </w:tbl>
    <w:p>
      <w:r>
        <w:rPr>
          <w:rFonts w:ascii="Arial" w:hAnsi="Arial"/>
          <w:b/>
          <w:sz w:val="24"/>
        </w:rPr>
        <w:t>Top-3 drivers</w:t>
      </w:r>
    </w:p>
    <w:p>
      <w:pPr>
        <w:pStyle w:val="ListBullet"/>
      </w:pPr>
      <w:r>
        <w:rPr>
          <w:rFonts w:ascii="Arial" w:hAnsi="Arial"/>
          <w:sz w:val="22"/>
        </w:rPr>
        <w:t>Agriculture, Forestry And Fishing (score 3.50, Elevated): primarily structural (cyclicality / concentration). Classification component 3.75, macro component 3.20.</w:t>
      </w:r>
    </w:p>
    <w:p>
      <w:pPr>
        <w:pStyle w:val="ListBullet"/>
      </w:pPr>
      <w:r>
        <w:rPr>
          <w:rFonts w:ascii="Arial" w:hAnsi="Arial"/>
          <w:sz w:val="22"/>
        </w:rPr>
        <w:t>Manufacturing (score 3.50, Elevated): primarily structural (cyclicality / concentration). Classification component 3.75, macro component 3.20.</w:t>
      </w:r>
    </w:p>
    <w:p>
      <w:pPr>
        <w:pStyle w:val="ListBullet"/>
      </w:pPr>
      <w:r>
        <w:rPr>
          <w:rFonts w:ascii="Arial" w:hAnsi="Arial"/>
          <w:sz w:val="22"/>
        </w:rPr>
        <w:t>Wholesale Trade (score 3.23, Elevated): macro and structural factors roughly balanced. Classification component 3.25, macro component 3.20.</w:t>
      </w:r>
    </w:p>
    <w:p>
      <w:r>
        <w:rPr>
          <w:rFonts w:ascii="Arial" w:hAnsi="Arial"/>
          <w:b/>
          <w:sz w:val="24"/>
        </w:rPr>
        <w:t>Construction caveat</w:t>
      </w:r>
    </w:p>
    <w:p>
      <w:r>
        <w:rPr>
          <w:rFonts w:ascii="Arial" w:hAnsi="Arial"/>
          <w:b w:val="0"/>
          <w:i/>
          <w:sz w:val="22"/>
        </w:rPr>
        <w:t>Construction is the leading example: the structural score places it in the 'Medium' band, but market narrative over 2024–2026 (Porter Davis, Probuild, Clough collapses; subcontractor arrears at multi-year highs; fixed-price + materials-inflation squeeze) suggests 'Elevated' is the more honest current-state read. This divergence is a known methodology-review item in industry-analysis, not a data error.</w:t>
      </w:r>
    </w:p>
    <w:p>
      <w:r>
        <w:rPr>
          <w:rFonts w:ascii="Arial" w:hAnsi="Arial"/>
          <w:b/>
          <w:sz w:val="28"/>
        </w:rPr>
        <w:t>3. Property Market Outlook</w:t>
      </w:r>
    </w:p>
    <w:p>
      <w:r>
        <w:rPr>
          <w:rFonts w:ascii="Arial" w:hAnsi="Arial"/>
          <w:b w:val="0"/>
          <w:i w:val="0"/>
          <w:sz w:val="22"/>
        </w:rPr>
        <w:t>11 property segments grouped by cycle stage (Downturn → Slowing → Neutral → Growth). Within each stage, segments are ordered by market-softness score (highest first).</w:t>
      </w:r>
    </w:p>
    <w:p>
      <w:r>
        <w:rPr>
          <w:rFonts w:ascii="Arial" w:hAnsi="Arial"/>
          <w:b/>
          <w:sz w:val="24"/>
        </w:rPr>
        <w:t>Downturn (1 segments)</w:t>
      </w:r>
    </w:p>
    <w:p>
      <w:r>
        <w:rPr>
          <w:rFonts w:ascii="Arial" w:hAnsi="Arial"/>
          <w:b w:val="0"/>
          <w:i/>
          <w:sz w:val="22"/>
        </w:rPr>
        <w:t>Contracting segments — approvals trending down materially, market softness elevated. Highest portfolio risk; consider limit tightening and LVR haircuts.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4032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Segment</w:t>
            </w:r>
          </w:p>
        </w:tc>
        <w:tc>
          <w:tcPr>
            <w:tcW w:type="dxa" w:w="1152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Softness</w:t>
            </w:r>
          </w:p>
        </w:tc>
        <w:tc>
          <w:tcPr>
            <w:tcW w:type="dxa" w:w="1296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Band</w:t>
            </w:r>
          </w:p>
        </w:tc>
        <w:tc>
          <w:tcPr>
            <w:tcW w:type="dxa" w:w="1152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Region risk</w:t>
            </w:r>
          </w:p>
        </w:tc>
        <w:tc>
          <w:tcPr>
            <w:tcW w:type="dxa" w:w="1296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Region band</w:t>
            </w:r>
          </w:p>
        </w:tc>
        <w:tc>
          <w:tcPr>
            <w:tcW w:type="dxa" w:w="1152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Approvals Δ%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Arial" w:hAnsi="Arial"/>
                <w:sz w:val="22"/>
              </w:rPr>
              <w:t>Offices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22"/>
              </w:rPr>
              <w:t>4.30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22"/>
              </w:rPr>
              <w:t>soft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22"/>
              </w:rPr>
              <w:t>4.03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22"/>
              </w:rPr>
              <w:t>High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22"/>
              </w:rPr>
              <w:t>-35.7</w:t>
            </w:r>
          </w:p>
        </w:tc>
      </w:tr>
    </w:tbl>
    <w:p>
      <w:r>
        <w:rPr>
          <w:rFonts w:ascii="Arial" w:hAnsi="Arial"/>
          <w:b/>
          <w:sz w:val="24"/>
        </w:rPr>
        <w:t>Slowing (1 segments)</w:t>
      </w:r>
    </w:p>
    <w:p>
      <w:r>
        <w:rPr>
          <w:rFonts w:ascii="Arial" w:hAnsi="Arial"/>
          <w:b w:val="0"/>
          <w:i/>
          <w:sz w:val="22"/>
        </w:rPr>
        <w:t>Past-peak segments — approvals flat to soft, market softness rising. Watch list; no immediate tightening required but concentration should be monitored.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4032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Segment</w:t>
            </w:r>
          </w:p>
        </w:tc>
        <w:tc>
          <w:tcPr>
            <w:tcW w:type="dxa" w:w="1152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Softness</w:t>
            </w:r>
          </w:p>
        </w:tc>
        <w:tc>
          <w:tcPr>
            <w:tcW w:type="dxa" w:w="1296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Band</w:t>
            </w:r>
          </w:p>
        </w:tc>
        <w:tc>
          <w:tcPr>
            <w:tcW w:type="dxa" w:w="1152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Region risk</w:t>
            </w:r>
          </w:p>
        </w:tc>
        <w:tc>
          <w:tcPr>
            <w:tcW w:type="dxa" w:w="1296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Region band</w:t>
            </w:r>
          </w:p>
        </w:tc>
        <w:tc>
          <w:tcPr>
            <w:tcW w:type="dxa" w:w="1152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Approvals Δ%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Arial" w:hAnsi="Arial"/>
                <w:sz w:val="22"/>
              </w:rPr>
              <w:t>Education buildings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22"/>
              </w:rPr>
              <w:t>3.25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22"/>
              </w:rPr>
              <w:t>softening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22"/>
              </w:rPr>
              <w:t>3.38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22"/>
              </w:rPr>
              <w:t>Elevated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22"/>
              </w:rPr>
              <w:t>-21.4</w:t>
            </w:r>
          </w:p>
        </w:tc>
      </w:tr>
    </w:tbl>
    <w:p>
      <w:r>
        <w:rPr>
          <w:rFonts w:ascii="Arial" w:hAnsi="Arial"/>
          <w:b/>
          <w:sz w:val="24"/>
        </w:rPr>
        <w:t>Neutral (6 segments)</w:t>
      </w:r>
    </w:p>
    <w:p>
      <w:r>
        <w:rPr>
          <w:rFonts w:ascii="Arial" w:hAnsi="Arial"/>
          <w:b w:val="0"/>
          <w:i/>
          <w:sz w:val="22"/>
        </w:rPr>
        <w:t>Mid-cycle segments — approvals mixed, softness neither supportive nor stressed. Standard credit appetite applies.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4032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Segment</w:t>
            </w:r>
          </w:p>
        </w:tc>
        <w:tc>
          <w:tcPr>
            <w:tcW w:type="dxa" w:w="1152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Softness</w:t>
            </w:r>
          </w:p>
        </w:tc>
        <w:tc>
          <w:tcPr>
            <w:tcW w:type="dxa" w:w="1296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Band</w:t>
            </w:r>
          </w:p>
        </w:tc>
        <w:tc>
          <w:tcPr>
            <w:tcW w:type="dxa" w:w="1152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Region risk</w:t>
            </w:r>
          </w:p>
        </w:tc>
        <w:tc>
          <w:tcPr>
            <w:tcW w:type="dxa" w:w="1296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Region band</w:t>
            </w:r>
          </w:p>
        </w:tc>
        <w:tc>
          <w:tcPr>
            <w:tcW w:type="dxa" w:w="1152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Approvals Δ%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Arial" w:hAnsi="Arial"/>
                <w:sz w:val="22"/>
              </w:rPr>
              <w:t>Retail and wholesale trade buildings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22"/>
              </w:rPr>
              <w:t>3.15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22"/>
              </w:rPr>
              <w:t>normal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22"/>
              </w:rPr>
              <w:t>2.95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22"/>
              </w:rPr>
              <w:t>Medium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22"/>
              </w:rPr>
              <w:t>+68.5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Arial" w:hAnsi="Arial"/>
                <w:sz w:val="22"/>
              </w:rPr>
              <w:t>Aged care facilities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22"/>
              </w:rPr>
              <w:t>2.70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22"/>
              </w:rPr>
              <w:t>normal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22"/>
              </w:rPr>
              <w:t>2.73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22"/>
              </w:rPr>
              <w:t>Medium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22"/>
              </w:rPr>
              <w:t>+219.9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Arial" w:hAnsi="Arial"/>
                <w:sz w:val="22"/>
              </w:rPr>
              <w:t>Agricultural and aquacultural buildings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22"/>
              </w:rPr>
              <w:t>2.65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22"/>
              </w:rPr>
              <w:t>normal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22"/>
              </w:rPr>
              <w:t>2.58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22"/>
              </w:rPr>
              <w:t>Medium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22"/>
              </w:rPr>
              <w:t>+58.4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Arial" w:hAnsi="Arial"/>
                <w:sz w:val="22"/>
              </w:rPr>
              <w:t>Total Non-residential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22"/>
              </w:rPr>
              <w:t>2.60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22"/>
              </w:rPr>
              <w:t>normal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22"/>
              </w:rPr>
              <w:t>2.55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22"/>
              </w:rPr>
              <w:t>Medium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22"/>
              </w:rPr>
              <w:t>+71.5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Arial" w:hAnsi="Arial"/>
                <w:sz w:val="22"/>
              </w:rPr>
              <w:t>Industrial Buildings - Total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22"/>
              </w:rPr>
              <w:t>2.40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22"/>
              </w:rPr>
              <w:t>normal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22"/>
              </w:rPr>
              <w:t>2.45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22"/>
              </w:rPr>
              <w:t>Medium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22"/>
              </w:rPr>
              <w:t>+55.5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Arial" w:hAnsi="Arial"/>
                <w:sz w:val="22"/>
              </w:rPr>
              <w:t>Warehouses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22"/>
              </w:rPr>
              <w:t>2.20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22"/>
              </w:rPr>
              <w:t>normal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22"/>
              </w:rPr>
              <w:t>2.35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22"/>
              </w:rPr>
              <w:t>Medium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22"/>
              </w:rPr>
              <w:t>+69.3</w:t>
            </w:r>
          </w:p>
        </w:tc>
      </w:tr>
    </w:tbl>
    <w:p>
      <w:r>
        <w:rPr>
          <w:rFonts w:ascii="Arial" w:hAnsi="Arial"/>
          <w:b/>
          <w:sz w:val="24"/>
        </w:rPr>
        <w:t>Growth (3 segments)</w:t>
      </w:r>
    </w:p>
    <w:p>
      <w:r>
        <w:rPr>
          <w:rFonts w:ascii="Arial" w:hAnsi="Arial"/>
          <w:b w:val="0"/>
          <w:i/>
          <w:sz w:val="22"/>
        </w:rPr>
        <w:t>Expanding segments — approvals trending up materially, market softness low. Opportunity-side; assess whether current limits capture the tailwind without overshoot.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4032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Segment</w:t>
            </w:r>
          </w:p>
        </w:tc>
        <w:tc>
          <w:tcPr>
            <w:tcW w:type="dxa" w:w="1152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Softness</w:t>
            </w:r>
          </w:p>
        </w:tc>
        <w:tc>
          <w:tcPr>
            <w:tcW w:type="dxa" w:w="1296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Band</w:t>
            </w:r>
          </w:p>
        </w:tc>
        <w:tc>
          <w:tcPr>
            <w:tcW w:type="dxa" w:w="1152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Region risk</w:t>
            </w:r>
          </w:p>
        </w:tc>
        <w:tc>
          <w:tcPr>
            <w:tcW w:type="dxa" w:w="1296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Region band</w:t>
            </w:r>
          </w:p>
        </w:tc>
        <w:tc>
          <w:tcPr>
            <w:tcW w:type="dxa" w:w="1152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Approvals Δ%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Arial" w:hAnsi="Arial"/>
                <w:sz w:val="22"/>
              </w:rPr>
              <w:t>Short term accommodation buildings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22"/>
              </w:rPr>
              <w:t>2.85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22"/>
              </w:rPr>
              <w:t>supportive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22"/>
              </w:rPr>
              <w:t>2.55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22"/>
              </w:rPr>
              <w:t>Medium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22"/>
              </w:rPr>
              <w:t>+113.7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Arial" w:hAnsi="Arial"/>
                <w:sz w:val="22"/>
              </w:rPr>
              <w:t>Commercial Buildings - Total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22"/>
              </w:rPr>
              <w:t>2.30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22"/>
              </w:rPr>
              <w:t>supportive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22"/>
              </w:rPr>
              <w:t>2.15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22"/>
              </w:rPr>
              <w:t>Medium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22"/>
              </w:rPr>
              <w:t>+165.4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Arial" w:hAnsi="Arial"/>
                <w:sz w:val="22"/>
              </w:rPr>
              <w:t>Health buildings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22"/>
              </w:rPr>
              <w:t>1.65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22"/>
              </w:rPr>
              <w:t>supportive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22"/>
              </w:rPr>
              <w:t>1.82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22"/>
              </w:rPr>
              <w:t>Low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22"/>
              </w:rPr>
              <w:t>+355.0</w:t>
            </w:r>
          </w:p>
        </w:tc>
      </w:tr>
    </w:tbl>
    <w:p>
      <w:r>
        <w:rPr>
          <w:rFonts w:ascii="Arial" w:hAnsi="Arial"/>
          <w:b/>
          <w:sz w:val="24"/>
        </w:rPr>
        <w:t>Concentration and tailwinds</w:t>
      </w:r>
    </w:p>
    <w:p>
      <w:pPr>
        <w:pStyle w:val="ListBullet"/>
      </w:pPr>
      <w:r>
        <w:rPr>
          <w:rFonts w:ascii="Arial" w:hAnsi="Arial"/>
          <w:sz w:val="22"/>
        </w:rPr>
        <w:t>Most at risk (highest market softness): Offices (softness 4.30, downturn); Education buildings (softness 3.25, slowing); Retail and wholesale trade buildings (softness 3.15, neutral).</w:t>
      </w:r>
    </w:p>
    <w:p>
      <w:pPr>
        <w:pStyle w:val="ListBullet"/>
      </w:pPr>
      <w:r>
        <w:rPr>
          <w:rFonts w:ascii="Arial" w:hAnsi="Arial"/>
          <w:sz w:val="22"/>
        </w:rPr>
        <w:t>Strongest tailwinds (highest approvals momentum): Health buildings (approvals +355.0%, growth); Aged care facilities (approvals +219.9%, neutral); Commercial Buildings - Total (approvals +165.4%, growth).</w:t>
      </w:r>
    </w:p>
    <w:p>
      <w:pPr>
        <w:pStyle w:val="ListBullet"/>
      </w:pPr>
      <w:r>
        <w:rPr>
          <w:rFonts w:ascii="Arial" w:hAnsi="Arial"/>
          <w:sz w:val="22"/>
        </w:rPr>
        <w:t>In the current industry-analysis cycle, property-segment `commencements_signal` and `completions_signal` are proxied from approvals trend because direct commencements/completions series are not yet wired into the pipeline. Read the `approvals_change_pct` column as the leading indicator; the two signal columns are flagged 'Proxy from approvals trend' for transparency.</w:t>
      </w:r>
    </w:p>
    <w:p>
      <w:r>
        <w:rPr>
          <w:rFonts w:ascii="Arial" w:hAnsi="Arial"/>
          <w:b/>
          <w:sz w:val="28"/>
        </w:rPr>
        <w:t>4. Downturn Scenario Overlays</w:t>
      </w:r>
    </w:p>
    <w:p>
      <w:r>
        <w:rPr>
          <w:rFonts w:ascii="Arial" w:hAnsi="Arial"/>
          <w:b w:val="0"/>
          <w:i w:val="0"/>
          <w:sz w:val="22"/>
        </w:rPr>
        <w:t>PD / LGD / CCF multipliers and property-value haircuts for each downturn scenario. Applied downstream by the benchmark engine as the stressed overlay on top of adjusted benchmark values.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728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Scenario</w:t>
            </w:r>
          </w:p>
        </w:tc>
        <w:tc>
          <w:tcPr>
            <w:tcW w:type="dxa" w:w="1296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PD ×</w:t>
            </w:r>
          </w:p>
        </w:tc>
        <w:tc>
          <w:tcPr>
            <w:tcW w:type="dxa" w:w="1296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LGD ×</w:t>
            </w:r>
          </w:p>
        </w:tc>
        <w:tc>
          <w:tcPr>
            <w:tcW w:type="dxa" w:w="1296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CCF ×</w:t>
            </w:r>
          </w:p>
        </w:tc>
        <w:tc>
          <w:tcPr>
            <w:tcW w:type="dxa" w:w="1872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Property haircut</w:t>
            </w:r>
          </w:p>
        </w:tc>
        <w:tc>
          <w:tcPr>
            <w:tcW w:type="dxa" w:w="1584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As-of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sz w:val="22"/>
              </w:rPr>
              <w:t>Base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22"/>
              </w:rPr>
              <w:t>1.00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22"/>
              </w:rPr>
              <w:t>1.00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22"/>
              </w:rPr>
              <w:t>1.00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sz w:val="22"/>
              </w:rPr>
              <w:t>2026-03-16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sz w:val="22"/>
              </w:rPr>
              <w:t>Mild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22"/>
              </w:rPr>
              <w:t>1.20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22"/>
              </w:rPr>
              <w:t>1.10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22"/>
              </w:rPr>
              <w:t>1.05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0.05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sz w:val="22"/>
              </w:rPr>
              <w:t>2026-03-16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sz w:val="22"/>
              </w:rPr>
              <w:t>Moderate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22"/>
              </w:rPr>
              <w:t>1.50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22"/>
              </w:rPr>
              <w:t>1.20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22"/>
              </w:rPr>
              <w:t>1.10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0.10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sz w:val="22"/>
              </w:rPr>
              <w:t>2026-03-16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sz w:val="22"/>
              </w:rPr>
              <w:t>Severe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22"/>
              </w:rPr>
              <w:t>2.00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22"/>
              </w:rPr>
              <w:t>1.30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22"/>
              </w:rPr>
              <w:t>1.20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0.20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sz w:val="22"/>
              </w:rPr>
              <w:t>2026-03-16</w:t>
            </w:r>
          </w:p>
        </w:tc>
      </w:tr>
    </w:tbl>
    <w:p>
      <w:r>
        <w:rPr>
          <w:rFonts w:ascii="Arial" w:hAnsi="Arial"/>
          <w:b/>
          <w:sz w:val="24"/>
        </w:rPr>
        <w:t>Interpretation</w:t>
      </w:r>
    </w:p>
    <w:p>
      <w:pPr>
        <w:pStyle w:val="ListBullet"/>
      </w:pPr>
      <w:r>
        <w:rPr>
          <w:rFonts w:ascii="Arial" w:hAnsi="Arial"/>
          <w:sz w:val="22"/>
        </w:rPr>
        <w:t>Base — Current staged environment. Multipliers = 1.00 by construction; represents the starting point before any downturn overlay is applied.</w:t>
      </w:r>
    </w:p>
    <w:p>
      <w:pPr>
        <w:pStyle w:val="ListBullet"/>
      </w:pPr>
      <w:r>
        <w:rPr>
          <w:rFonts w:ascii="Arial" w:hAnsi="Arial"/>
          <w:sz w:val="22"/>
        </w:rPr>
        <w:t>Mild — A short, shallow downturn — typical of a mid-cycle pullback. Use for conservative portfolio calibration when the book is running on optimistic through-the-cycle assumptions.</w:t>
      </w:r>
    </w:p>
    <w:p>
      <w:pPr>
        <w:pStyle w:val="ListBullet"/>
      </w:pPr>
      <w:r>
        <w:rPr>
          <w:rFonts w:ascii="Arial" w:hAnsi="Arial"/>
          <w:sz w:val="22"/>
        </w:rPr>
        <w:t>Moderate — A deeper, more prolonged stress consistent with a material macro slowdown. Use as the primary stressed-pricing input and for ECL staging sensitivities.</w:t>
      </w:r>
    </w:p>
    <w:p>
      <w:pPr>
        <w:pStyle w:val="ListBullet"/>
      </w:pPr>
      <w:r>
        <w:rPr>
          <w:rFonts w:ascii="Arial" w:hAnsi="Arial"/>
          <w:sz w:val="22"/>
        </w:rPr>
        <w:t>Severe — Tail-risk scenario. Not calibrated to any specific regulatory stress (e.g. APRA CPG 220). Use for concentration-risk stress testing and what-if analysis, not for capital.</w:t>
      </w:r>
    </w:p>
    <w:p>
      <w:r>
        <w:rPr>
          <w:rFonts w:ascii="Arial" w:hAnsi="Arial"/>
          <w:b w:val="0"/>
          <w:i/>
          <w:sz w:val="22"/>
        </w:rPr>
        <w:t>Monotonicity check: PASS. Multipliers increase monotonically base → severe across all four columns.</w:t>
      </w:r>
    </w:p>
    <w:p>
      <w:r>
        <w:rPr>
          <w:rFonts w:ascii="Arial" w:hAnsi="Arial"/>
          <w:b/>
          <w:sz w:val="28"/>
        </w:rPr>
        <w:t>5. Methodology Notes</w:t>
      </w:r>
    </w:p>
    <w:p>
      <w:r>
        <w:rPr>
          <w:rFonts w:ascii="Arial" w:hAnsi="Arial"/>
          <w:b w:val="0"/>
          <w:i w:val="0"/>
          <w:sz w:val="22"/>
        </w:rPr>
        <w:t>Report 2 is a read-only overlay view of the `industry-analysis` project's canonical parquet exports. Benchmark-engine code does not modify or recompute those contracts; changes to the underlying scoring methodology must be raised in that upstream repo.</w:t>
      </w:r>
    </w:p>
    <w:p>
      <w:r>
        <w:rPr>
          <w:rFonts w:ascii="Arial" w:hAnsi="Arial"/>
          <w:b/>
          <w:sz w:val="24"/>
        </w:rPr>
        <w:t>Structural vs current-state</w:t>
      </w:r>
    </w:p>
    <w:p>
      <w:r>
        <w:rPr>
          <w:rFonts w:ascii="Arial" w:hAnsi="Arial"/>
          <w:b w:val="0"/>
          <w:i w:val="0"/>
          <w:sz w:val="22"/>
        </w:rPr>
        <w:t>Industry base risk scores reflect structural classification factors (cyclicality, market concentration) blended with a single macro conditioner (cash-rate regime and one-year change). They do not incorporate real-time sector-stress signals such as ASIC insolvency flows, subcontractor arrears, or sector-specific collapse events.</w:t>
      </w:r>
    </w:p>
    <w:p>
      <w:r>
        <w:rPr>
          <w:rFonts w:ascii="Arial" w:hAnsi="Arial"/>
          <w:b/>
          <w:sz w:val="24"/>
        </w:rPr>
        <w:t>Construction review item</w:t>
      </w:r>
    </w:p>
    <w:p>
      <w:r>
        <w:rPr>
          <w:rFonts w:ascii="Arial" w:hAnsi="Arial"/>
          <w:b w:val="0"/>
          <w:i w:val="0"/>
          <w:sz w:val="22"/>
        </w:rPr>
        <w:t>Construction is the leading example: the structural score places it in the 'Medium' band, but market narrative over 2024–2026 (Porter Davis, Probuild, Clough collapses; subcontractor arrears at multi-year highs; fixed-price + materials-inflation squeeze) suggests 'Elevated' is the more honest current-state read. This divergence is a known methodology-review item in industry-analysis, not a data error.</w:t>
      </w:r>
    </w:p>
    <w:p>
      <w:r>
        <w:rPr>
          <w:rFonts w:ascii="Arial" w:hAnsi="Arial"/>
          <w:b/>
          <w:sz w:val="24"/>
        </w:rPr>
        <w:t>Options considered</w:t>
      </w:r>
    </w:p>
    <w:p>
      <w:r>
        <w:rPr>
          <w:rFonts w:ascii="Arial" w:hAnsi="Arial"/>
          <w:b w:val="0"/>
          <w:i w:val="0"/>
          <w:sz w:val="22"/>
        </w:rPr>
        <w:t>The upstream review lists three options for next methodology iteration: (1) accept the structural-vs-current-state design as-is; (2) add an industry-stress overlay that lifts the base score when ASIC insolvency rates exceed a threshold for a given ANZSIC division; (3) document the limitation in the methodology manual and downstream consumer documentation.</w:t>
      </w:r>
    </w:p>
    <w:p>
      <w:r>
        <w:rPr>
          <w:rFonts w:ascii="Arial" w:hAnsi="Arial"/>
          <w:b/>
          <w:sz w:val="24"/>
        </w:rPr>
        <w:t>Path taken</w:t>
      </w:r>
    </w:p>
    <w:p>
      <w:r>
        <w:rPr>
          <w:rFonts w:ascii="Arial" w:hAnsi="Arial"/>
          <w:b w:val="0"/>
          <w:i w:val="0"/>
          <w:sz w:val="22"/>
        </w:rPr>
        <w:t>This report takes Option 3 — document the limitation. It surfaces the Construction caveat to committee readers explicitly, without altering the upstream risk scores or applying a local override. A future methodology cycle may choose Option 1 or 2; until then, treat the industry risk table as a structural backdrop, and pair it with the ABS/ASIC failure-rate context in Report 1 §4 (Industry Context) for a fuller picture.</w:t>
      </w:r>
    </w:p>
    <w:p>
      <w:r>
        <w:rPr>
          <w:rFonts w:ascii="Arial" w:hAnsi="Arial"/>
          <w:b/>
          <w:sz w:val="24"/>
        </w:rPr>
        <w:t>Property-signal proxy caveat</w:t>
      </w:r>
    </w:p>
    <w:p>
      <w:r>
        <w:rPr>
          <w:rFonts w:ascii="Arial" w:hAnsi="Arial"/>
          <w:b w:val="0"/>
          <w:i w:val="0"/>
          <w:sz w:val="22"/>
        </w:rPr>
        <w:t>In the current industry-analysis cycle, property-segment `commencements_signal` and `completions_signal` are proxied from approvals trend because direct commencements/completions series are not yet wired into the pipeline. Read the `approvals_change_pct` column as the leading indicator; the two signal columns are flagged 'Proxy from approvals trend' for transparency.</w:t>
      </w:r>
    </w:p>
    <w:p>
      <w:r>
        <w:rPr>
          <w:rFonts w:ascii="Arial" w:hAnsi="Arial"/>
          <w:b w:val="0"/>
          <w:i/>
          <w:sz w:val="22"/>
        </w:rPr>
        <w:t>Upstream source: industry-analysis (v1 contracts)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Arial" w:hAnsi="Arial"/>
        <w:i/>
        <w:sz w:val="18"/>
      </w:rPr>
      <w:t>Generated by External Benchmark Engine — Report 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