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1F4E79"/>
          <w:sz w:val="32"/>
        </w:rPr>
        <w:t>Industry Analysis Report — Q1 2026</w:t>
      </w:r>
    </w:p>
    <w:p>
      <w:r>
        <w:rPr>
          <w:rFonts w:ascii="Arial" w:hAnsi="Arial"/>
          <w:b w:val="0"/>
          <w:i/>
          <w:color w:val="2E75B6"/>
          <w:sz w:val="24"/>
        </w:rPr>
        <w:t>Technical Detail variant</w:t>
      </w:r>
    </w:p>
    <w:p>
      <w:r>
        <w:rPr>
          <w:rFonts w:ascii="Arial" w:hAnsi="Arial"/>
          <w:b w:val="0"/>
          <w:i w:val="0"/>
          <w:color w:val="7F7F7F"/>
          <w:sz w:val="20"/>
        </w:rPr>
        <w:t>Generated 2026-04-23</w:t>
      </w:r>
    </w:p>
    <w:p>
      <w:r>
        <w:rPr>
          <w:rFonts w:ascii="Arial" w:hAnsi="Arial"/>
          <w:b w:val="0"/>
          <w:i w:val="0"/>
          <w:color w:val="7F7F7F"/>
          <w:sz w:val="20"/>
        </w:rPr>
        <w:t>Macro and downturn overlays as of 2026-03-16. Property cycle data as of 2026-02-01.</w:t>
      </w:r>
    </w:p>
    <w:tbl>
      <w:tblPr>
        <w:tblW w:type="auto" w:w="0"/>
        <w:jc w:val="left"/>
        <w:tblLook w:firstColumn="1" w:firstRow="1" w:lastColumn="0" w:lastRow="0" w:noHBand="0" w:noVBand="1" w:val="04A0"/>
      </w:tblPr>
      <w:tblGrid>
        <w:gridCol w:w="9360"/>
      </w:tblGrid>
      <w:tr>
        <w:tc>
          <w:tcPr>
            <w:tcW w:type="dxa" w:w="9360"/>
            <w:shd w:val="clear" w:color="auto" w:fill="DEEBF7"/>
            <w:vAlign w:val="top"/>
            <w:tcBorders>
              <w:top w:val="single" w:sz="8" w:color="DEEBF7"/>
              <w:left w:val="single" w:sz="8" w:color="DEEBF7"/>
              <w:bottom w:val="single" w:sz="8" w:color="DEEBF7"/>
              <w:right w:val="single" w:sz="8" w:color="DEEBF7"/>
            </w:tcBorders>
          </w:tcPr>
          <w:p>
            <w:r/>
            <w:r>
              <w:rPr>
                <w:rFonts w:ascii="Arial" w:hAnsi="Arial"/>
                <w:b/>
                <w:sz w:val="22"/>
              </w:rPr>
              <w:t>Prepared for</w:t>
            </w:r>
          </w:p>
          <w:p>
            <w:r>
              <w:rPr>
                <w:rFonts w:ascii="Arial" w:hAnsi="Arial"/>
                <w:sz w:val="20"/>
              </w:rPr>
              <w:t>This is the full-detail variant for MRC, audit, and model-risk review. It includes per-row technical commentary, source URLs, the full Construction methodology review item, and the audit log as an appendix.</w:t>
            </w:r>
          </w:p>
        </w:tc>
      </w:tr>
    </w:tbl>
    <w:p/>
    <w:p>
      <w:pPr>
        <w:spacing w:before="280" w:after="120"/>
      </w:pPr>
      <w:r>
        <w:rPr>
          <w:rFonts w:ascii="Arial" w:hAnsi="Arial"/>
          <w:b/>
          <w:color w:val="1F4E79"/>
          <w:sz w:val="32"/>
        </w:rPr>
        <w:t>1. Executive Summary</w:t>
      </w:r>
    </w:p>
    <w:p>
      <w:r>
        <w:rPr>
          <w:rFonts w:ascii="Arial" w:hAnsi="Arial"/>
          <w:b w:val="0"/>
          <w:i w:val="0"/>
        </w:rPr>
        <w:t>This report summarises the current state of Australian industry and property market risk using public macro, industry, and property data. Overlays cover 9 industries and 11 property segments. Cash rate sits at 3.85%, 0.25pp lower than a year ago; arrears environment is Low and improving. 4 of 9 industries currently score Elevated on the base risk scale. 1 property segment is in downturn, 1 is slowing, and 3 are in growth. Headline finding: 4 of 9 industries score Elevated (Agriculture, Forestry And Fishing, Manufacturing, Wholesale Trade, Retail Trade). Macro regime flag: 'base' (cash_rate_regime='neutral_easing'). Data freshness: macro and downturn overlays as of 2026-03-16; property cycle data as of 2026-02-01. Report generated 2026-04-23.</w:t>
      </w:r>
    </w:p>
    <w:tbl>
      <w:tblPr>
        <w:tblW w:type="auto" w:w="0"/>
        <w:jc w:val="left"/>
        <w:tblLook w:firstColumn="1" w:firstRow="1" w:lastColumn="0" w:lastRow="0" w:noHBand="0" w:noVBand="1" w:val="04A0"/>
      </w:tblPr>
      <w:tblGrid>
        <w:gridCol w:w="9360"/>
      </w:tblGrid>
      <w:tr>
        <w:tc>
          <w:tcPr>
            <w:tcW w:type="dxa" w:w="9360"/>
            <w:shd w:val="clear" w:color="auto" w:fill="DEEBF7"/>
            <w:vAlign w:val="top"/>
            <w:tcBorders>
              <w:top w:val="single" w:sz="8" w:color="DEEBF7"/>
              <w:left w:val="single" w:sz="8" w:color="DEEBF7"/>
              <w:bottom w:val="single" w:sz="8" w:color="DEEBF7"/>
              <w:right w:val="single" w:sz="8" w:color="DEEBF7"/>
            </w:tcBorders>
          </w:tcPr>
          <w:p>
            <w:r/>
            <w:r>
              <w:rPr>
                <w:rFonts w:ascii="Arial" w:hAnsi="Arial"/>
                <w:b/>
                <w:sz w:val="22"/>
              </w:rPr>
              <w:t>How to read this report</w:t>
            </w:r>
          </w:p>
          <w:p>
            <w:r>
              <w:rPr>
                <w:rFonts w:ascii="Arial" w:hAnsi="Arial"/>
                <w:sz w:val="20"/>
              </w:rPr>
              <w:t>This report uses a 1–5 risk-score scale with four bands:</w:t>
            </w:r>
          </w:p>
          <w:p>
            <w:r>
              <w:rPr>
                <w:rFonts w:ascii="Arial" w:hAnsi="Arial"/>
                <w:sz w:val="20"/>
              </w:rPr>
              <w:t>- Low (&lt; 2.0) — defensive, structurally resilient</w:t>
            </w:r>
          </w:p>
          <w:p>
            <w:r>
              <w:rPr>
                <w:rFonts w:ascii="Arial" w:hAnsi="Arial"/>
                <w:sz w:val="20"/>
              </w:rPr>
              <w:t>- Medium (2.0 – 2.75) — neutral, typical business-cycle exposure</w:t>
            </w:r>
          </w:p>
          <w:p>
            <w:r>
              <w:rPr>
                <w:rFonts w:ascii="Arial" w:hAnsi="Arial"/>
                <w:sz w:val="20"/>
              </w:rPr>
              <w:t>- Elevated (2.75 – 3.5) — cyclical or rate-sensitive; monitor closely</w:t>
            </w:r>
          </w:p>
          <w:p>
            <w:r>
              <w:rPr>
                <w:rFonts w:ascii="Arial" w:hAnsi="Arial"/>
                <w:sz w:val="20"/>
              </w:rPr>
              <w:t>- High (&gt; 3.5) — stressed or structurally vulnerable</w:t>
            </w:r>
          </w:p>
          <w:p>
            <w:r>
              <w:rPr>
                <w:rFonts w:ascii="Arial" w:hAnsi="Arial"/>
                <w:sz w:val="20"/>
              </w:rPr>
            </w:r>
          </w:p>
          <w:p>
            <w:r>
              <w:rPr>
                <w:rFonts w:ascii="Arial" w:hAnsi="Arial"/>
                <w:sz w:val="20"/>
              </w:rPr>
              <w:t>These bands are defined in `src.utils.risk_band` and tested in `tests.test_utils`.</w:t>
            </w:r>
          </w:p>
        </w:tc>
      </w:tr>
    </w:tbl>
    <w:p/>
    <w:p>
      <w:pPr>
        <w:spacing w:before="280" w:after="120"/>
      </w:pPr>
      <w:r>
        <w:rPr>
          <w:rFonts w:ascii="Arial" w:hAnsi="Arial"/>
          <w:b/>
          <w:color w:val="1F4E79"/>
          <w:sz w:val="32"/>
        </w:rPr>
        <w:t>2. Macro Regime</w:t>
      </w:r>
    </w:p>
    <w:p>
      <w:r>
        <w:rPr>
          <w:rFonts w:ascii="Arial" w:hAnsi="Arial"/>
          <w:b w:val="0"/>
          <w:i w:val="0"/>
        </w:rPr>
        <w:t>Macro conditions shape how every industry and property segment is stressed. The cash rate is the dominant conditioning variable; the arrears backdrop confirms whether rate moves are already showing in borrower behaviour. The regime flag combines cash rate, arrears level, and arrears trend into a single compact label that downstream credit models consume without having to re-read the underlying series.</w:t>
      </w:r>
    </w:p>
    <w:p>
      <w:r>
        <w:rPr>
          <w:rFonts w:ascii="Arial" w:hAnsi="Arial"/>
          <w:b w:val="0"/>
          <w:i/>
          <w:color w:val="7F7F7F"/>
          <w:sz w:val="20"/>
        </w:rPr>
        <w:t>Macro regime snapshot as of 2026-03-16</w:t>
      </w:r>
    </w:p>
    <w:tbl>
      <w:tblPr>
        <w:tblW w:type="auto" w:w="0"/>
        <w:jc w:val="left"/>
        <w:tblLook w:firstColumn="1" w:firstRow="1" w:lastColumn="0" w:lastRow="0" w:noHBand="0" w:noVBand="1" w:val="04A0"/>
      </w:tblPr>
      <w:tblGrid>
        <w:gridCol w:w="3120"/>
        <w:gridCol w:w="3120"/>
        <w:gridCol w:w="3120"/>
      </w:tblGrid>
      <w:tr>
        <w:tc>
          <w:tcPr>
            <w:tcW w:type="dxa" w:w="3120"/>
            <w:shd w:val="clear" w:color="auto" w:fill="1F4E79"/>
            <w:vAlign w:val="center"/>
          </w:tcPr>
          <w:p>
            <w:r/>
            <w:r>
              <w:rPr>
                <w:rFonts w:ascii="Arial" w:hAnsi="Arial"/>
                <w:b/>
                <w:color w:val="FFFFFF"/>
                <w:sz w:val="20"/>
              </w:rPr>
              <w:t>Metric</w:t>
            </w:r>
          </w:p>
        </w:tc>
        <w:tc>
          <w:tcPr>
            <w:tcW w:type="dxa" w:w="3120"/>
            <w:shd w:val="clear" w:color="auto" w:fill="1F4E79"/>
            <w:vAlign w:val="center"/>
          </w:tcPr>
          <w:p>
            <w:r/>
            <w:r>
              <w:rPr>
                <w:rFonts w:ascii="Arial" w:hAnsi="Arial"/>
                <w:b/>
                <w:color w:val="FFFFFF"/>
                <w:sz w:val="20"/>
              </w:rPr>
              <w:t>Value</w:t>
            </w:r>
          </w:p>
        </w:tc>
        <w:tc>
          <w:tcPr>
            <w:tcW w:type="dxa" w:w="3120"/>
            <w:shd w:val="clear" w:color="auto" w:fill="1F4E79"/>
            <w:vAlign w:val="center"/>
          </w:tcPr>
          <w:p>
            <w:r/>
            <w:r>
              <w:rPr>
                <w:rFonts w:ascii="Arial" w:hAnsi="Arial"/>
                <w:b/>
                <w:color w:val="FFFFFF"/>
                <w:sz w:val="20"/>
              </w:rPr>
              <w:t>Source</w:t>
            </w:r>
          </w:p>
        </w:tc>
      </w:tr>
      <w:tr>
        <w:tc>
          <w:tcPr>
            <w:tcW w:type="dxa" w:w="3120"/>
            <w:vAlign w:val="center"/>
          </w:tcPr>
          <w:p>
            <w:r/>
            <w:r>
              <w:rPr>
                <w:rFonts w:ascii="Arial" w:hAnsi="Arial"/>
                <w:sz w:val="20"/>
              </w:rPr>
              <w:t>Cash rate (latest)</w:t>
            </w:r>
          </w:p>
        </w:tc>
        <w:tc>
          <w:tcPr>
            <w:tcW w:type="dxa" w:w="3120"/>
            <w:vAlign w:val="center"/>
          </w:tcPr>
          <w:p>
            <w:r/>
            <w:r>
              <w:rPr>
                <w:rFonts w:ascii="Arial" w:hAnsi="Arial"/>
                <w:sz w:val="20"/>
              </w:rPr>
              <w:t>3.85%</w:t>
            </w:r>
          </w:p>
        </w:tc>
        <w:tc>
          <w:tcPr>
            <w:tcW w:type="dxa" w:w="3120"/>
            <w:vAlign w:val="center"/>
          </w:tcPr>
          <w:p>
            <w:r/>
            <w:r>
              <w:rPr>
                <w:rFonts w:ascii="Arial" w:hAnsi="Arial"/>
                <w:sz w:val="20"/>
              </w:rPr>
              <w:t>RBA F1</w:t>
            </w:r>
          </w:p>
        </w:tc>
      </w:tr>
      <w:tr>
        <w:tc>
          <w:tcPr>
            <w:tcW w:type="dxa" w:w="3120"/>
            <w:shd w:val="clear" w:color="auto" w:fill="F2F2F2"/>
            <w:vAlign w:val="center"/>
          </w:tcPr>
          <w:p>
            <w:r/>
            <w:r>
              <w:rPr>
                <w:rFonts w:ascii="Arial" w:hAnsi="Arial"/>
                <w:sz w:val="20"/>
              </w:rPr>
              <w:t>Cash rate 1y change</w:t>
            </w:r>
          </w:p>
        </w:tc>
        <w:tc>
          <w:tcPr>
            <w:tcW w:type="dxa" w:w="3120"/>
            <w:shd w:val="clear" w:color="auto" w:fill="F2F2F2"/>
            <w:vAlign w:val="center"/>
          </w:tcPr>
          <w:p>
            <w:r/>
            <w:r>
              <w:rPr>
                <w:rFonts w:ascii="Arial" w:hAnsi="Arial"/>
                <w:sz w:val="20"/>
              </w:rPr>
              <w:t>-0.25pp</w:t>
            </w:r>
          </w:p>
        </w:tc>
        <w:tc>
          <w:tcPr>
            <w:tcW w:type="dxa" w:w="3120"/>
            <w:shd w:val="clear" w:color="auto" w:fill="F2F2F2"/>
            <w:vAlign w:val="center"/>
          </w:tcPr>
          <w:p>
            <w:r/>
            <w:r>
              <w:rPr>
                <w:rFonts w:ascii="Arial" w:hAnsi="Arial"/>
                <w:sz w:val="20"/>
              </w:rPr>
              <w:t>RBA F1</w:t>
            </w:r>
          </w:p>
        </w:tc>
      </w:tr>
      <w:tr>
        <w:tc>
          <w:tcPr>
            <w:tcW w:type="dxa" w:w="3120"/>
            <w:vAlign w:val="center"/>
          </w:tcPr>
          <w:p>
            <w:r/>
            <w:r>
              <w:rPr>
                <w:rFonts w:ascii="Arial" w:hAnsi="Arial"/>
                <w:sz w:val="20"/>
              </w:rPr>
              <w:t>Cash rate regime</w:t>
            </w:r>
          </w:p>
        </w:tc>
        <w:tc>
          <w:tcPr>
            <w:tcW w:type="dxa" w:w="3120"/>
            <w:vAlign w:val="center"/>
          </w:tcPr>
          <w:p>
            <w:r/>
            <w:r>
              <w:rPr>
                <w:rFonts w:ascii="Arial" w:hAnsi="Arial"/>
                <w:sz w:val="20"/>
              </w:rPr>
              <w:t>neutral_easing</w:t>
            </w:r>
          </w:p>
        </w:tc>
        <w:tc>
          <w:tcPr>
            <w:tcW w:type="dxa" w:w="3120"/>
            <w:vAlign w:val="center"/>
          </w:tcPr>
          <w:p>
            <w:r/>
            <w:r>
              <w:rPr>
                <w:rFonts w:ascii="Arial" w:hAnsi="Arial"/>
                <w:sz w:val="20"/>
              </w:rPr>
              <w:t>Derived from RBA F1</w:t>
            </w:r>
          </w:p>
        </w:tc>
      </w:tr>
      <w:tr>
        <w:tc>
          <w:tcPr>
            <w:tcW w:type="dxa" w:w="3120"/>
            <w:shd w:val="clear" w:color="auto" w:fill="F2F2F2"/>
            <w:vAlign w:val="center"/>
          </w:tcPr>
          <w:p>
            <w:r/>
            <w:r>
              <w:rPr>
                <w:rFonts w:ascii="Arial" w:hAnsi="Arial"/>
                <w:sz w:val="20"/>
              </w:rPr>
              <w:t>Arrears environment</w:t>
            </w:r>
          </w:p>
        </w:tc>
        <w:tc>
          <w:tcPr>
            <w:tcW w:type="dxa" w:w="3120"/>
            <w:shd w:val="clear" w:color="auto" w:fill="F2F2F2"/>
            <w:vAlign w:val="center"/>
          </w:tcPr>
          <w:p>
            <w:r/>
            <w:r>
              <w:rPr>
                <w:rFonts w:ascii="Arial" w:hAnsi="Arial"/>
                <w:sz w:val="20"/>
              </w:rPr>
              <w:t>Low</w:t>
            </w:r>
          </w:p>
        </w:tc>
        <w:tc>
          <w:tcPr>
            <w:tcW w:type="dxa" w:w="3120"/>
            <w:shd w:val="clear" w:color="auto" w:fill="F2F2F2"/>
            <w:vAlign w:val="center"/>
          </w:tcPr>
          <w:p>
            <w:r/>
            <w:r>
              <w:rPr>
                <w:rFonts w:ascii="Arial" w:hAnsi="Arial"/>
                <w:sz w:val="20"/>
              </w:rPr>
              <w:t>Staged arrears context</w:t>
            </w:r>
          </w:p>
        </w:tc>
      </w:tr>
      <w:tr>
        <w:tc>
          <w:tcPr>
            <w:tcW w:type="dxa" w:w="3120"/>
            <w:vAlign w:val="center"/>
          </w:tcPr>
          <w:p>
            <w:r/>
            <w:r>
              <w:rPr>
                <w:rFonts w:ascii="Arial" w:hAnsi="Arial"/>
                <w:sz w:val="20"/>
              </w:rPr>
              <w:t>Arrears trend</w:t>
            </w:r>
          </w:p>
        </w:tc>
        <w:tc>
          <w:tcPr>
            <w:tcW w:type="dxa" w:w="3120"/>
            <w:vAlign w:val="center"/>
          </w:tcPr>
          <w:p>
            <w:r/>
            <w:r>
              <w:rPr>
                <w:rFonts w:ascii="Arial" w:hAnsi="Arial"/>
                <w:sz w:val="20"/>
              </w:rPr>
              <w:t>Improving</w:t>
            </w:r>
          </w:p>
        </w:tc>
        <w:tc>
          <w:tcPr>
            <w:tcW w:type="dxa" w:w="3120"/>
            <w:vAlign w:val="center"/>
          </w:tcPr>
          <w:p>
            <w:r/>
            <w:r>
              <w:rPr>
                <w:rFonts w:ascii="Arial" w:hAnsi="Arial"/>
                <w:sz w:val="20"/>
              </w:rPr>
              <w:t>Staged arrears context</w:t>
            </w:r>
          </w:p>
        </w:tc>
      </w:tr>
      <w:tr>
        <w:tc>
          <w:tcPr>
            <w:tcW w:type="dxa" w:w="3120"/>
            <w:shd w:val="clear" w:color="auto" w:fill="F2F2F2"/>
            <w:vAlign w:val="center"/>
          </w:tcPr>
          <w:p>
            <w:r/>
            <w:r>
              <w:rPr>
                <w:rFonts w:ascii="Arial" w:hAnsi="Arial"/>
                <w:sz w:val="20"/>
              </w:rPr>
              <w:t>Macro regime flag</w:t>
            </w:r>
          </w:p>
        </w:tc>
        <w:tc>
          <w:tcPr>
            <w:tcW w:type="dxa" w:w="3120"/>
            <w:shd w:val="clear" w:color="auto" w:fill="F2F2F2"/>
            <w:vAlign w:val="center"/>
          </w:tcPr>
          <w:p>
            <w:r/>
            <w:r>
              <w:rPr>
                <w:rFonts w:ascii="Arial" w:hAnsi="Arial"/>
                <w:sz w:val="20"/>
              </w:rPr>
              <w:t>base</w:t>
            </w:r>
          </w:p>
        </w:tc>
        <w:tc>
          <w:tcPr>
            <w:tcW w:type="dxa" w:w="3120"/>
            <w:shd w:val="clear" w:color="auto" w:fill="F2F2F2"/>
            <w:vAlign w:val="center"/>
          </w:tcPr>
          <w:p>
            <w:r/>
            <w:r>
              <w:rPr>
                <w:rFonts w:ascii="Arial" w:hAnsi="Arial"/>
                <w:sz w:val="20"/>
              </w:rPr>
              <w:t>RBA F1 cash-rate table + staged arrears context</w:t>
            </w:r>
          </w:p>
        </w:tc>
      </w:tr>
    </w:tbl>
    <w:p/>
    <w:p>
      <w:r>
        <w:rPr>
          <w:rFonts w:ascii="Arial" w:hAnsi="Arial"/>
          <w:b w:val="0"/>
          <w:i w:val="0"/>
        </w:rPr>
        <w:t>Combined with a low arrears backdrop, this suggests borrowers are absorbing rate pressure; credit models should weight structural over cyclical factors in current calibration. The downturn overlays currently apply the 'base' scenario (no uplift to PD/LGD/CCF). The `macro_regime_flag` value of 'base' is the hook downstream repos use to select the corresponding row of `downturn_overlay_table.parquet`. Any change to this flag propagates automatically; recalibration of the underlying overlay is out of scope here.</w:t>
      </w:r>
    </w:p>
    <w:p>
      <w:pPr>
        <w:spacing w:before="280" w:after="120"/>
      </w:pPr>
      <w:r>
        <w:rPr>
          <w:rFonts w:ascii="Arial" w:hAnsi="Arial"/>
          <w:b/>
          <w:color w:val="1F4E79"/>
          <w:sz w:val="32"/>
        </w:rPr>
        <w:t>3. Industry Risk Rankings</w:t>
      </w:r>
    </w:p>
    <w:p>
      <w:r>
        <w:rPr>
          <w:rFonts w:ascii="Arial" w:hAnsi="Arial"/>
          <w:b w:val="0"/>
          <w:i w:val="0"/>
        </w:rPr>
        <w:t>Industries are ranked by a combined base risk score that blends structural classification risk (cyclicality, concentration, capital intensity) with current macro sensitivity. The table below is ordered highest-risk first. Scores range 1 (low) to 5 (high). Level bands: Low (&lt;2), Medium (2.00–2.75), Elevated (2.75–3.50), High (&gt;3.50). Both component scores and the blended `industry_base_risk_score` are shown. Source: `data/exports/industry_risk_scores.parquet` (refreshed from `build_business_cycle_panel` at pipeline build time).</w:t>
      </w:r>
    </w:p>
    <w:p>
      <w:r>
        <w:rPr>
          <w:rFonts w:ascii="Arial" w:hAnsi="Arial"/>
          <w:b w:val="0"/>
          <w:i/>
          <w:color w:val="7F7F7F"/>
          <w:sz w:val="20"/>
        </w:rPr>
        <w:t>All 9 industries ranked by base risk score</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vAlign w:val="center"/>
          </w:tcPr>
          <w:p>
            <w:r/>
            <w:r>
              <w:rPr>
                <w:rFonts w:ascii="Arial" w:hAnsi="Arial"/>
                <w:b/>
                <w:color w:val="FFFFFF"/>
                <w:sz w:val="20"/>
              </w:rPr>
              <w:t>Rank</w:t>
            </w:r>
          </w:p>
        </w:tc>
        <w:tc>
          <w:tcPr>
            <w:tcW w:type="dxa" w:w="1560"/>
            <w:shd w:val="clear" w:color="auto" w:fill="1F4E79"/>
            <w:vAlign w:val="center"/>
          </w:tcPr>
          <w:p>
            <w:r/>
            <w:r>
              <w:rPr>
                <w:rFonts w:ascii="Arial" w:hAnsi="Arial"/>
                <w:b/>
                <w:color w:val="FFFFFF"/>
                <w:sz w:val="20"/>
              </w:rPr>
              <w:t>Industry</w:t>
            </w:r>
          </w:p>
        </w:tc>
        <w:tc>
          <w:tcPr>
            <w:tcW w:type="dxa" w:w="1560"/>
            <w:shd w:val="clear" w:color="auto" w:fill="1F4E79"/>
            <w:vAlign w:val="center"/>
          </w:tcPr>
          <w:p>
            <w:r/>
            <w:r>
              <w:rPr>
                <w:rFonts w:ascii="Arial" w:hAnsi="Arial"/>
                <w:b/>
                <w:color w:val="FFFFFF"/>
                <w:sz w:val="20"/>
              </w:rPr>
              <w:t>Classification</w:t>
            </w:r>
          </w:p>
        </w:tc>
        <w:tc>
          <w:tcPr>
            <w:tcW w:type="dxa" w:w="1560"/>
            <w:shd w:val="clear" w:color="auto" w:fill="1F4E79"/>
            <w:vAlign w:val="center"/>
          </w:tcPr>
          <w:p>
            <w:r/>
            <w:r>
              <w:rPr>
                <w:rFonts w:ascii="Arial" w:hAnsi="Arial"/>
                <w:b/>
                <w:color w:val="FFFFFF"/>
                <w:sz w:val="20"/>
              </w:rPr>
              <w:t>Macro</w:t>
            </w:r>
          </w:p>
        </w:tc>
        <w:tc>
          <w:tcPr>
            <w:tcW w:type="dxa" w:w="1560"/>
            <w:shd w:val="clear" w:color="auto" w:fill="1F4E79"/>
            <w:vAlign w:val="center"/>
          </w:tcPr>
          <w:p>
            <w:r/>
            <w:r>
              <w:rPr>
                <w:rFonts w:ascii="Arial" w:hAnsi="Arial"/>
                <w:b/>
                <w:color w:val="FFFFFF"/>
                <w:sz w:val="20"/>
              </w:rPr>
              <w:t>Base score</w:t>
            </w:r>
          </w:p>
        </w:tc>
        <w:tc>
          <w:tcPr>
            <w:tcW w:type="dxa" w:w="1560"/>
            <w:shd w:val="clear" w:color="auto" w:fill="1F4E79"/>
            <w:vAlign w:val="center"/>
          </w:tcPr>
          <w:p>
            <w:r/>
            <w:r>
              <w:rPr>
                <w:rFonts w:ascii="Arial" w:hAnsi="Arial"/>
                <w:b/>
                <w:color w:val="FFFFFF"/>
                <w:sz w:val="20"/>
              </w:rPr>
              <w:t>Level</w:t>
            </w:r>
          </w:p>
        </w:tc>
      </w:tr>
      <w:tr>
        <w:tc>
          <w:tcPr>
            <w:tcW w:type="dxa" w:w="1560"/>
            <w:vAlign w:val="center"/>
          </w:tcPr>
          <w:p>
            <w:r/>
            <w:r>
              <w:rPr>
                <w:rFonts w:ascii="Arial" w:hAnsi="Arial"/>
                <w:sz w:val="20"/>
              </w:rPr>
              <w:t>1</w:t>
            </w:r>
          </w:p>
        </w:tc>
        <w:tc>
          <w:tcPr>
            <w:tcW w:type="dxa" w:w="1560"/>
            <w:vAlign w:val="center"/>
          </w:tcPr>
          <w:p>
            <w:r/>
            <w:r>
              <w:rPr>
                <w:rFonts w:ascii="Arial" w:hAnsi="Arial"/>
                <w:sz w:val="20"/>
              </w:rPr>
              <w:t>Agriculture, Forestry And Fishing</w:t>
            </w:r>
          </w:p>
        </w:tc>
        <w:tc>
          <w:tcPr>
            <w:tcW w:type="dxa" w:w="1560"/>
            <w:vAlign w:val="center"/>
          </w:tcPr>
          <w:p>
            <w:r/>
            <w:r>
              <w:rPr>
                <w:rFonts w:ascii="Arial" w:hAnsi="Arial"/>
                <w:sz w:val="20"/>
              </w:rPr>
              <w:t>3.75</w:t>
            </w:r>
          </w:p>
        </w:tc>
        <w:tc>
          <w:tcPr>
            <w:tcW w:type="dxa" w:w="1560"/>
            <w:vAlign w:val="center"/>
          </w:tcPr>
          <w:p>
            <w:r/>
            <w:r>
              <w:rPr>
                <w:rFonts w:ascii="Arial" w:hAnsi="Arial"/>
                <w:sz w:val="20"/>
              </w:rPr>
              <w:t>3.20</w:t>
            </w:r>
          </w:p>
        </w:tc>
        <w:tc>
          <w:tcPr>
            <w:tcW w:type="dxa" w:w="1560"/>
            <w:vAlign w:val="center"/>
          </w:tcPr>
          <w:p>
            <w:r/>
            <w:r>
              <w:rPr>
                <w:rFonts w:ascii="Arial" w:hAnsi="Arial"/>
                <w:sz w:val="20"/>
              </w:rPr>
              <w:t>3.50</w:t>
            </w:r>
          </w:p>
        </w:tc>
        <w:tc>
          <w:tcPr>
            <w:tcW w:type="dxa" w:w="1560"/>
            <w:vAlign w:val="center"/>
          </w:tcPr>
          <w:p>
            <w:r/>
            <w:r>
              <w:rPr>
                <w:rFonts w:ascii="Arial" w:hAnsi="Arial"/>
                <w:sz w:val="20"/>
              </w:rPr>
              <w:t>Elevated</w:t>
            </w:r>
          </w:p>
        </w:tc>
      </w:tr>
      <w:tr>
        <w:tc>
          <w:tcPr>
            <w:tcW w:type="dxa" w:w="1560"/>
            <w:shd w:val="clear" w:color="auto" w:fill="F2F2F2"/>
            <w:vAlign w:val="center"/>
          </w:tcPr>
          <w:p>
            <w:r/>
            <w:r>
              <w:rPr>
                <w:rFonts w:ascii="Arial" w:hAnsi="Arial"/>
                <w:sz w:val="20"/>
              </w:rPr>
              <w:t>2</w:t>
            </w:r>
          </w:p>
        </w:tc>
        <w:tc>
          <w:tcPr>
            <w:tcW w:type="dxa" w:w="1560"/>
            <w:shd w:val="clear" w:color="auto" w:fill="F2F2F2"/>
            <w:vAlign w:val="center"/>
          </w:tcPr>
          <w:p>
            <w:r/>
            <w:r>
              <w:rPr>
                <w:rFonts w:ascii="Arial" w:hAnsi="Arial"/>
                <w:sz w:val="20"/>
              </w:rPr>
              <w:t>Manufacturing</w:t>
            </w:r>
          </w:p>
        </w:tc>
        <w:tc>
          <w:tcPr>
            <w:tcW w:type="dxa" w:w="1560"/>
            <w:shd w:val="clear" w:color="auto" w:fill="F2F2F2"/>
            <w:vAlign w:val="center"/>
          </w:tcPr>
          <w:p>
            <w:r/>
            <w:r>
              <w:rPr>
                <w:rFonts w:ascii="Arial" w:hAnsi="Arial"/>
                <w:sz w:val="20"/>
              </w:rPr>
              <w:t>3.75</w:t>
            </w:r>
          </w:p>
        </w:tc>
        <w:tc>
          <w:tcPr>
            <w:tcW w:type="dxa" w:w="1560"/>
            <w:shd w:val="clear" w:color="auto" w:fill="F2F2F2"/>
            <w:vAlign w:val="center"/>
          </w:tcPr>
          <w:p>
            <w:r/>
            <w:r>
              <w:rPr>
                <w:rFonts w:ascii="Arial" w:hAnsi="Arial"/>
                <w:sz w:val="20"/>
              </w:rPr>
              <w:t>3.20</w:t>
            </w:r>
          </w:p>
        </w:tc>
        <w:tc>
          <w:tcPr>
            <w:tcW w:type="dxa" w:w="1560"/>
            <w:shd w:val="clear" w:color="auto" w:fill="F2F2F2"/>
            <w:vAlign w:val="center"/>
          </w:tcPr>
          <w:p>
            <w:r/>
            <w:r>
              <w:rPr>
                <w:rFonts w:ascii="Arial" w:hAnsi="Arial"/>
                <w:sz w:val="20"/>
              </w:rPr>
              <w:t>3.50</w:t>
            </w:r>
          </w:p>
        </w:tc>
        <w:tc>
          <w:tcPr>
            <w:tcW w:type="dxa" w:w="1560"/>
            <w:shd w:val="clear" w:color="auto" w:fill="F2F2F2"/>
            <w:vAlign w:val="center"/>
          </w:tcPr>
          <w:p>
            <w:r/>
            <w:r>
              <w:rPr>
                <w:rFonts w:ascii="Arial" w:hAnsi="Arial"/>
                <w:sz w:val="20"/>
              </w:rPr>
              <w:t>Elevated</w:t>
            </w:r>
          </w:p>
        </w:tc>
      </w:tr>
      <w:tr>
        <w:tc>
          <w:tcPr>
            <w:tcW w:type="dxa" w:w="1560"/>
            <w:vAlign w:val="center"/>
          </w:tcPr>
          <w:p>
            <w:r/>
            <w:r>
              <w:rPr>
                <w:rFonts w:ascii="Arial" w:hAnsi="Arial"/>
                <w:sz w:val="20"/>
              </w:rPr>
              <w:t>3</w:t>
            </w:r>
          </w:p>
        </w:tc>
        <w:tc>
          <w:tcPr>
            <w:tcW w:type="dxa" w:w="1560"/>
            <w:vAlign w:val="center"/>
          </w:tcPr>
          <w:p>
            <w:r/>
            <w:r>
              <w:rPr>
                <w:rFonts w:ascii="Arial" w:hAnsi="Arial"/>
                <w:sz w:val="20"/>
              </w:rPr>
              <w:t>Wholesale Trade</w:t>
            </w:r>
          </w:p>
        </w:tc>
        <w:tc>
          <w:tcPr>
            <w:tcW w:type="dxa" w:w="1560"/>
            <w:vAlign w:val="center"/>
          </w:tcPr>
          <w:p>
            <w:r/>
            <w:r>
              <w:rPr>
                <w:rFonts w:ascii="Arial" w:hAnsi="Arial"/>
                <w:sz w:val="20"/>
              </w:rPr>
              <w:t>3.25</w:t>
            </w:r>
          </w:p>
        </w:tc>
        <w:tc>
          <w:tcPr>
            <w:tcW w:type="dxa" w:w="1560"/>
            <w:vAlign w:val="center"/>
          </w:tcPr>
          <w:p>
            <w:r/>
            <w:r>
              <w:rPr>
                <w:rFonts w:ascii="Arial" w:hAnsi="Arial"/>
                <w:sz w:val="20"/>
              </w:rPr>
              <w:t>3.20</w:t>
            </w:r>
          </w:p>
        </w:tc>
        <w:tc>
          <w:tcPr>
            <w:tcW w:type="dxa" w:w="1560"/>
            <w:vAlign w:val="center"/>
          </w:tcPr>
          <w:p>
            <w:r/>
            <w:r>
              <w:rPr>
                <w:rFonts w:ascii="Arial" w:hAnsi="Arial"/>
                <w:sz w:val="20"/>
              </w:rPr>
              <w:t>3.23</w:t>
            </w:r>
          </w:p>
        </w:tc>
        <w:tc>
          <w:tcPr>
            <w:tcW w:type="dxa" w:w="1560"/>
            <w:vAlign w:val="center"/>
          </w:tcPr>
          <w:p>
            <w:r/>
            <w:r>
              <w:rPr>
                <w:rFonts w:ascii="Arial" w:hAnsi="Arial"/>
                <w:sz w:val="20"/>
              </w:rPr>
              <w:t>Elevated</w:t>
            </w:r>
          </w:p>
        </w:tc>
      </w:tr>
      <w:tr>
        <w:tc>
          <w:tcPr>
            <w:tcW w:type="dxa" w:w="1560"/>
            <w:shd w:val="clear" w:color="auto" w:fill="F2F2F2"/>
            <w:vAlign w:val="center"/>
          </w:tcPr>
          <w:p>
            <w:r/>
            <w:r>
              <w:rPr>
                <w:rFonts w:ascii="Arial" w:hAnsi="Arial"/>
                <w:sz w:val="20"/>
              </w:rPr>
              <w:t>4</w:t>
            </w:r>
          </w:p>
        </w:tc>
        <w:tc>
          <w:tcPr>
            <w:tcW w:type="dxa" w:w="1560"/>
            <w:shd w:val="clear" w:color="auto" w:fill="F2F2F2"/>
            <w:vAlign w:val="center"/>
          </w:tcPr>
          <w:p>
            <w:r/>
            <w:r>
              <w:rPr>
                <w:rFonts w:ascii="Arial" w:hAnsi="Arial"/>
                <w:sz w:val="20"/>
              </w:rPr>
              <w:t>Retail Trade</w:t>
            </w:r>
          </w:p>
        </w:tc>
        <w:tc>
          <w:tcPr>
            <w:tcW w:type="dxa" w:w="1560"/>
            <w:shd w:val="clear" w:color="auto" w:fill="F2F2F2"/>
            <w:vAlign w:val="center"/>
          </w:tcPr>
          <w:p>
            <w:r/>
            <w:r>
              <w:rPr>
                <w:rFonts w:ascii="Arial" w:hAnsi="Arial"/>
                <w:sz w:val="20"/>
              </w:rPr>
              <w:t>3.25</w:t>
            </w:r>
          </w:p>
        </w:tc>
        <w:tc>
          <w:tcPr>
            <w:tcW w:type="dxa" w:w="1560"/>
            <w:shd w:val="clear" w:color="auto" w:fill="F2F2F2"/>
            <w:vAlign w:val="center"/>
          </w:tcPr>
          <w:p>
            <w:r/>
            <w:r>
              <w:rPr>
                <w:rFonts w:ascii="Arial" w:hAnsi="Arial"/>
                <w:sz w:val="20"/>
              </w:rPr>
              <w:t>3.20</w:t>
            </w:r>
          </w:p>
        </w:tc>
        <w:tc>
          <w:tcPr>
            <w:tcW w:type="dxa" w:w="1560"/>
            <w:shd w:val="clear" w:color="auto" w:fill="F2F2F2"/>
            <w:vAlign w:val="center"/>
          </w:tcPr>
          <w:p>
            <w:r/>
            <w:r>
              <w:rPr>
                <w:rFonts w:ascii="Arial" w:hAnsi="Arial"/>
                <w:sz w:val="20"/>
              </w:rPr>
              <w:t>3.23</w:t>
            </w:r>
          </w:p>
        </w:tc>
        <w:tc>
          <w:tcPr>
            <w:tcW w:type="dxa" w:w="1560"/>
            <w:shd w:val="clear" w:color="auto" w:fill="F2F2F2"/>
            <w:vAlign w:val="center"/>
          </w:tcPr>
          <w:p>
            <w:r/>
            <w:r>
              <w:rPr>
                <w:rFonts w:ascii="Arial" w:hAnsi="Arial"/>
                <w:sz w:val="20"/>
              </w:rPr>
              <w:t>Elevated</w:t>
            </w:r>
          </w:p>
        </w:tc>
      </w:tr>
      <w:tr>
        <w:tc>
          <w:tcPr>
            <w:tcW w:type="dxa" w:w="1560"/>
            <w:vAlign w:val="center"/>
          </w:tcPr>
          <w:p>
            <w:r/>
            <w:r>
              <w:rPr>
                <w:rFonts w:ascii="Arial" w:hAnsi="Arial"/>
                <w:sz w:val="20"/>
              </w:rPr>
              <w:t>5</w:t>
            </w:r>
          </w:p>
        </w:tc>
        <w:tc>
          <w:tcPr>
            <w:tcW w:type="dxa" w:w="1560"/>
            <w:vAlign w:val="center"/>
          </w:tcPr>
          <w:p>
            <w:r/>
            <w:r>
              <w:rPr>
                <w:rFonts w:ascii="Arial" w:hAnsi="Arial"/>
                <w:sz w:val="20"/>
              </w:rPr>
              <w:t>Accommodation And Food Services</w:t>
            </w:r>
          </w:p>
        </w:tc>
        <w:tc>
          <w:tcPr>
            <w:tcW w:type="dxa" w:w="1560"/>
            <w:vAlign w:val="center"/>
          </w:tcPr>
          <w:p>
            <w:r/>
            <w:r>
              <w:rPr>
                <w:rFonts w:ascii="Arial" w:hAnsi="Arial"/>
                <w:sz w:val="20"/>
              </w:rPr>
              <w:t>2.75</w:t>
            </w:r>
          </w:p>
        </w:tc>
        <w:tc>
          <w:tcPr>
            <w:tcW w:type="dxa" w:w="1560"/>
            <w:vAlign w:val="center"/>
          </w:tcPr>
          <w:p>
            <w:r/>
            <w:r>
              <w:rPr>
                <w:rFonts w:ascii="Arial" w:hAnsi="Arial"/>
                <w:sz w:val="20"/>
              </w:rPr>
              <w:t>2.60</w:t>
            </w:r>
          </w:p>
        </w:tc>
        <w:tc>
          <w:tcPr>
            <w:tcW w:type="dxa" w:w="1560"/>
            <w:vAlign w:val="center"/>
          </w:tcPr>
          <w:p>
            <w:r/>
            <w:r>
              <w:rPr>
                <w:rFonts w:ascii="Arial" w:hAnsi="Arial"/>
                <w:sz w:val="20"/>
              </w:rPr>
              <w:t>2.68</w:t>
            </w:r>
          </w:p>
        </w:tc>
        <w:tc>
          <w:tcPr>
            <w:tcW w:type="dxa" w:w="1560"/>
            <w:vAlign w:val="center"/>
          </w:tcPr>
          <w:p>
            <w:r/>
            <w:r>
              <w:rPr>
                <w:rFonts w:ascii="Arial" w:hAnsi="Arial"/>
                <w:sz w:val="20"/>
              </w:rPr>
              <w:t>Medium</w:t>
            </w:r>
          </w:p>
        </w:tc>
      </w:tr>
      <w:tr>
        <w:tc>
          <w:tcPr>
            <w:tcW w:type="dxa" w:w="1560"/>
            <w:shd w:val="clear" w:color="auto" w:fill="F2F2F2"/>
            <w:vAlign w:val="center"/>
          </w:tcPr>
          <w:p>
            <w:r/>
            <w:r>
              <w:rPr>
                <w:rFonts w:ascii="Arial" w:hAnsi="Arial"/>
                <w:sz w:val="20"/>
              </w:rPr>
              <w:t>6</w:t>
            </w:r>
          </w:p>
        </w:tc>
        <w:tc>
          <w:tcPr>
            <w:tcW w:type="dxa" w:w="1560"/>
            <w:shd w:val="clear" w:color="auto" w:fill="F2F2F2"/>
            <w:vAlign w:val="center"/>
          </w:tcPr>
          <w:p>
            <w:r/>
            <w:r>
              <w:rPr>
                <w:rFonts w:ascii="Arial" w:hAnsi="Arial"/>
                <w:sz w:val="20"/>
              </w:rPr>
              <w:t>Construction</w:t>
            </w:r>
          </w:p>
        </w:tc>
        <w:tc>
          <w:tcPr>
            <w:tcW w:type="dxa" w:w="1560"/>
            <w:shd w:val="clear" w:color="auto" w:fill="F2F2F2"/>
            <w:vAlign w:val="center"/>
          </w:tcPr>
          <w:p>
            <w:r/>
            <w:r>
              <w:rPr>
                <w:rFonts w:ascii="Arial" w:hAnsi="Arial"/>
                <w:sz w:val="20"/>
              </w:rPr>
              <w:t>2.75</w:t>
            </w:r>
          </w:p>
        </w:tc>
        <w:tc>
          <w:tcPr>
            <w:tcW w:type="dxa" w:w="1560"/>
            <w:shd w:val="clear" w:color="auto" w:fill="F2F2F2"/>
            <w:vAlign w:val="center"/>
          </w:tcPr>
          <w:p>
            <w:r/>
            <w:r>
              <w:rPr>
                <w:rFonts w:ascii="Arial" w:hAnsi="Arial"/>
                <w:sz w:val="20"/>
              </w:rPr>
              <w:t>2.60</w:t>
            </w:r>
          </w:p>
        </w:tc>
        <w:tc>
          <w:tcPr>
            <w:tcW w:type="dxa" w:w="1560"/>
            <w:shd w:val="clear" w:color="auto" w:fill="F2F2F2"/>
            <w:vAlign w:val="center"/>
          </w:tcPr>
          <w:p>
            <w:r/>
            <w:r>
              <w:rPr>
                <w:rFonts w:ascii="Arial" w:hAnsi="Arial"/>
                <w:sz w:val="20"/>
              </w:rPr>
              <w:t>2.68</w:t>
            </w:r>
          </w:p>
        </w:tc>
        <w:tc>
          <w:tcPr>
            <w:tcW w:type="dxa" w:w="1560"/>
            <w:shd w:val="clear" w:color="auto" w:fill="F2F2F2"/>
            <w:vAlign w:val="center"/>
          </w:tcPr>
          <w:p>
            <w:r/>
            <w:r>
              <w:rPr>
                <w:rFonts w:ascii="Arial" w:hAnsi="Arial"/>
                <w:sz w:val="20"/>
              </w:rPr>
              <w:t>Medium</w:t>
            </w:r>
          </w:p>
        </w:tc>
      </w:tr>
      <w:tr>
        <w:tc>
          <w:tcPr>
            <w:tcW w:type="dxa" w:w="1560"/>
            <w:vAlign w:val="center"/>
          </w:tcPr>
          <w:p>
            <w:r/>
            <w:r>
              <w:rPr>
                <w:rFonts w:ascii="Arial" w:hAnsi="Arial"/>
                <w:sz w:val="20"/>
              </w:rPr>
              <w:t>7</w:t>
            </w:r>
          </w:p>
        </w:tc>
        <w:tc>
          <w:tcPr>
            <w:tcW w:type="dxa" w:w="1560"/>
            <w:vAlign w:val="center"/>
          </w:tcPr>
          <w:p>
            <w:r/>
            <w:r>
              <w:rPr>
                <w:rFonts w:ascii="Arial" w:hAnsi="Arial"/>
                <w:sz w:val="20"/>
              </w:rPr>
              <w:t>Health Care and Social Assistance</w:t>
            </w:r>
          </w:p>
        </w:tc>
        <w:tc>
          <w:tcPr>
            <w:tcW w:type="dxa" w:w="1560"/>
            <w:vAlign w:val="center"/>
          </w:tcPr>
          <w:p>
            <w:r/>
            <w:r>
              <w:rPr>
                <w:rFonts w:ascii="Arial" w:hAnsi="Arial"/>
                <w:sz w:val="20"/>
              </w:rPr>
              <w:t>1.75</w:t>
            </w:r>
          </w:p>
        </w:tc>
        <w:tc>
          <w:tcPr>
            <w:tcW w:type="dxa" w:w="1560"/>
            <w:vAlign w:val="center"/>
          </w:tcPr>
          <w:p>
            <w:r/>
            <w:r>
              <w:rPr>
                <w:rFonts w:ascii="Arial" w:hAnsi="Arial"/>
                <w:sz w:val="20"/>
              </w:rPr>
              <w:t>2.80</w:t>
            </w:r>
          </w:p>
        </w:tc>
        <w:tc>
          <w:tcPr>
            <w:tcW w:type="dxa" w:w="1560"/>
            <w:vAlign w:val="center"/>
          </w:tcPr>
          <w:p>
            <w:r/>
            <w:r>
              <w:rPr>
                <w:rFonts w:ascii="Arial" w:hAnsi="Arial"/>
                <w:sz w:val="20"/>
              </w:rPr>
              <w:t>2.22</w:t>
            </w:r>
          </w:p>
        </w:tc>
        <w:tc>
          <w:tcPr>
            <w:tcW w:type="dxa" w:w="1560"/>
            <w:vAlign w:val="center"/>
          </w:tcPr>
          <w:p>
            <w:r/>
            <w:r>
              <w:rPr>
                <w:rFonts w:ascii="Arial" w:hAnsi="Arial"/>
                <w:sz w:val="20"/>
              </w:rPr>
              <w:t>Medium</w:t>
            </w:r>
          </w:p>
        </w:tc>
      </w:tr>
      <w:tr>
        <w:tc>
          <w:tcPr>
            <w:tcW w:type="dxa" w:w="1560"/>
            <w:shd w:val="clear" w:color="auto" w:fill="F2F2F2"/>
            <w:vAlign w:val="center"/>
          </w:tcPr>
          <w:p>
            <w:r/>
            <w:r>
              <w:rPr>
                <w:rFonts w:ascii="Arial" w:hAnsi="Arial"/>
                <w:sz w:val="20"/>
              </w:rPr>
              <w:t>8</w:t>
            </w:r>
          </w:p>
        </w:tc>
        <w:tc>
          <w:tcPr>
            <w:tcW w:type="dxa" w:w="1560"/>
            <w:shd w:val="clear" w:color="auto" w:fill="F2F2F2"/>
            <w:vAlign w:val="center"/>
          </w:tcPr>
          <w:p>
            <w:r/>
            <w:r>
              <w:rPr>
                <w:rFonts w:ascii="Arial" w:hAnsi="Arial"/>
                <w:sz w:val="20"/>
              </w:rPr>
              <w:t>Professional, Scientific And Technical Services</w:t>
            </w:r>
          </w:p>
        </w:tc>
        <w:tc>
          <w:tcPr>
            <w:tcW w:type="dxa" w:w="1560"/>
            <w:shd w:val="clear" w:color="auto" w:fill="F2F2F2"/>
            <w:vAlign w:val="center"/>
          </w:tcPr>
          <w:p>
            <w:r/>
            <w:r>
              <w:rPr>
                <w:rFonts w:ascii="Arial" w:hAnsi="Arial"/>
                <w:sz w:val="20"/>
              </w:rPr>
              <w:t>2.00</w:t>
            </w:r>
          </w:p>
        </w:tc>
        <w:tc>
          <w:tcPr>
            <w:tcW w:type="dxa" w:w="1560"/>
            <w:shd w:val="clear" w:color="auto" w:fill="F2F2F2"/>
            <w:vAlign w:val="center"/>
          </w:tcPr>
          <w:p>
            <w:r/>
            <w:r>
              <w:rPr>
                <w:rFonts w:ascii="Arial" w:hAnsi="Arial"/>
                <w:sz w:val="20"/>
              </w:rPr>
              <w:t>2.40</w:t>
            </w:r>
          </w:p>
        </w:tc>
        <w:tc>
          <w:tcPr>
            <w:tcW w:type="dxa" w:w="1560"/>
            <w:shd w:val="clear" w:color="auto" w:fill="F2F2F2"/>
            <w:vAlign w:val="center"/>
          </w:tcPr>
          <w:p>
            <w:r/>
            <w:r>
              <w:rPr>
                <w:rFonts w:ascii="Arial" w:hAnsi="Arial"/>
                <w:sz w:val="20"/>
              </w:rPr>
              <w:t>2.18</w:t>
            </w:r>
          </w:p>
        </w:tc>
        <w:tc>
          <w:tcPr>
            <w:tcW w:type="dxa" w:w="1560"/>
            <w:shd w:val="clear" w:color="auto" w:fill="F2F2F2"/>
            <w:vAlign w:val="center"/>
          </w:tcPr>
          <w:p>
            <w:r/>
            <w:r>
              <w:rPr>
                <w:rFonts w:ascii="Arial" w:hAnsi="Arial"/>
                <w:sz w:val="20"/>
              </w:rPr>
              <w:t>Medium</w:t>
            </w:r>
          </w:p>
        </w:tc>
      </w:tr>
      <w:tr>
        <w:tc>
          <w:tcPr>
            <w:tcW w:type="dxa" w:w="1560"/>
            <w:vAlign w:val="center"/>
          </w:tcPr>
          <w:p>
            <w:r/>
            <w:r>
              <w:rPr>
                <w:rFonts w:ascii="Arial" w:hAnsi="Arial"/>
                <w:sz w:val="20"/>
              </w:rPr>
              <w:t>9</w:t>
            </w:r>
          </w:p>
        </w:tc>
        <w:tc>
          <w:tcPr>
            <w:tcW w:type="dxa" w:w="1560"/>
            <w:vAlign w:val="center"/>
          </w:tcPr>
          <w:p>
            <w:r/>
            <w:r>
              <w:rPr>
                <w:rFonts w:ascii="Arial" w:hAnsi="Arial"/>
                <w:sz w:val="20"/>
              </w:rPr>
              <w:t>Transport, Postal And Warehousing</w:t>
            </w:r>
          </w:p>
        </w:tc>
        <w:tc>
          <w:tcPr>
            <w:tcW w:type="dxa" w:w="1560"/>
            <w:vAlign w:val="center"/>
          </w:tcPr>
          <w:p>
            <w:r/>
            <w:r>
              <w:rPr>
                <w:rFonts w:ascii="Arial" w:hAnsi="Arial"/>
                <w:sz w:val="20"/>
              </w:rPr>
              <w:t>2.25</w:t>
            </w:r>
          </w:p>
        </w:tc>
        <w:tc>
          <w:tcPr>
            <w:tcW w:type="dxa" w:w="1560"/>
            <w:vAlign w:val="center"/>
          </w:tcPr>
          <w:p>
            <w:r/>
            <w:r>
              <w:rPr>
                <w:rFonts w:ascii="Arial" w:hAnsi="Arial"/>
                <w:sz w:val="20"/>
              </w:rPr>
              <w:t>2.00</w:t>
            </w:r>
          </w:p>
        </w:tc>
        <w:tc>
          <w:tcPr>
            <w:tcW w:type="dxa" w:w="1560"/>
            <w:vAlign w:val="center"/>
          </w:tcPr>
          <w:p>
            <w:r/>
            <w:r>
              <w:rPr>
                <w:rFonts w:ascii="Arial" w:hAnsi="Arial"/>
                <w:sz w:val="20"/>
              </w:rPr>
              <w:t>2.14</w:t>
            </w:r>
          </w:p>
        </w:tc>
        <w:tc>
          <w:tcPr>
            <w:tcW w:type="dxa" w:w="1560"/>
            <w:vAlign w:val="center"/>
          </w:tcPr>
          <w:p>
            <w:r/>
            <w:r>
              <w:rPr>
                <w:rFonts w:ascii="Arial" w:hAnsi="Arial"/>
                <w:sz w:val="20"/>
              </w:rPr>
              <w:t>Medium</w:t>
            </w:r>
          </w:p>
        </w:tc>
      </w:tr>
    </w:tbl>
    <w:p/>
    <w:tbl>
      <w:tblPr>
        <w:tblW w:type="auto" w:w="0"/>
        <w:jc w:val="left"/>
        <w:tblLook w:firstColumn="1" w:firstRow="1" w:lastColumn="0" w:lastRow="0" w:noHBand="0" w:noVBand="1" w:val="04A0"/>
      </w:tblPr>
      <w:tblGrid>
        <w:gridCol w:w="9360"/>
      </w:tblGrid>
      <w:tr>
        <w:tc>
          <w:tcPr>
            <w:tcW w:type="dxa" w:w="9360"/>
            <w:shd w:val="clear" w:color="auto" w:fill="F4B183"/>
            <w:vAlign w:val="top"/>
            <w:tcBorders>
              <w:top w:val="single" w:sz="8" w:color="F4B183"/>
              <w:left w:val="single" w:sz="8" w:color="F4B183"/>
              <w:bottom w:val="single" w:sz="8" w:color="F4B183"/>
              <w:right w:val="single" w:sz="8" w:color="F4B183"/>
            </w:tcBorders>
          </w:tcPr>
          <w:p>
            <w:r/>
            <w:r>
              <w:rPr>
                <w:rFonts w:ascii="Arial" w:hAnsi="Arial"/>
                <w:b/>
                <w:sz w:val="22"/>
              </w:rPr>
              <w:t>Construction ranking</w:t>
            </w:r>
          </w:p>
          <w:p>
            <w:r>
              <w:rPr>
                <w:rFonts w:ascii="Arial" w:hAnsi="Arial"/>
                <w:sz w:val="20"/>
              </w:rPr>
              <w:t>**Methodology note.** Construction base risk score (2.68, 'Medium') reflects structural classification risk only, not current insolvency pressure. See Section 9 for methodology context and the active review item.</w:t>
            </w:r>
          </w:p>
        </w:tc>
      </w:tr>
    </w:tbl>
    <w:p/>
    <w:p>
      <w:r>
        <w:rPr>
          <w:rFonts w:ascii="Arial" w:hAnsi="Arial"/>
          <w:b w:val="0"/>
          <w:i w:val="0"/>
        </w:rPr>
        <w:t>The top 4 industries all sit in the 'Elevated' band, driven by structural cyclicality and current rate sensitivity. Defensive sectors (Health Care; Professional, Scientific and Technical) sit at the lower end, as expected. The Base score is a weighted blend; see `src/overlays/build_industry_risk_scores.py` for the formula. All rows share the same `cash_rate_latest_pct` (3.85%) because the macro component is a single environment-wide conditioner, not an industry-specific signal.</w:t>
      </w:r>
    </w:p>
    <w:p>
      <w:pPr>
        <w:spacing w:before="280" w:after="120"/>
      </w:pPr>
      <w:r>
        <w:rPr>
          <w:rFonts w:ascii="Arial" w:hAnsi="Arial"/>
          <w:b/>
          <w:color w:val="1F4E79"/>
          <w:sz w:val="32"/>
        </w:rPr>
        <w:t>4. Top Risk Industries</w:t>
      </w:r>
    </w:p>
    <w:p>
      <w:r>
        <w:rPr>
          <w:rFonts w:ascii="Arial" w:hAnsi="Arial"/>
          <w:b w:val="0"/>
          <w:i w:val="0"/>
        </w:rPr>
        <w:t>These are the five industries with the highest combined base risk score in the current environment. Review these first when calibrating portfolio concentration limits or sector caps. Industries are sorted descending on `industry_base_risk_score`. Ties are broken by DataFrame order; this should not be relied on for downstream sorting.</w:t>
      </w:r>
    </w:p>
    <w:p>
      <w:r>
        <w:rPr>
          <w:rFonts w:ascii="Arial" w:hAnsi="Arial"/>
          <w:b w:val="0"/>
          <w:i/>
          <w:color w:val="7F7F7F"/>
          <w:sz w:val="20"/>
        </w:rPr>
        <w:t>Top 5 industries by base risk score</w:t>
      </w:r>
    </w:p>
    <w:tbl>
      <w:tblPr>
        <w:tblW w:type="auto" w:w="0"/>
        <w:jc w:val="left"/>
        <w:tblLook w:firstColumn="1" w:firstRow="1" w:lastColumn="0" w:lastRow="0" w:noHBand="0" w:noVBand="1" w:val="04A0"/>
      </w:tblPr>
      <w:tblGrid>
        <w:gridCol w:w="1872"/>
        <w:gridCol w:w="1872"/>
        <w:gridCol w:w="1872"/>
        <w:gridCol w:w="1872"/>
        <w:gridCol w:w="1872"/>
      </w:tblGrid>
      <w:tr>
        <w:tc>
          <w:tcPr>
            <w:tcW w:type="dxa" w:w="1872"/>
            <w:shd w:val="clear" w:color="auto" w:fill="1F4E79"/>
            <w:vAlign w:val="center"/>
          </w:tcPr>
          <w:p>
            <w:r/>
            <w:r>
              <w:rPr>
                <w:rFonts w:ascii="Arial" w:hAnsi="Arial"/>
                <w:b/>
                <w:color w:val="FFFFFF"/>
                <w:sz w:val="20"/>
              </w:rPr>
              <w:t>Industry</w:t>
            </w:r>
          </w:p>
        </w:tc>
        <w:tc>
          <w:tcPr>
            <w:tcW w:type="dxa" w:w="1872"/>
            <w:shd w:val="clear" w:color="auto" w:fill="1F4E79"/>
            <w:vAlign w:val="center"/>
          </w:tcPr>
          <w:p>
            <w:r/>
            <w:r>
              <w:rPr>
                <w:rFonts w:ascii="Arial" w:hAnsi="Arial"/>
                <w:b/>
                <w:color w:val="FFFFFF"/>
                <w:sz w:val="20"/>
              </w:rPr>
              <w:t>Classification</w:t>
            </w:r>
          </w:p>
        </w:tc>
        <w:tc>
          <w:tcPr>
            <w:tcW w:type="dxa" w:w="1872"/>
            <w:shd w:val="clear" w:color="auto" w:fill="1F4E79"/>
            <w:vAlign w:val="center"/>
          </w:tcPr>
          <w:p>
            <w:r/>
            <w:r>
              <w:rPr>
                <w:rFonts w:ascii="Arial" w:hAnsi="Arial"/>
                <w:b/>
                <w:color w:val="FFFFFF"/>
                <w:sz w:val="20"/>
              </w:rPr>
              <w:t>Macro</w:t>
            </w:r>
          </w:p>
        </w:tc>
        <w:tc>
          <w:tcPr>
            <w:tcW w:type="dxa" w:w="1872"/>
            <w:shd w:val="clear" w:color="auto" w:fill="1F4E79"/>
            <w:vAlign w:val="center"/>
          </w:tcPr>
          <w:p>
            <w:r/>
            <w:r>
              <w:rPr>
                <w:rFonts w:ascii="Arial" w:hAnsi="Arial"/>
                <w:b/>
                <w:color w:val="FFFFFF"/>
                <w:sz w:val="20"/>
              </w:rPr>
              <w:t>Base score</w:t>
            </w:r>
          </w:p>
        </w:tc>
        <w:tc>
          <w:tcPr>
            <w:tcW w:type="dxa" w:w="1872"/>
            <w:shd w:val="clear" w:color="auto" w:fill="1F4E79"/>
            <w:vAlign w:val="center"/>
          </w:tcPr>
          <w:p>
            <w:r/>
            <w:r>
              <w:rPr>
                <w:rFonts w:ascii="Arial" w:hAnsi="Arial"/>
                <w:b/>
                <w:color w:val="FFFFFF"/>
                <w:sz w:val="20"/>
              </w:rPr>
              <w:t>Level</w:t>
            </w:r>
          </w:p>
        </w:tc>
      </w:tr>
      <w:tr>
        <w:tc>
          <w:tcPr>
            <w:tcW w:type="dxa" w:w="1872"/>
            <w:vAlign w:val="center"/>
          </w:tcPr>
          <w:p>
            <w:r/>
            <w:r>
              <w:rPr>
                <w:rFonts w:ascii="Arial" w:hAnsi="Arial"/>
                <w:sz w:val="20"/>
              </w:rPr>
              <w:t>Agriculture, Forestry And Fishing</w:t>
            </w:r>
          </w:p>
        </w:tc>
        <w:tc>
          <w:tcPr>
            <w:tcW w:type="dxa" w:w="1872"/>
            <w:vAlign w:val="center"/>
          </w:tcPr>
          <w:p>
            <w:r/>
            <w:r>
              <w:rPr>
                <w:rFonts w:ascii="Arial" w:hAnsi="Arial"/>
                <w:sz w:val="20"/>
              </w:rPr>
              <w:t>3.75</w:t>
            </w:r>
          </w:p>
        </w:tc>
        <w:tc>
          <w:tcPr>
            <w:tcW w:type="dxa" w:w="1872"/>
            <w:vAlign w:val="center"/>
          </w:tcPr>
          <w:p>
            <w:r/>
            <w:r>
              <w:rPr>
                <w:rFonts w:ascii="Arial" w:hAnsi="Arial"/>
                <w:sz w:val="20"/>
              </w:rPr>
              <w:t>3.20</w:t>
            </w:r>
          </w:p>
        </w:tc>
        <w:tc>
          <w:tcPr>
            <w:tcW w:type="dxa" w:w="1872"/>
            <w:vAlign w:val="center"/>
          </w:tcPr>
          <w:p>
            <w:r/>
            <w:r>
              <w:rPr>
                <w:rFonts w:ascii="Arial" w:hAnsi="Arial"/>
                <w:sz w:val="20"/>
              </w:rPr>
              <w:t>3.50</w:t>
            </w:r>
          </w:p>
        </w:tc>
        <w:tc>
          <w:tcPr>
            <w:tcW w:type="dxa" w:w="1872"/>
            <w:vAlign w:val="center"/>
          </w:tcPr>
          <w:p>
            <w:r/>
            <w:r>
              <w:rPr>
                <w:rFonts w:ascii="Arial" w:hAnsi="Arial"/>
                <w:sz w:val="20"/>
              </w:rPr>
              <w:t>Elevated</w:t>
            </w:r>
          </w:p>
        </w:tc>
      </w:tr>
      <w:tr>
        <w:tc>
          <w:tcPr>
            <w:tcW w:type="dxa" w:w="1872"/>
            <w:shd w:val="clear" w:color="auto" w:fill="F2F2F2"/>
            <w:vAlign w:val="center"/>
          </w:tcPr>
          <w:p>
            <w:r/>
            <w:r>
              <w:rPr>
                <w:rFonts w:ascii="Arial" w:hAnsi="Arial"/>
                <w:sz w:val="20"/>
              </w:rPr>
              <w:t>Manufacturing</w:t>
            </w:r>
          </w:p>
        </w:tc>
        <w:tc>
          <w:tcPr>
            <w:tcW w:type="dxa" w:w="1872"/>
            <w:shd w:val="clear" w:color="auto" w:fill="F2F2F2"/>
            <w:vAlign w:val="center"/>
          </w:tcPr>
          <w:p>
            <w:r/>
            <w:r>
              <w:rPr>
                <w:rFonts w:ascii="Arial" w:hAnsi="Arial"/>
                <w:sz w:val="20"/>
              </w:rPr>
              <w:t>3.75</w:t>
            </w:r>
          </w:p>
        </w:tc>
        <w:tc>
          <w:tcPr>
            <w:tcW w:type="dxa" w:w="1872"/>
            <w:shd w:val="clear" w:color="auto" w:fill="F2F2F2"/>
            <w:vAlign w:val="center"/>
          </w:tcPr>
          <w:p>
            <w:r/>
            <w:r>
              <w:rPr>
                <w:rFonts w:ascii="Arial" w:hAnsi="Arial"/>
                <w:sz w:val="20"/>
              </w:rPr>
              <w:t>3.20</w:t>
            </w:r>
          </w:p>
        </w:tc>
        <w:tc>
          <w:tcPr>
            <w:tcW w:type="dxa" w:w="1872"/>
            <w:shd w:val="clear" w:color="auto" w:fill="F2F2F2"/>
            <w:vAlign w:val="center"/>
          </w:tcPr>
          <w:p>
            <w:r/>
            <w:r>
              <w:rPr>
                <w:rFonts w:ascii="Arial" w:hAnsi="Arial"/>
                <w:sz w:val="20"/>
              </w:rPr>
              <w:t>3.50</w:t>
            </w:r>
          </w:p>
        </w:tc>
        <w:tc>
          <w:tcPr>
            <w:tcW w:type="dxa" w:w="1872"/>
            <w:shd w:val="clear" w:color="auto" w:fill="F2F2F2"/>
            <w:vAlign w:val="center"/>
          </w:tcPr>
          <w:p>
            <w:r/>
            <w:r>
              <w:rPr>
                <w:rFonts w:ascii="Arial" w:hAnsi="Arial"/>
                <w:sz w:val="20"/>
              </w:rPr>
              <w:t>Elevated</w:t>
            </w:r>
          </w:p>
        </w:tc>
      </w:tr>
      <w:tr>
        <w:tc>
          <w:tcPr>
            <w:tcW w:type="dxa" w:w="1872"/>
            <w:vAlign w:val="center"/>
          </w:tcPr>
          <w:p>
            <w:r/>
            <w:r>
              <w:rPr>
                <w:rFonts w:ascii="Arial" w:hAnsi="Arial"/>
                <w:sz w:val="20"/>
              </w:rPr>
              <w:t>Wholesale Trade</w:t>
            </w:r>
          </w:p>
        </w:tc>
        <w:tc>
          <w:tcPr>
            <w:tcW w:type="dxa" w:w="1872"/>
            <w:vAlign w:val="center"/>
          </w:tcPr>
          <w:p>
            <w:r/>
            <w:r>
              <w:rPr>
                <w:rFonts w:ascii="Arial" w:hAnsi="Arial"/>
                <w:sz w:val="20"/>
              </w:rPr>
              <w:t>3.25</w:t>
            </w:r>
          </w:p>
        </w:tc>
        <w:tc>
          <w:tcPr>
            <w:tcW w:type="dxa" w:w="1872"/>
            <w:vAlign w:val="center"/>
          </w:tcPr>
          <w:p>
            <w:r/>
            <w:r>
              <w:rPr>
                <w:rFonts w:ascii="Arial" w:hAnsi="Arial"/>
                <w:sz w:val="20"/>
              </w:rPr>
              <w:t>3.20</w:t>
            </w:r>
          </w:p>
        </w:tc>
        <w:tc>
          <w:tcPr>
            <w:tcW w:type="dxa" w:w="1872"/>
            <w:vAlign w:val="center"/>
          </w:tcPr>
          <w:p>
            <w:r/>
            <w:r>
              <w:rPr>
                <w:rFonts w:ascii="Arial" w:hAnsi="Arial"/>
                <w:sz w:val="20"/>
              </w:rPr>
              <w:t>3.23</w:t>
            </w:r>
          </w:p>
        </w:tc>
        <w:tc>
          <w:tcPr>
            <w:tcW w:type="dxa" w:w="1872"/>
            <w:vAlign w:val="center"/>
          </w:tcPr>
          <w:p>
            <w:r/>
            <w:r>
              <w:rPr>
                <w:rFonts w:ascii="Arial" w:hAnsi="Arial"/>
                <w:sz w:val="20"/>
              </w:rPr>
              <w:t>Elevated</w:t>
            </w:r>
          </w:p>
        </w:tc>
      </w:tr>
      <w:tr>
        <w:tc>
          <w:tcPr>
            <w:tcW w:type="dxa" w:w="1872"/>
            <w:shd w:val="clear" w:color="auto" w:fill="F2F2F2"/>
            <w:vAlign w:val="center"/>
          </w:tcPr>
          <w:p>
            <w:r/>
            <w:r>
              <w:rPr>
                <w:rFonts w:ascii="Arial" w:hAnsi="Arial"/>
                <w:sz w:val="20"/>
              </w:rPr>
              <w:t>Retail Trade</w:t>
            </w:r>
          </w:p>
        </w:tc>
        <w:tc>
          <w:tcPr>
            <w:tcW w:type="dxa" w:w="1872"/>
            <w:shd w:val="clear" w:color="auto" w:fill="F2F2F2"/>
            <w:vAlign w:val="center"/>
          </w:tcPr>
          <w:p>
            <w:r/>
            <w:r>
              <w:rPr>
                <w:rFonts w:ascii="Arial" w:hAnsi="Arial"/>
                <w:sz w:val="20"/>
              </w:rPr>
              <w:t>3.25</w:t>
            </w:r>
          </w:p>
        </w:tc>
        <w:tc>
          <w:tcPr>
            <w:tcW w:type="dxa" w:w="1872"/>
            <w:shd w:val="clear" w:color="auto" w:fill="F2F2F2"/>
            <w:vAlign w:val="center"/>
          </w:tcPr>
          <w:p>
            <w:r/>
            <w:r>
              <w:rPr>
                <w:rFonts w:ascii="Arial" w:hAnsi="Arial"/>
                <w:sz w:val="20"/>
              </w:rPr>
              <w:t>3.20</w:t>
            </w:r>
          </w:p>
        </w:tc>
        <w:tc>
          <w:tcPr>
            <w:tcW w:type="dxa" w:w="1872"/>
            <w:shd w:val="clear" w:color="auto" w:fill="F2F2F2"/>
            <w:vAlign w:val="center"/>
          </w:tcPr>
          <w:p>
            <w:r/>
            <w:r>
              <w:rPr>
                <w:rFonts w:ascii="Arial" w:hAnsi="Arial"/>
                <w:sz w:val="20"/>
              </w:rPr>
              <w:t>3.23</w:t>
            </w:r>
          </w:p>
        </w:tc>
        <w:tc>
          <w:tcPr>
            <w:tcW w:type="dxa" w:w="1872"/>
            <w:shd w:val="clear" w:color="auto" w:fill="F2F2F2"/>
            <w:vAlign w:val="center"/>
          </w:tcPr>
          <w:p>
            <w:r/>
            <w:r>
              <w:rPr>
                <w:rFonts w:ascii="Arial" w:hAnsi="Arial"/>
                <w:sz w:val="20"/>
              </w:rPr>
              <w:t>Elevated</w:t>
            </w:r>
          </w:p>
        </w:tc>
      </w:tr>
      <w:tr>
        <w:tc>
          <w:tcPr>
            <w:tcW w:type="dxa" w:w="1872"/>
            <w:vAlign w:val="center"/>
          </w:tcPr>
          <w:p>
            <w:r/>
            <w:r>
              <w:rPr>
                <w:rFonts w:ascii="Arial" w:hAnsi="Arial"/>
                <w:sz w:val="20"/>
              </w:rPr>
              <w:t>Accommodation And Food Services</w:t>
            </w:r>
          </w:p>
        </w:tc>
        <w:tc>
          <w:tcPr>
            <w:tcW w:type="dxa" w:w="1872"/>
            <w:vAlign w:val="center"/>
          </w:tcPr>
          <w:p>
            <w:r/>
            <w:r>
              <w:rPr>
                <w:rFonts w:ascii="Arial" w:hAnsi="Arial"/>
                <w:sz w:val="20"/>
              </w:rPr>
              <w:t>2.75</w:t>
            </w:r>
          </w:p>
        </w:tc>
        <w:tc>
          <w:tcPr>
            <w:tcW w:type="dxa" w:w="1872"/>
            <w:vAlign w:val="center"/>
          </w:tcPr>
          <w:p>
            <w:r/>
            <w:r>
              <w:rPr>
                <w:rFonts w:ascii="Arial" w:hAnsi="Arial"/>
                <w:sz w:val="20"/>
              </w:rPr>
              <w:t>2.60</w:t>
            </w:r>
          </w:p>
        </w:tc>
        <w:tc>
          <w:tcPr>
            <w:tcW w:type="dxa" w:w="1872"/>
            <w:vAlign w:val="center"/>
          </w:tcPr>
          <w:p>
            <w:r/>
            <w:r>
              <w:rPr>
                <w:rFonts w:ascii="Arial" w:hAnsi="Arial"/>
                <w:sz w:val="20"/>
              </w:rPr>
              <w:t>2.68</w:t>
            </w:r>
          </w:p>
        </w:tc>
        <w:tc>
          <w:tcPr>
            <w:tcW w:type="dxa" w:w="1872"/>
            <w:vAlign w:val="center"/>
          </w:tcPr>
          <w:p>
            <w:r/>
            <w:r>
              <w:rPr>
                <w:rFonts w:ascii="Arial" w:hAnsi="Arial"/>
                <w:sz w:val="20"/>
              </w:rPr>
              <w:t>Medium</w:t>
            </w:r>
          </w:p>
        </w:tc>
      </w:tr>
    </w:tbl>
    <w:p/>
    <w:p>
      <w:r>
        <w:rPr>
          <w:rFonts w:ascii="Arial" w:hAnsi="Arial"/>
          <w:b w:val="0"/>
          <w:i w:val="0"/>
        </w:rPr>
        <w:t>The table below adds operational context from `business_cycle_panel.parquet` for the same five industries. Nulls in 'Demand growth YoY %' reflect sectors where ABS does not publish the relevant series; the underlying scoring logic maps nulls to a neutral factor score (3). See Section 9.</w:t>
      </w:r>
    </w:p>
    <w:p>
      <w:r>
        <w:rPr>
          <w:rFonts w:ascii="Arial" w:hAnsi="Arial"/>
          <w:b w:val="0"/>
          <w:i/>
          <w:color w:val="7F7F7F"/>
          <w:sz w:val="20"/>
        </w:rPr>
        <w:t>Operational detail for top 5 industries (Technical only)</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vAlign w:val="center"/>
          </w:tcPr>
          <w:p>
            <w:r/>
            <w:r>
              <w:rPr>
                <w:rFonts w:ascii="Arial" w:hAnsi="Arial"/>
                <w:b/>
                <w:color w:val="FFFFFF"/>
                <w:sz w:val="20"/>
              </w:rPr>
              <w:t>Industry</w:t>
            </w:r>
          </w:p>
        </w:tc>
        <w:tc>
          <w:tcPr>
            <w:tcW w:type="dxa" w:w="1560"/>
            <w:shd w:val="clear" w:color="auto" w:fill="1F4E79"/>
            <w:vAlign w:val="center"/>
          </w:tcPr>
          <w:p>
            <w:r/>
            <w:r>
              <w:rPr>
                <w:rFonts w:ascii="Arial" w:hAnsi="Arial"/>
                <w:b/>
                <w:color w:val="FFFFFF"/>
                <w:sz w:val="20"/>
              </w:rPr>
              <w:t>Employment (000s)</w:t>
            </w:r>
          </w:p>
        </w:tc>
        <w:tc>
          <w:tcPr>
            <w:tcW w:type="dxa" w:w="1560"/>
            <w:shd w:val="clear" w:color="auto" w:fill="1F4E79"/>
            <w:vAlign w:val="center"/>
          </w:tcPr>
          <w:p>
            <w:r/>
            <w:r>
              <w:rPr>
                <w:rFonts w:ascii="Arial" w:hAnsi="Arial"/>
                <w:b/>
                <w:color w:val="FFFFFF"/>
                <w:sz w:val="20"/>
              </w:rPr>
              <w:t>Sales ($m)</w:t>
            </w:r>
          </w:p>
        </w:tc>
        <w:tc>
          <w:tcPr>
            <w:tcW w:type="dxa" w:w="1560"/>
            <w:shd w:val="clear" w:color="auto" w:fill="1F4E79"/>
            <w:vAlign w:val="center"/>
          </w:tcPr>
          <w:p>
            <w:r/>
            <w:r>
              <w:rPr>
                <w:rFonts w:ascii="Arial" w:hAnsi="Arial"/>
                <w:b/>
                <w:color w:val="FFFFFF"/>
                <w:sz w:val="20"/>
              </w:rPr>
              <w:t>EBITDA margin %</w:t>
            </w:r>
          </w:p>
        </w:tc>
        <w:tc>
          <w:tcPr>
            <w:tcW w:type="dxa" w:w="1560"/>
            <w:shd w:val="clear" w:color="auto" w:fill="1F4E79"/>
            <w:vAlign w:val="center"/>
          </w:tcPr>
          <w:p>
            <w:r/>
            <w:r>
              <w:rPr>
                <w:rFonts w:ascii="Arial" w:hAnsi="Arial"/>
                <w:b/>
                <w:color w:val="FFFFFF"/>
                <w:sz w:val="20"/>
              </w:rPr>
              <w:t>Demand growth YoY %</w:t>
            </w:r>
          </w:p>
        </w:tc>
        <w:tc>
          <w:tcPr>
            <w:tcW w:type="dxa" w:w="1560"/>
            <w:shd w:val="clear" w:color="auto" w:fill="1F4E79"/>
            <w:vAlign w:val="center"/>
          </w:tcPr>
          <w:p>
            <w:r/>
            <w:r>
              <w:rPr>
                <w:rFonts w:ascii="Arial" w:hAnsi="Arial"/>
                <w:b/>
                <w:color w:val="FFFFFF"/>
                <w:sz w:val="20"/>
              </w:rPr>
              <w:t>Inventory build risk</w:t>
            </w:r>
          </w:p>
        </w:tc>
      </w:tr>
      <w:tr>
        <w:tc>
          <w:tcPr>
            <w:tcW w:type="dxa" w:w="1560"/>
            <w:vAlign w:val="center"/>
          </w:tcPr>
          <w:p>
            <w:r/>
            <w:r>
              <w:rPr>
                <w:rFonts w:ascii="Arial" w:hAnsi="Arial"/>
                <w:sz w:val="20"/>
              </w:rPr>
              <w:t>Agriculture, Forestry And Fishing</w:t>
            </w:r>
          </w:p>
        </w:tc>
        <w:tc>
          <w:tcPr>
            <w:tcW w:type="dxa" w:w="1560"/>
            <w:vAlign w:val="center"/>
          </w:tcPr>
          <w:p>
            <w:r/>
            <w:r>
              <w:rPr>
                <w:rFonts w:ascii="Arial" w:hAnsi="Arial"/>
                <w:sz w:val="20"/>
              </w:rPr>
              <w:t>411.0</w:t>
            </w:r>
          </w:p>
        </w:tc>
        <w:tc>
          <w:tcPr>
            <w:tcW w:type="dxa" w:w="1560"/>
            <w:vAlign w:val="center"/>
          </w:tcPr>
          <w:p>
            <w:r/>
            <w:r>
              <w:rPr>
                <w:rFonts w:ascii="Arial" w:hAnsi="Arial"/>
                <w:sz w:val="20"/>
              </w:rPr>
              <w:t>119,772</w:t>
            </w:r>
          </w:p>
        </w:tc>
        <w:tc>
          <w:tcPr>
            <w:tcW w:type="dxa" w:w="1560"/>
            <w:vAlign w:val="center"/>
          </w:tcPr>
          <w:p>
            <w:r/>
            <w:r>
              <w:rPr>
                <w:rFonts w:ascii="Arial" w:hAnsi="Arial"/>
                <w:sz w:val="20"/>
              </w:rPr>
              <w:t>14.58</w:t>
            </w:r>
          </w:p>
        </w:tc>
        <w:tc>
          <w:tcPr>
            <w:tcW w:type="dxa" w:w="1560"/>
            <w:vAlign w:val="center"/>
          </w:tcPr>
          <w:p>
            <w:r/>
            <w:r>
              <w:rPr>
                <w:rFonts w:ascii="Arial" w:hAnsi="Arial"/>
                <w:sz w:val="20"/>
              </w:rPr>
              <w:t>+58.37</w:t>
            </w:r>
          </w:p>
        </w:tc>
        <w:tc>
          <w:tcPr>
            <w:tcW w:type="dxa" w:w="1560"/>
            <w:vAlign w:val="center"/>
          </w:tcPr>
          <w:p>
            <w:r/>
            <w:r>
              <w:rPr>
                <w:rFonts w:ascii="Arial" w:hAnsi="Arial"/>
                <w:sz w:val="20"/>
              </w:rPr>
              <w:t>Low</w:t>
            </w:r>
          </w:p>
        </w:tc>
      </w:tr>
      <w:tr>
        <w:tc>
          <w:tcPr>
            <w:tcW w:type="dxa" w:w="1560"/>
            <w:shd w:val="clear" w:color="auto" w:fill="F2F2F2"/>
            <w:vAlign w:val="center"/>
          </w:tcPr>
          <w:p>
            <w:r/>
            <w:r>
              <w:rPr>
                <w:rFonts w:ascii="Arial" w:hAnsi="Arial"/>
                <w:sz w:val="20"/>
              </w:rPr>
              <w:t>Manufacturing</w:t>
            </w:r>
          </w:p>
        </w:tc>
        <w:tc>
          <w:tcPr>
            <w:tcW w:type="dxa" w:w="1560"/>
            <w:shd w:val="clear" w:color="auto" w:fill="F2F2F2"/>
            <w:vAlign w:val="center"/>
          </w:tcPr>
          <w:p>
            <w:r/>
            <w:r>
              <w:rPr>
                <w:rFonts w:ascii="Arial" w:hAnsi="Arial"/>
                <w:sz w:val="20"/>
              </w:rPr>
              <w:t>901.7</w:t>
            </w:r>
          </w:p>
        </w:tc>
        <w:tc>
          <w:tcPr>
            <w:tcW w:type="dxa" w:w="1560"/>
            <w:shd w:val="clear" w:color="auto" w:fill="F2F2F2"/>
            <w:vAlign w:val="center"/>
          </w:tcPr>
          <w:p>
            <w:r/>
            <w:r>
              <w:rPr>
                <w:rFonts w:ascii="Arial" w:hAnsi="Arial"/>
                <w:sz w:val="20"/>
              </w:rPr>
              <w:t>514,199</w:t>
            </w:r>
          </w:p>
        </w:tc>
        <w:tc>
          <w:tcPr>
            <w:tcW w:type="dxa" w:w="1560"/>
            <w:shd w:val="clear" w:color="auto" w:fill="F2F2F2"/>
            <w:vAlign w:val="center"/>
          </w:tcPr>
          <w:p>
            <w:r/>
            <w:r>
              <w:rPr>
                <w:rFonts w:ascii="Arial" w:hAnsi="Arial"/>
                <w:sz w:val="20"/>
              </w:rPr>
              <w:t>9.15</w:t>
            </w:r>
          </w:p>
        </w:tc>
        <w:tc>
          <w:tcPr>
            <w:tcW w:type="dxa" w:w="1560"/>
            <w:shd w:val="clear" w:color="auto" w:fill="F2F2F2"/>
            <w:vAlign w:val="center"/>
          </w:tcPr>
          <w:p>
            <w:r/>
            <w:r>
              <w:rPr>
                <w:rFonts w:ascii="Arial" w:hAnsi="Arial"/>
                <w:sz w:val="20"/>
              </w:rPr>
              <w:t>+55.53</w:t>
            </w:r>
          </w:p>
        </w:tc>
        <w:tc>
          <w:tcPr>
            <w:tcW w:type="dxa" w:w="1560"/>
            <w:shd w:val="clear" w:color="auto" w:fill="F2F2F2"/>
            <w:vAlign w:val="center"/>
          </w:tcPr>
          <w:p>
            <w:r/>
            <w:r>
              <w:rPr>
                <w:rFonts w:ascii="Arial" w:hAnsi="Arial"/>
                <w:sz w:val="20"/>
              </w:rPr>
              <w:t>Moderate</w:t>
            </w:r>
          </w:p>
        </w:tc>
      </w:tr>
      <w:tr>
        <w:tc>
          <w:tcPr>
            <w:tcW w:type="dxa" w:w="1560"/>
            <w:vAlign w:val="center"/>
          </w:tcPr>
          <w:p>
            <w:r/>
            <w:r>
              <w:rPr>
                <w:rFonts w:ascii="Arial" w:hAnsi="Arial"/>
                <w:sz w:val="20"/>
              </w:rPr>
              <w:t>Wholesale Trade</w:t>
            </w:r>
          </w:p>
        </w:tc>
        <w:tc>
          <w:tcPr>
            <w:tcW w:type="dxa" w:w="1560"/>
            <w:vAlign w:val="center"/>
          </w:tcPr>
          <w:p>
            <w:r/>
            <w:r>
              <w:rPr>
                <w:rFonts w:ascii="Arial" w:hAnsi="Arial"/>
                <w:sz w:val="20"/>
              </w:rPr>
              <w:t>604.2</w:t>
            </w:r>
          </w:p>
        </w:tc>
        <w:tc>
          <w:tcPr>
            <w:tcW w:type="dxa" w:w="1560"/>
            <w:vAlign w:val="center"/>
          </w:tcPr>
          <w:p>
            <w:r/>
            <w:r>
              <w:rPr>
                <w:rFonts w:ascii="Arial" w:hAnsi="Arial"/>
                <w:sz w:val="20"/>
              </w:rPr>
              <w:t>772,255</w:t>
            </w:r>
          </w:p>
        </w:tc>
        <w:tc>
          <w:tcPr>
            <w:tcW w:type="dxa" w:w="1560"/>
            <w:vAlign w:val="center"/>
          </w:tcPr>
          <w:p>
            <w:r/>
            <w:r>
              <w:rPr>
                <w:rFonts w:ascii="Arial" w:hAnsi="Arial"/>
                <w:sz w:val="20"/>
              </w:rPr>
              <w:t>6.12</w:t>
            </w:r>
          </w:p>
        </w:tc>
        <w:tc>
          <w:tcPr>
            <w:tcW w:type="dxa" w:w="1560"/>
            <w:vAlign w:val="center"/>
          </w:tcPr>
          <w:p>
            <w:r/>
            <w:r>
              <w:rPr>
                <w:rFonts w:ascii="Arial" w:hAnsi="Arial"/>
                <w:sz w:val="20"/>
              </w:rPr>
              <w:t>+69.32</w:t>
            </w:r>
          </w:p>
        </w:tc>
        <w:tc>
          <w:tcPr>
            <w:tcW w:type="dxa" w:w="1560"/>
            <w:vAlign w:val="center"/>
          </w:tcPr>
          <w:p>
            <w:r/>
            <w:r>
              <w:rPr>
                <w:rFonts w:ascii="Arial" w:hAnsi="Arial"/>
                <w:sz w:val="20"/>
              </w:rPr>
              <w:t>Moderate</w:t>
            </w:r>
          </w:p>
        </w:tc>
      </w:tr>
      <w:tr>
        <w:tc>
          <w:tcPr>
            <w:tcW w:type="dxa" w:w="1560"/>
            <w:shd w:val="clear" w:color="auto" w:fill="F2F2F2"/>
            <w:vAlign w:val="center"/>
          </w:tcPr>
          <w:p>
            <w:r/>
            <w:r>
              <w:rPr>
                <w:rFonts w:ascii="Arial" w:hAnsi="Arial"/>
                <w:sz w:val="20"/>
              </w:rPr>
              <w:t>Retail Trade</w:t>
            </w:r>
          </w:p>
        </w:tc>
        <w:tc>
          <w:tcPr>
            <w:tcW w:type="dxa" w:w="1560"/>
            <w:shd w:val="clear" w:color="auto" w:fill="F2F2F2"/>
            <w:vAlign w:val="center"/>
          </w:tcPr>
          <w:p>
            <w:r/>
            <w:r>
              <w:rPr>
                <w:rFonts w:ascii="Arial" w:hAnsi="Arial"/>
                <w:sz w:val="20"/>
              </w:rPr>
              <w:t>1,509.6</w:t>
            </w:r>
          </w:p>
        </w:tc>
        <w:tc>
          <w:tcPr>
            <w:tcW w:type="dxa" w:w="1560"/>
            <w:shd w:val="clear" w:color="auto" w:fill="F2F2F2"/>
            <w:vAlign w:val="center"/>
          </w:tcPr>
          <w:p>
            <w:r/>
            <w:r>
              <w:rPr>
                <w:rFonts w:ascii="Arial" w:hAnsi="Arial"/>
                <w:sz w:val="20"/>
              </w:rPr>
              <w:t>643,421</w:t>
            </w:r>
          </w:p>
        </w:tc>
        <w:tc>
          <w:tcPr>
            <w:tcW w:type="dxa" w:w="1560"/>
            <w:shd w:val="clear" w:color="auto" w:fill="F2F2F2"/>
            <w:vAlign w:val="center"/>
          </w:tcPr>
          <w:p>
            <w:r/>
            <w:r>
              <w:rPr>
                <w:rFonts w:ascii="Arial" w:hAnsi="Arial"/>
                <w:sz w:val="20"/>
              </w:rPr>
              <w:t>7.80</w:t>
            </w:r>
          </w:p>
        </w:tc>
        <w:tc>
          <w:tcPr>
            <w:tcW w:type="dxa" w:w="1560"/>
            <w:shd w:val="clear" w:color="auto" w:fill="F2F2F2"/>
            <w:vAlign w:val="center"/>
          </w:tcPr>
          <w:p>
            <w:r/>
            <w:r>
              <w:rPr>
                <w:rFonts w:ascii="Arial" w:hAnsi="Arial"/>
                <w:sz w:val="20"/>
              </w:rPr>
              <w:t>+68.47</w:t>
            </w:r>
          </w:p>
        </w:tc>
        <w:tc>
          <w:tcPr>
            <w:tcW w:type="dxa" w:w="1560"/>
            <w:shd w:val="clear" w:color="auto" w:fill="F2F2F2"/>
            <w:vAlign w:val="center"/>
          </w:tcPr>
          <w:p>
            <w:r/>
            <w:r>
              <w:rPr>
                <w:rFonts w:ascii="Arial" w:hAnsi="Arial"/>
                <w:sz w:val="20"/>
              </w:rPr>
              <w:t>Low</w:t>
            </w:r>
          </w:p>
        </w:tc>
      </w:tr>
      <w:tr>
        <w:tc>
          <w:tcPr>
            <w:tcW w:type="dxa" w:w="1560"/>
            <w:vAlign w:val="center"/>
          </w:tcPr>
          <w:p>
            <w:r/>
            <w:r>
              <w:rPr>
                <w:rFonts w:ascii="Arial" w:hAnsi="Arial"/>
                <w:sz w:val="20"/>
              </w:rPr>
              <w:t>Accommodation And Food Services</w:t>
            </w:r>
          </w:p>
        </w:tc>
        <w:tc>
          <w:tcPr>
            <w:tcW w:type="dxa" w:w="1560"/>
            <w:vAlign w:val="center"/>
          </w:tcPr>
          <w:p>
            <w:r/>
            <w:r>
              <w:rPr>
                <w:rFonts w:ascii="Arial" w:hAnsi="Arial"/>
                <w:sz w:val="20"/>
              </w:rPr>
              <w:t>1,217.9</w:t>
            </w:r>
          </w:p>
        </w:tc>
        <w:tc>
          <w:tcPr>
            <w:tcW w:type="dxa" w:w="1560"/>
            <w:vAlign w:val="center"/>
          </w:tcPr>
          <w:p>
            <w:r/>
            <w:r>
              <w:rPr>
                <w:rFonts w:ascii="Arial" w:hAnsi="Arial"/>
                <w:sz w:val="20"/>
              </w:rPr>
              <w:t>152,965</w:t>
            </w:r>
          </w:p>
        </w:tc>
        <w:tc>
          <w:tcPr>
            <w:tcW w:type="dxa" w:w="1560"/>
            <w:vAlign w:val="center"/>
          </w:tcPr>
          <w:p>
            <w:r/>
            <w:r>
              <w:rPr>
                <w:rFonts w:ascii="Arial" w:hAnsi="Arial"/>
                <w:sz w:val="20"/>
              </w:rPr>
              <w:t>11.38</w:t>
            </w:r>
          </w:p>
        </w:tc>
        <w:tc>
          <w:tcPr>
            <w:tcW w:type="dxa" w:w="1560"/>
            <w:vAlign w:val="center"/>
          </w:tcPr>
          <w:p>
            <w:r/>
            <w:r>
              <w:rPr>
                <w:rFonts w:ascii="Arial" w:hAnsi="Arial"/>
                <w:sz w:val="20"/>
              </w:rPr>
              <w:t>+113.70</w:t>
            </w:r>
          </w:p>
        </w:tc>
        <w:tc>
          <w:tcPr>
            <w:tcW w:type="dxa" w:w="1560"/>
            <w:vAlign w:val="center"/>
          </w:tcPr>
          <w:p>
            <w:r/>
            <w:r>
              <w:rPr>
                <w:rFonts w:ascii="Arial" w:hAnsi="Arial"/>
                <w:sz w:val="20"/>
              </w:rPr>
              <w:t>Low</w:t>
            </w:r>
          </w:p>
        </w:tc>
      </w:tr>
    </w:tbl>
    <w:p/>
    <w:p>
      <w:pPr>
        <w:spacing w:before="280" w:after="120"/>
      </w:pPr>
      <w:r>
        <w:rPr>
          <w:rFonts w:ascii="Arial" w:hAnsi="Arial"/>
          <w:b/>
          <w:color w:val="1F4E79"/>
          <w:sz w:val="32"/>
        </w:rPr>
        <w:t>5. Property Market Overlays</w:t>
      </w:r>
    </w:p>
    <w:p>
      <w:r>
        <w:rPr>
          <w:rFonts w:ascii="Arial" w:hAnsi="Arial"/>
          <w:b w:val="0"/>
          <w:i w:val="0"/>
        </w:rPr>
        <w:t>Property overlays track 11 commercial and non-residential segments through the cycle. Each segment is classified into one of four cycle stages (downturn, slowing, neutral, growth) using approvals momentum as the primary signal. Commencements and completions are proxied from the approvals trend in this cycle because ABS building activity has not been staged; see `source_note` in `property_cycle_panel.parquet` for per-row provenance.</w:t>
      </w:r>
    </w:p>
    <w:p>
      <w:r>
        <w:rPr>
          <w:rFonts w:ascii="Arial" w:hAnsi="Arial"/>
          <w:b w:val="0"/>
          <w:i/>
          <w:color w:val="7F7F7F"/>
          <w:sz w:val="20"/>
        </w:rPr>
        <w:t>All 11 segments grouped by cycle stage (as of 2026-02-01)</w:t>
      </w:r>
    </w:p>
    <w:tbl>
      <w:tblPr>
        <w:tblW w:type="auto" w:w="0"/>
        <w:jc w:val="left"/>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1F4E79"/>
            <w:vAlign w:val="center"/>
          </w:tcPr>
          <w:p>
            <w:r/>
            <w:r>
              <w:rPr>
                <w:rFonts w:ascii="Arial" w:hAnsi="Arial"/>
                <w:b/>
                <w:color w:val="FFFFFF"/>
                <w:sz w:val="20"/>
              </w:rPr>
              <w:t>Segment</w:t>
            </w:r>
          </w:p>
        </w:tc>
        <w:tc>
          <w:tcPr>
            <w:tcW w:type="dxa" w:w="1337"/>
            <w:shd w:val="clear" w:color="auto" w:fill="1F4E79"/>
            <w:vAlign w:val="center"/>
          </w:tcPr>
          <w:p>
            <w:r/>
            <w:r>
              <w:rPr>
                <w:rFonts w:ascii="Arial" w:hAnsi="Arial"/>
                <w:b/>
                <w:color w:val="FFFFFF"/>
                <w:sz w:val="20"/>
              </w:rPr>
              <w:t>Cycle</w:t>
            </w:r>
          </w:p>
        </w:tc>
        <w:tc>
          <w:tcPr>
            <w:tcW w:type="dxa" w:w="1337"/>
            <w:shd w:val="clear" w:color="auto" w:fill="1F4E79"/>
            <w:vAlign w:val="center"/>
          </w:tcPr>
          <w:p>
            <w:r/>
            <w:r>
              <w:rPr>
                <w:rFonts w:ascii="Arial" w:hAnsi="Arial"/>
                <w:b/>
                <w:color w:val="FFFFFF"/>
                <w:sz w:val="20"/>
              </w:rPr>
              <w:t>Softness score</w:t>
            </w:r>
          </w:p>
        </w:tc>
        <w:tc>
          <w:tcPr>
            <w:tcW w:type="dxa" w:w="1337"/>
            <w:shd w:val="clear" w:color="auto" w:fill="1F4E79"/>
            <w:vAlign w:val="center"/>
          </w:tcPr>
          <w:p>
            <w:r/>
            <w:r>
              <w:rPr>
                <w:rFonts w:ascii="Arial" w:hAnsi="Arial"/>
                <w:b/>
                <w:color w:val="FFFFFF"/>
                <w:sz w:val="20"/>
              </w:rPr>
              <w:t>Softness band</w:t>
            </w:r>
          </w:p>
        </w:tc>
        <w:tc>
          <w:tcPr>
            <w:tcW w:type="dxa" w:w="1337"/>
            <w:shd w:val="clear" w:color="auto" w:fill="1F4E79"/>
            <w:vAlign w:val="center"/>
          </w:tcPr>
          <w:p>
            <w:r/>
            <w:r>
              <w:rPr>
                <w:rFonts w:ascii="Arial" w:hAnsi="Arial"/>
                <w:b/>
                <w:color w:val="FFFFFF"/>
                <w:sz w:val="20"/>
              </w:rPr>
              <w:t>Region risk</w:t>
            </w:r>
          </w:p>
        </w:tc>
        <w:tc>
          <w:tcPr>
            <w:tcW w:type="dxa" w:w="1337"/>
            <w:shd w:val="clear" w:color="auto" w:fill="1F4E79"/>
            <w:vAlign w:val="center"/>
          </w:tcPr>
          <w:p>
            <w:r/>
            <w:r>
              <w:rPr>
                <w:rFonts w:ascii="Arial" w:hAnsi="Arial"/>
                <w:b/>
                <w:color w:val="FFFFFF"/>
                <w:sz w:val="20"/>
              </w:rPr>
              <w:t>Region band</w:t>
            </w:r>
          </w:p>
        </w:tc>
        <w:tc>
          <w:tcPr>
            <w:tcW w:type="dxa" w:w="1337"/>
            <w:shd w:val="clear" w:color="auto" w:fill="1F4E79"/>
            <w:vAlign w:val="center"/>
          </w:tcPr>
          <w:p>
            <w:r/>
            <w:r>
              <w:rPr>
                <w:rFonts w:ascii="Arial" w:hAnsi="Arial"/>
                <w:b/>
                <w:color w:val="FFFFFF"/>
                <w:sz w:val="20"/>
              </w:rPr>
              <w:t>Approvals Δ %</w:t>
            </w:r>
          </w:p>
        </w:tc>
      </w:tr>
      <w:tr>
        <w:tc>
          <w:tcPr>
            <w:tcW w:type="dxa" w:w="1337"/>
            <w:vAlign w:val="center"/>
          </w:tcPr>
          <w:p>
            <w:r/>
            <w:r>
              <w:rPr>
                <w:rFonts w:ascii="Arial" w:hAnsi="Arial"/>
                <w:sz w:val="20"/>
              </w:rPr>
              <w:t>Offices</w:t>
            </w:r>
          </w:p>
        </w:tc>
        <w:tc>
          <w:tcPr>
            <w:tcW w:type="dxa" w:w="1337"/>
            <w:vAlign w:val="center"/>
          </w:tcPr>
          <w:p>
            <w:r/>
            <w:r>
              <w:rPr>
                <w:rFonts w:ascii="Arial" w:hAnsi="Arial"/>
                <w:sz w:val="20"/>
              </w:rPr>
              <w:t>downturn</w:t>
            </w:r>
          </w:p>
        </w:tc>
        <w:tc>
          <w:tcPr>
            <w:tcW w:type="dxa" w:w="1337"/>
            <w:vAlign w:val="center"/>
          </w:tcPr>
          <w:p>
            <w:r/>
            <w:r>
              <w:rPr>
                <w:rFonts w:ascii="Arial" w:hAnsi="Arial"/>
                <w:sz w:val="20"/>
              </w:rPr>
              <w:t>4.30</w:t>
            </w:r>
          </w:p>
        </w:tc>
        <w:tc>
          <w:tcPr>
            <w:tcW w:type="dxa" w:w="1337"/>
            <w:vAlign w:val="center"/>
          </w:tcPr>
          <w:p>
            <w:r/>
            <w:r>
              <w:rPr>
                <w:rFonts w:ascii="Arial" w:hAnsi="Arial"/>
                <w:sz w:val="20"/>
              </w:rPr>
              <w:t>soft</w:t>
            </w:r>
          </w:p>
        </w:tc>
        <w:tc>
          <w:tcPr>
            <w:tcW w:type="dxa" w:w="1337"/>
            <w:vAlign w:val="center"/>
          </w:tcPr>
          <w:p>
            <w:r/>
            <w:r>
              <w:rPr>
                <w:rFonts w:ascii="Arial" w:hAnsi="Arial"/>
                <w:sz w:val="20"/>
              </w:rPr>
              <w:t>4.03</w:t>
            </w:r>
          </w:p>
        </w:tc>
        <w:tc>
          <w:tcPr>
            <w:tcW w:type="dxa" w:w="1337"/>
            <w:vAlign w:val="center"/>
          </w:tcPr>
          <w:p>
            <w:r/>
            <w:r>
              <w:rPr>
                <w:rFonts w:ascii="Arial" w:hAnsi="Arial"/>
                <w:sz w:val="20"/>
              </w:rPr>
              <w:t>High</w:t>
            </w:r>
          </w:p>
        </w:tc>
        <w:tc>
          <w:tcPr>
            <w:tcW w:type="dxa" w:w="1337"/>
            <w:vAlign w:val="center"/>
          </w:tcPr>
          <w:p>
            <w:r/>
            <w:r>
              <w:rPr>
                <w:rFonts w:ascii="Arial" w:hAnsi="Arial"/>
                <w:sz w:val="20"/>
              </w:rPr>
              <w:t>-35.72</w:t>
            </w:r>
          </w:p>
        </w:tc>
      </w:tr>
      <w:tr>
        <w:tc>
          <w:tcPr>
            <w:tcW w:type="dxa" w:w="1337"/>
            <w:shd w:val="clear" w:color="auto" w:fill="F2F2F2"/>
            <w:vAlign w:val="center"/>
          </w:tcPr>
          <w:p>
            <w:r/>
            <w:r>
              <w:rPr>
                <w:rFonts w:ascii="Arial" w:hAnsi="Arial"/>
                <w:sz w:val="20"/>
              </w:rPr>
              <w:t>Education buildings</w:t>
            </w:r>
          </w:p>
        </w:tc>
        <w:tc>
          <w:tcPr>
            <w:tcW w:type="dxa" w:w="1337"/>
            <w:shd w:val="clear" w:color="auto" w:fill="F2F2F2"/>
            <w:vAlign w:val="center"/>
          </w:tcPr>
          <w:p>
            <w:r/>
            <w:r>
              <w:rPr>
                <w:rFonts w:ascii="Arial" w:hAnsi="Arial"/>
                <w:sz w:val="20"/>
              </w:rPr>
              <w:t>slowing</w:t>
            </w:r>
          </w:p>
        </w:tc>
        <w:tc>
          <w:tcPr>
            <w:tcW w:type="dxa" w:w="1337"/>
            <w:shd w:val="clear" w:color="auto" w:fill="F2F2F2"/>
            <w:vAlign w:val="center"/>
          </w:tcPr>
          <w:p>
            <w:r/>
            <w:r>
              <w:rPr>
                <w:rFonts w:ascii="Arial" w:hAnsi="Arial"/>
                <w:sz w:val="20"/>
              </w:rPr>
              <w:t>3.25</w:t>
            </w:r>
          </w:p>
        </w:tc>
        <w:tc>
          <w:tcPr>
            <w:tcW w:type="dxa" w:w="1337"/>
            <w:shd w:val="clear" w:color="auto" w:fill="F2F2F2"/>
            <w:vAlign w:val="center"/>
          </w:tcPr>
          <w:p>
            <w:r/>
            <w:r>
              <w:rPr>
                <w:rFonts w:ascii="Arial" w:hAnsi="Arial"/>
                <w:sz w:val="20"/>
              </w:rPr>
              <w:t>softening</w:t>
            </w:r>
          </w:p>
        </w:tc>
        <w:tc>
          <w:tcPr>
            <w:tcW w:type="dxa" w:w="1337"/>
            <w:shd w:val="clear" w:color="auto" w:fill="F2F2F2"/>
            <w:vAlign w:val="center"/>
          </w:tcPr>
          <w:p>
            <w:r/>
            <w:r>
              <w:rPr>
                <w:rFonts w:ascii="Arial" w:hAnsi="Arial"/>
                <w:sz w:val="20"/>
              </w:rPr>
              <w:t>3.38</w:t>
            </w:r>
          </w:p>
        </w:tc>
        <w:tc>
          <w:tcPr>
            <w:tcW w:type="dxa" w:w="1337"/>
            <w:shd w:val="clear" w:color="auto" w:fill="F2F2F2"/>
            <w:vAlign w:val="center"/>
          </w:tcPr>
          <w:p>
            <w:r/>
            <w:r>
              <w:rPr>
                <w:rFonts w:ascii="Arial" w:hAnsi="Arial"/>
                <w:sz w:val="20"/>
              </w:rPr>
              <w:t>Elevated</w:t>
            </w:r>
          </w:p>
        </w:tc>
        <w:tc>
          <w:tcPr>
            <w:tcW w:type="dxa" w:w="1337"/>
            <w:shd w:val="clear" w:color="auto" w:fill="F2F2F2"/>
            <w:vAlign w:val="center"/>
          </w:tcPr>
          <w:p>
            <w:r/>
            <w:r>
              <w:rPr>
                <w:rFonts w:ascii="Arial" w:hAnsi="Arial"/>
                <w:sz w:val="20"/>
              </w:rPr>
              <w:t>-21.37</w:t>
            </w:r>
          </w:p>
        </w:tc>
      </w:tr>
      <w:tr>
        <w:tc>
          <w:tcPr>
            <w:tcW w:type="dxa" w:w="1337"/>
            <w:vAlign w:val="center"/>
          </w:tcPr>
          <w:p>
            <w:r/>
            <w:r>
              <w:rPr>
                <w:rFonts w:ascii="Arial" w:hAnsi="Arial"/>
                <w:sz w:val="20"/>
              </w:rPr>
              <w:t>Retail and wholesale trade buildings</w:t>
            </w:r>
          </w:p>
        </w:tc>
        <w:tc>
          <w:tcPr>
            <w:tcW w:type="dxa" w:w="1337"/>
            <w:vAlign w:val="center"/>
          </w:tcPr>
          <w:p>
            <w:r/>
            <w:r>
              <w:rPr>
                <w:rFonts w:ascii="Arial" w:hAnsi="Arial"/>
                <w:sz w:val="20"/>
              </w:rPr>
              <w:t>neutral</w:t>
            </w:r>
          </w:p>
        </w:tc>
        <w:tc>
          <w:tcPr>
            <w:tcW w:type="dxa" w:w="1337"/>
            <w:vAlign w:val="center"/>
          </w:tcPr>
          <w:p>
            <w:r/>
            <w:r>
              <w:rPr>
                <w:rFonts w:ascii="Arial" w:hAnsi="Arial"/>
                <w:sz w:val="20"/>
              </w:rPr>
              <w:t>3.15</w:t>
            </w:r>
          </w:p>
        </w:tc>
        <w:tc>
          <w:tcPr>
            <w:tcW w:type="dxa" w:w="1337"/>
            <w:vAlign w:val="center"/>
          </w:tcPr>
          <w:p>
            <w:r/>
            <w:r>
              <w:rPr>
                <w:rFonts w:ascii="Arial" w:hAnsi="Arial"/>
                <w:sz w:val="20"/>
              </w:rPr>
              <w:t>normal</w:t>
            </w:r>
          </w:p>
        </w:tc>
        <w:tc>
          <w:tcPr>
            <w:tcW w:type="dxa" w:w="1337"/>
            <w:vAlign w:val="center"/>
          </w:tcPr>
          <w:p>
            <w:r/>
            <w:r>
              <w:rPr>
                <w:rFonts w:ascii="Arial" w:hAnsi="Arial"/>
                <w:sz w:val="20"/>
              </w:rPr>
              <w:t>2.95</w:t>
            </w:r>
          </w:p>
        </w:tc>
        <w:tc>
          <w:tcPr>
            <w:tcW w:type="dxa" w:w="1337"/>
            <w:vAlign w:val="center"/>
          </w:tcPr>
          <w:p>
            <w:r/>
            <w:r>
              <w:rPr>
                <w:rFonts w:ascii="Arial" w:hAnsi="Arial"/>
                <w:sz w:val="20"/>
              </w:rPr>
              <w:t>Medium</w:t>
            </w:r>
          </w:p>
        </w:tc>
        <w:tc>
          <w:tcPr>
            <w:tcW w:type="dxa" w:w="1337"/>
            <w:vAlign w:val="center"/>
          </w:tcPr>
          <w:p>
            <w:r/>
            <w:r>
              <w:rPr>
                <w:rFonts w:ascii="Arial" w:hAnsi="Arial"/>
                <w:sz w:val="20"/>
              </w:rPr>
              <w:t>+68.47</w:t>
            </w:r>
          </w:p>
        </w:tc>
      </w:tr>
      <w:tr>
        <w:tc>
          <w:tcPr>
            <w:tcW w:type="dxa" w:w="1337"/>
            <w:shd w:val="clear" w:color="auto" w:fill="F2F2F2"/>
            <w:vAlign w:val="center"/>
          </w:tcPr>
          <w:p>
            <w:r/>
            <w:r>
              <w:rPr>
                <w:rFonts w:ascii="Arial" w:hAnsi="Arial"/>
                <w:sz w:val="20"/>
              </w:rPr>
              <w:t>Aged care facilities</w:t>
            </w:r>
          </w:p>
        </w:tc>
        <w:tc>
          <w:tcPr>
            <w:tcW w:type="dxa" w:w="1337"/>
            <w:shd w:val="clear" w:color="auto" w:fill="F2F2F2"/>
            <w:vAlign w:val="center"/>
          </w:tcPr>
          <w:p>
            <w:r/>
            <w:r>
              <w:rPr>
                <w:rFonts w:ascii="Arial" w:hAnsi="Arial"/>
                <w:sz w:val="20"/>
              </w:rPr>
              <w:t>neutral</w:t>
            </w:r>
          </w:p>
        </w:tc>
        <w:tc>
          <w:tcPr>
            <w:tcW w:type="dxa" w:w="1337"/>
            <w:shd w:val="clear" w:color="auto" w:fill="F2F2F2"/>
            <w:vAlign w:val="center"/>
          </w:tcPr>
          <w:p>
            <w:r/>
            <w:r>
              <w:rPr>
                <w:rFonts w:ascii="Arial" w:hAnsi="Arial"/>
                <w:sz w:val="20"/>
              </w:rPr>
              <w:t>2.70</w:t>
            </w:r>
          </w:p>
        </w:tc>
        <w:tc>
          <w:tcPr>
            <w:tcW w:type="dxa" w:w="1337"/>
            <w:shd w:val="clear" w:color="auto" w:fill="F2F2F2"/>
            <w:vAlign w:val="center"/>
          </w:tcPr>
          <w:p>
            <w:r/>
            <w:r>
              <w:rPr>
                <w:rFonts w:ascii="Arial" w:hAnsi="Arial"/>
                <w:sz w:val="20"/>
              </w:rPr>
              <w:t>normal</w:t>
            </w:r>
          </w:p>
        </w:tc>
        <w:tc>
          <w:tcPr>
            <w:tcW w:type="dxa" w:w="1337"/>
            <w:shd w:val="clear" w:color="auto" w:fill="F2F2F2"/>
            <w:vAlign w:val="center"/>
          </w:tcPr>
          <w:p>
            <w:r/>
            <w:r>
              <w:rPr>
                <w:rFonts w:ascii="Arial" w:hAnsi="Arial"/>
                <w:sz w:val="20"/>
              </w:rPr>
              <w:t>2.73</w:t>
            </w:r>
          </w:p>
        </w:tc>
        <w:tc>
          <w:tcPr>
            <w:tcW w:type="dxa" w:w="1337"/>
            <w:shd w:val="clear" w:color="auto" w:fill="F2F2F2"/>
            <w:vAlign w:val="center"/>
          </w:tcPr>
          <w:p>
            <w:r/>
            <w:r>
              <w:rPr>
                <w:rFonts w:ascii="Arial" w:hAnsi="Arial"/>
                <w:sz w:val="20"/>
              </w:rPr>
              <w:t>Medium</w:t>
            </w:r>
          </w:p>
        </w:tc>
        <w:tc>
          <w:tcPr>
            <w:tcW w:type="dxa" w:w="1337"/>
            <w:shd w:val="clear" w:color="auto" w:fill="F2F2F2"/>
            <w:vAlign w:val="center"/>
          </w:tcPr>
          <w:p>
            <w:r/>
            <w:r>
              <w:rPr>
                <w:rFonts w:ascii="Arial" w:hAnsi="Arial"/>
                <w:sz w:val="20"/>
              </w:rPr>
              <w:t>+219.88</w:t>
            </w:r>
          </w:p>
        </w:tc>
      </w:tr>
      <w:tr>
        <w:tc>
          <w:tcPr>
            <w:tcW w:type="dxa" w:w="1337"/>
            <w:vAlign w:val="center"/>
          </w:tcPr>
          <w:p>
            <w:r/>
            <w:r>
              <w:rPr>
                <w:rFonts w:ascii="Arial" w:hAnsi="Arial"/>
                <w:sz w:val="20"/>
              </w:rPr>
              <w:t>Agricultural and aquacultural buildings</w:t>
            </w:r>
          </w:p>
        </w:tc>
        <w:tc>
          <w:tcPr>
            <w:tcW w:type="dxa" w:w="1337"/>
            <w:vAlign w:val="center"/>
          </w:tcPr>
          <w:p>
            <w:r/>
            <w:r>
              <w:rPr>
                <w:rFonts w:ascii="Arial" w:hAnsi="Arial"/>
                <w:sz w:val="20"/>
              </w:rPr>
              <w:t>neutral</w:t>
            </w:r>
          </w:p>
        </w:tc>
        <w:tc>
          <w:tcPr>
            <w:tcW w:type="dxa" w:w="1337"/>
            <w:vAlign w:val="center"/>
          </w:tcPr>
          <w:p>
            <w:r/>
            <w:r>
              <w:rPr>
                <w:rFonts w:ascii="Arial" w:hAnsi="Arial"/>
                <w:sz w:val="20"/>
              </w:rPr>
              <w:t>2.65</w:t>
            </w:r>
          </w:p>
        </w:tc>
        <w:tc>
          <w:tcPr>
            <w:tcW w:type="dxa" w:w="1337"/>
            <w:vAlign w:val="center"/>
          </w:tcPr>
          <w:p>
            <w:r/>
            <w:r>
              <w:rPr>
                <w:rFonts w:ascii="Arial" w:hAnsi="Arial"/>
                <w:sz w:val="20"/>
              </w:rPr>
              <w:t>normal</w:t>
            </w:r>
          </w:p>
        </w:tc>
        <w:tc>
          <w:tcPr>
            <w:tcW w:type="dxa" w:w="1337"/>
            <w:vAlign w:val="center"/>
          </w:tcPr>
          <w:p>
            <w:r/>
            <w:r>
              <w:rPr>
                <w:rFonts w:ascii="Arial" w:hAnsi="Arial"/>
                <w:sz w:val="20"/>
              </w:rPr>
              <w:t>2.58</w:t>
            </w:r>
          </w:p>
        </w:tc>
        <w:tc>
          <w:tcPr>
            <w:tcW w:type="dxa" w:w="1337"/>
            <w:vAlign w:val="center"/>
          </w:tcPr>
          <w:p>
            <w:r/>
            <w:r>
              <w:rPr>
                <w:rFonts w:ascii="Arial" w:hAnsi="Arial"/>
                <w:sz w:val="20"/>
              </w:rPr>
              <w:t>Medium</w:t>
            </w:r>
          </w:p>
        </w:tc>
        <w:tc>
          <w:tcPr>
            <w:tcW w:type="dxa" w:w="1337"/>
            <w:vAlign w:val="center"/>
          </w:tcPr>
          <w:p>
            <w:r/>
            <w:r>
              <w:rPr>
                <w:rFonts w:ascii="Arial" w:hAnsi="Arial"/>
                <w:sz w:val="20"/>
              </w:rPr>
              <w:t>+58.37</w:t>
            </w:r>
          </w:p>
        </w:tc>
      </w:tr>
      <w:tr>
        <w:tc>
          <w:tcPr>
            <w:tcW w:type="dxa" w:w="1337"/>
            <w:shd w:val="clear" w:color="auto" w:fill="F2F2F2"/>
            <w:vAlign w:val="center"/>
          </w:tcPr>
          <w:p>
            <w:r/>
            <w:r>
              <w:rPr>
                <w:rFonts w:ascii="Arial" w:hAnsi="Arial"/>
                <w:sz w:val="20"/>
              </w:rPr>
              <w:t>Total Non-residential</w:t>
            </w:r>
          </w:p>
        </w:tc>
        <w:tc>
          <w:tcPr>
            <w:tcW w:type="dxa" w:w="1337"/>
            <w:shd w:val="clear" w:color="auto" w:fill="F2F2F2"/>
            <w:vAlign w:val="center"/>
          </w:tcPr>
          <w:p>
            <w:r/>
            <w:r>
              <w:rPr>
                <w:rFonts w:ascii="Arial" w:hAnsi="Arial"/>
                <w:sz w:val="20"/>
              </w:rPr>
              <w:t>neutral</w:t>
            </w:r>
          </w:p>
        </w:tc>
        <w:tc>
          <w:tcPr>
            <w:tcW w:type="dxa" w:w="1337"/>
            <w:shd w:val="clear" w:color="auto" w:fill="F2F2F2"/>
            <w:vAlign w:val="center"/>
          </w:tcPr>
          <w:p>
            <w:r/>
            <w:r>
              <w:rPr>
                <w:rFonts w:ascii="Arial" w:hAnsi="Arial"/>
                <w:sz w:val="20"/>
              </w:rPr>
              <w:t>2.60</w:t>
            </w:r>
          </w:p>
        </w:tc>
        <w:tc>
          <w:tcPr>
            <w:tcW w:type="dxa" w:w="1337"/>
            <w:shd w:val="clear" w:color="auto" w:fill="F2F2F2"/>
            <w:vAlign w:val="center"/>
          </w:tcPr>
          <w:p>
            <w:r/>
            <w:r>
              <w:rPr>
                <w:rFonts w:ascii="Arial" w:hAnsi="Arial"/>
                <w:sz w:val="20"/>
              </w:rPr>
              <w:t>normal</w:t>
            </w:r>
          </w:p>
        </w:tc>
        <w:tc>
          <w:tcPr>
            <w:tcW w:type="dxa" w:w="1337"/>
            <w:shd w:val="clear" w:color="auto" w:fill="F2F2F2"/>
            <w:vAlign w:val="center"/>
          </w:tcPr>
          <w:p>
            <w:r/>
            <w:r>
              <w:rPr>
                <w:rFonts w:ascii="Arial" w:hAnsi="Arial"/>
                <w:sz w:val="20"/>
              </w:rPr>
              <w:t>2.55</w:t>
            </w:r>
          </w:p>
        </w:tc>
        <w:tc>
          <w:tcPr>
            <w:tcW w:type="dxa" w:w="1337"/>
            <w:shd w:val="clear" w:color="auto" w:fill="F2F2F2"/>
            <w:vAlign w:val="center"/>
          </w:tcPr>
          <w:p>
            <w:r/>
            <w:r>
              <w:rPr>
                <w:rFonts w:ascii="Arial" w:hAnsi="Arial"/>
                <w:sz w:val="20"/>
              </w:rPr>
              <w:t>Medium</w:t>
            </w:r>
          </w:p>
        </w:tc>
        <w:tc>
          <w:tcPr>
            <w:tcW w:type="dxa" w:w="1337"/>
            <w:shd w:val="clear" w:color="auto" w:fill="F2F2F2"/>
            <w:vAlign w:val="center"/>
          </w:tcPr>
          <w:p>
            <w:r/>
            <w:r>
              <w:rPr>
                <w:rFonts w:ascii="Arial" w:hAnsi="Arial"/>
                <w:sz w:val="20"/>
              </w:rPr>
              <w:t>+71.46</w:t>
            </w:r>
          </w:p>
        </w:tc>
      </w:tr>
      <w:tr>
        <w:tc>
          <w:tcPr>
            <w:tcW w:type="dxa" w:w="1337"/>
            <w:vAlign w:val="center"/>
          </w:tcPr>
          <w:p>
            <w:r/>
            <w:r>
              <w:rPr>
                <w:rFonts w:ascii="Arial" w:hAnsi="Arial"/>
                <w:sz w:val="20"/>
              </w:rPr>
              <w:t>Industrial Buildings - Total</w:t>
            </w:r>
          </w:p>
        </w:tc>
        <w:tc>
          <w:tcPr>
            <w:tcW w:type="dxa" w:w="1337"/>
            <w:vAlign w:val="center"/>
          </w:tcPr>
          <w:p>
            <w:r/>
            <w:r>
              <w:rPr>
                <w:rFonts w:ascii="Arial" w:hAnsi="Arial"/>
                <w:sz w:val="20"/>
              </w:rPr>
              <w:t>neutral</w:t>
            </w:r>
          </w:p>
        </w:tc>
        <w:tc>
          <w:tcPr>
            <w:tcW w:type="dxa" w:w="1337"/>
            <w:vAlign w:val="center"/>
          </w:tcPr>
          <w:p>
            <w:r/>
            <w:r>
              <w:rPr>
                <w:rFonts w:ascii="Arial" w:hAnsi="Arial"/>
                <w:sz w:val="20"/>
              </w:rPr>
              <w:t>2.40</w:t>
            </w:r>
          </w:p>
        </w:tc>
        <w:tc>
          <w:tcPr>
            <w:tcW w:type="dxa" w:w="1337"/>
            <w:vAlign w:val="center"/>
          </w:tcPr>
          <w:p>
            <w:r/>
            <w:r>
              <w:rPr>
                <w:rFonts w:ascii="Arial" w:hAnsi="Arial"/>
                <w:sz w:val="20"/>
              </w:rPr>
              <w:t>normal</w:t>
            </w:r>
          </w:p>
        </w:tc>
        <w:tc>
          <w:tcPr>
            <w:tcW w:type="dxa" w:w="1337"/>
            <w:vAlign w:val="center"/>
          </w:tcPr>
          <w:p>
            <w:r/>
            <w:r>
              <w:rPr>
                <w:rFonts w:ascii="Arial" w:hAnsi="Arial"/>
                <w:sz w:val="20"/>
              </w:rPr>
              <w:t>2.45</w:t>
            </w:r>
          </w:p>
        </w:tc>
        <w:tc>
          <w:tcPr>
            <w:tcW w:type="dxa" w:w="1337"/>
            <w:vAlign w:val="center"/>
          </w:tcPr>
          <w:p>
            <w:r/>
            <w:r>
              <w:rPr>
                <w:rFonts w:ascii="Arial" w:hAnsi="Arial"/>
                <w:sz w:val="20"/>
              </w:rPr>
              <w:t>Medium</w:t>
            </w:r>
          </w:p>
        </w:tc>
        <w:tc>
          <w:tcPr>
            <w:tcW w:type="dxa" w:w="1337"/>
            <w:vAlign w:val="center"/>
          </w:tcPr>
          <w:p>
            <w:r/>
            <w:r>
              <w:rPr>
                <w:rFonts w:ascii="Arial" w:hAnsi="Arial"/>
                <w:sz w:val="20"/>
              </w:rPr>
              <w:t>+55.53</w:t>
            </w:r>
          </w:p>
        </w:tc>
      </w:tr>
      <w:tr>
        <w:tc>
          <w:tcPr>
            <w:tcW w:type="dxa" w:w="1337"/>
            <w:shd w:val="clear" w:color="auto" w:fill="F2F2F2"/>
            <w:vAlign w:val="center"/>
          </w:tcPr>
          <w:p>
            <w:r/>
            <w:r>
              <w:rPr>
                <w:rFonts w:ascii="Arial" w:hAnsi="Arial"/>
                <w:sz w:val="20"/>
              </w:rPr>
              <w:t>Warehouses</w:t>
            </w:r>
          </w:p>
        </w:tc>
        <w:tc>
          <w:tcPr>
            <w:tcW w:type="dxa" w:w="1337"/>
            <w:shd w:val="clear" w:color="auto" w:fill="F2F2F2"/>
            <w:vAlign w:val="center"/>
          </w:tcPr>
          <w:p>
            <w:r/>
            <w:r>
              <w:rPr>
                <w:rFonts w:ascii="Arial" w:hAnsi="Arial"/>
                <w:sz w:val="20"/>
              </w:rPr>
              <w:t>neutral</w:t>
            </w:r>
          </w:p>
        </w:tc>
        <w:tc>
          <w:tcPr>
            <w:tcW w:type="dxa" w:w="1337"/>
            <w:shd w:val="clear" w:color="auto" w:fill="F2F2F2"/>
            <w:vAlign w:val="center"/>
          </w:tcPr>
          <w:p>
            <w:r/>
            <w:r>
              <w:rPr>
                <w:rFonts w:ascii="Arial" w:hAnsi="Arial"/>
                <w:sz w:val="20"/>
              </w:rPr>
              <w:t>2.20</w:t>
            </w:r>
          </w:p>
        </w:tc>
        <w:tc>
          <w:tcPr>
            <w:tcW w:type="dxa" w:w="1337"/>
            <w:shd w:val="clear" w:color="auto" w:fill="F2F2F2"/>
            <w:vAlign w:val="center"/>
          </w:tcPr>
          <w:p>
            <w:r/>
            <w:r>
              <w:rPr>
                <w:rFonts w:ascii="Arial" w:hAnsi="Arial"/>
                <w:sz w:val="20"/>
              </w:rPr>
              <w:t>normal</w:t>
            </w:r>
          </w:p>
        </w:tc>
        <w:tc>
          <w:tcPr>
            <w:tcW w:type="dxa" w:w="1337"/>
            <w:shd w:val="clear" w:color="auto" w:fill="F2F2F2"/>
            <w:vAlign w:val="center"/>
          </w:tcPr>
          <w:p>
            <w:r/>
            <w:r>
              <w:rPr>
                <w:rFonts w:ascii="Arial" w:hAnsi="Arial"/>
                <w:sz w:val="20"/>
              </w:rPr>
              <w:t>2.35</w:t>
            </w:r>
          </w:p>
        </w:tc>
        <w:tc>
          <w:tcPr>
            <w:tcW w:type="dxa" w:w="1337"/>
            <w:shd w:val="clear" w:color="auto" w:fill="F2F2F2"/>
            <w:vAlign w:val="center"/>
          </w:tcPr>
          <w:p>
            <w:r/>
            <w:r>
              <w:rPr>
                <w:rFonts w:ascii="Arial" w:hAnsi="Arial"/>
                <w:sz w:val="20"/>
              </w:rPr>
              <w:t>Medium</w:t>
            </w:r>
          </w:p>
        </w:tc>
        <w:tc>
          <w:tcPr>
            <w:tcW w:type="dxa" w:w="1337"/>
            <w:shd w:val="clear" w:color="auto" w:fill="F2F2F2"/>
            <w:vAlign w:val="center"/>
          </w:tcPr>
          <w:p>
            <w:r/>
            <w:r>
              <w:rPr>
                <w:rFonts w:ascii="Arial" w:hAnsi="Arial"/>
                <w:sz w:val="20"/>
              </w:rPr>
              <w:t>+69.32</w:t>
            </w:r>
          </w:p>
        </w:tc>
      </w:tr>
      <w:tr>
        <w:tc>
          <w:tcPr>
            <w:tcW w:type="dxa" w:w="1337"/>
            <w:vAlign w:val="center"/>
          </w:tcPr>
          <w:p>
            <w:r/>
            <w:r>
              <w:rPr>
                <w:rFonts w:ascii="Arial" w:hAnsi="Arial"/>
                <w:sz w:val="20"/>
              </w:rPr>
              <w:t>Short term accommodation buildings</w:t>
            </w:r>
          </w:p>
        </w:tc>
        <w:tc>
          <w:tcPr>
            <w:tcW w:type="dxa" w:w="1337"/>
            <w:vAlign w:val="center"/>
          </w:tcPr>
          <w:p>
            <w:r/>
            <w:r>
              <w:rPr>
                <w:rFonts w:ascii="Arial" w:hAnsi="Arial"/>
                <w:sz w:val="20"/>
              </w:rPr>
              <w:t>growth</w:t>
            </w:r>
          </w:p>
        </w:tc>
        <w:tc>
          <w:tcPr>
            <w:tcW w:type="dxa" w:w="1337"/>
            <w:vAlign w:val="center"/>
          </w:tcPr>
          <w:p>
            <w:r/>
            <w:r>
              <w:rPr>
                <w:rFonts w:ascii="Arial" w:hAnsi="Arial"/>
                <w:sz w:val="20"/>
              </w:rPr>
              <w:t>2.85</w:t>
            </w:r>
          </w:p>
        </w:tc>
        <w:tc>
          <w:tcPr>
            <w:tcW w:type="dxa" w:w="1337"/>
            <w:vAlign w:val="center"/>
          </w:tcPr>
          <w:p>
            <w:r/>
            <w:r>
              <w:rPr>
                <w:rFonts w:ascii="Arial" w:hAnsi="Arial"/>
                <w:sz w:val="20"/>
              </w:rPr>
              <w:t>supportive</w:t>
            </w:r>
          </w:p>
        </w:tc>
        <w:tc>
          <w:tcPr>
            <w:tcW w:type="dxa" w:w="1337"/>
            <w:vAlign w:val="center"/>
          </w:tcPr>
          <w:p>
            <w:r/>
            <w:r>
              <w:rPr>
                <w:rFonts w:ascii="Arial" w:hAnsi="Arial"/>
                <w:sz w:val="20"/>
              </w:rPr>
              <w:t>2.55</w:t>
            </w:r>
          </w:p>
        </w:tc>
        <w:tc>
          <w:tcPr>
            <w:tcW w:type="dxa" w:w="1337"/>
            <w:vAlign w:val="center"/>
          </w:tcPr>
          <w:p>
            <w:r/>
            <w:r>
              <w:rPr>
                <w:rFonts w:ascii="Arial" w:hAnsi="Arial"/>
                <w:sz w:val="20"/>
              </w:rPr>
              <w:t>Medium</w:t>
            </w:r>
          </w:p>
        </w:tc>
        <w:tc>
          <w:tcPr>
            <w:tcW w:type="dxa" w:w="1337"/>
            <w:vAlign w:val="center"/>
          </w:tcPr>
          <w:p>
            <w:r/>
            <w:r>
              <w:rPr>
                <w:rFonts w:ascii="Arial" w:hAnsi="Arial"/>
                <w:sz w:val="20"/>
              </w:rPr>
              <w:t>+113.70</w:t>
            </w:r>
          </w:p>
        </w:tc>
      </w:tr>
      <w:tr>
        <w:tc>
          <w:tcPr>
            <w:tcW w:type="dxa" w:w="1337"/>
            <w:shd w:val="clear" w:color="auto" w:fill="F2F2F2"/>
            <w:vAlign w:val="center"/>
          </w:tcPr>
          <w:p>
            <w:r/>
            <w:r>
              <w:rPr>
                <w:rFonts w:ascii="Arial" w:hAnsi="Arial"/>
                <w:sz w:val="20"/>
              </w:rPr>
              <w:t>Commercial Buildings - Total</w:t>
            </w:r>
          </w:p>
        </w:tc>
        <w:tc>
          <w:tcPr>
            <w:tcW w:type="dxa" w:w="1337"/>
            <w:shd w:val="clear" w:color="auto" w:fill="F2F2F2"/>
            <w:vAlign w:val="center"/>
          </w:tcPr>
          <w:p>
            <w:r/>
            <w:r>
              <w:rPr>
                <w:rFonts w:ascii="Arial" w:hAnsi="Arial"/>
                <w:sz w:val="20"/>
              </w:rPr>
              <w:t>growth</w:t>
            </w:r>
          </w:p>
        </w:tc>
        <w:tc>
          <w:tcPr>
            <w:tcW w:type="dxa" w:w="1337"/>
            <w:shd w:val="clear" w:color="auto" w:fill="F2F2F2"/>
            <w:vAlign w:val="center"/>
          </w:tcPr>
          <w:p>
            <w:r/>
            <w:r>
              <w:rPr>
                <w:rFonts w:ascii="Arial" w:hAnsi="Arial"/>
                <w:sz w:val="20"/>
              </w:rPr>
              <w:t>2.30</w:t>
            </w:r>
          </w:p>
        </w:tc>
        <w:tc>
          <w:tcPr>
            <w:tcW w:type="dxa" w:w="1337"/>
            <w:shd w:val="clear" w:color="auto" w:fill="F2F2F2"/>
            <w:vAlign w:val="center"/>
          </w:tcPr>
          <w:p>
            <w:r/>
            <w:r>
              <w:rPr>
                <w:rFonts w:ascii="Arial" w:hAnsi="Arial"/>
                <w:sz w:val="20"/>
              </w:rPr>
              <w:t>supportive</w:t>
            </w:r>
          </w:p>
        </w:tc>
        <w:tc>
          <w:tcPr>
            <w:tcW w:type="dxa" w:w="1337"/>
            <w:shd w:val="clear" w:color="auto" w:fill="F2F2F2"/>
            <w:vAlign w:val="center"/>
          </w:tcPr>
          <w:p>
            <w:r/>
            <w:r>
              <w:rPr>
                <w:rFonts w:ascii="Arial" w:hAnsi="Arial"/>
                <w:sz w:val="20"/>
              </w:rPr>
              <w:t>2.15</w:t>
            </w:r>
          </w:p>
        </w:tc>
        <w:tc>
          <w:tcPr>
            <w:tcW w:type="dxa" w:w="1337"/>
            <w:shd w:val="clear" w:color="auto" w:fill="F2F2F2"/>
            <w:vAlign w:val="center"/>
          </w:tcPr>
          <w:p>
            <w:r/>
            <w:r>
              <w:rPr>
                <w:rFonts w:ascii="Arial" w:hAnsi="Arial"/>
                <w:sz w:val="20"/>
              </w:rPr>
              <w:t>Medium</w:t>
            </w:r>
          </w:p>
        </w:tc>
        <w:tc>
          <w:tcPr>
            <w:tcW w:type="dxa" w:w="1337"/>
            <w:shd w:val="clear" w:color="auto" w:fill="F2F2F2"/>
            <w:vAlign w:val="center"/>
          </w:tcPr>
          <w:p>
            <w:r/>
            <w:r>
              <w:rPr>
                <w:rFonts w:ascii="Arial" w:hAnsi="Arial"/>
                <w:sz w:val="20"/>
              </w:rPr>
              <w:t>+165.42</w:t>
            </w:r>
          </w:p>
        </w:tc>
      </w:tr>
      <w:tr>
        <w:tc>
          <w:tcPr>
            <w:tcW w:type="dxa" w:w="1337"/>
            <w:vAlign w:val="center"/>
          </w:tcPr>
          <w:p>
            <w:r/>
            <w:r>
              <w:rPr>
                <w:rFonts w:ascii="Arial" w:hAnsi="Arial"/>
                <w:sz w:val="20"/>
              </w:rPr>
              <w:t>Health buildings</w:t>
            </w:r>
          </w:p>
        </w:tc>
        <w:tc>
          <w:tcPr>
            <w:tcW w:type="dxa" w:w="1337"/>
            <w:vAlign w:val="center"/>
          </w:tcPr>
          <w:p>
            <w:r/>
            <w:r>
              <w:rPr>
                <w:rFonts w:ascii="Arial" w:hAnsi="Arial"/>
                <w:sz w:val="20"/>
              </w:rPr>
              <w:t>growth</w:t>
            </w:r>
          </w:p>
        </w:tc>
        <w:tc>
          <w:tcPr>
            <w:tcW w:type="dxa" w:w="1337"/>
            <w:vAlign w:val="center"/>
          </w:tcPr>
          <w:p>
            <w:r/>
            <w:r>
              <w:rPr>
                <w:rFonts w:ascii="Arial" w:hAnsi="Arial"/>
                <w:sz w:val="20"/>
              </w:rPr>
              <w:t>1.65</w:t>
            </w:r>
          </w:p>
        </w:tc>
        <w:tc>
          <w:tcPr>
            <w:tcW w:type="dxa" w:w="1337"/>
            <w:vAlign w:val="center"/>
          </w:tcPr>
          <w:p>
            <w:r/>
            <w:r>
              <w:rPr>
                <w:rFonts w:ascii="Arial" w:hAnsi="Arial"/>
                <w:sz w:val="20"/>
              </w:rPr>
              <w:t>supportive</w:t>
            </w:r>
          </w:p>
        </w:tc>
        <w:tc>
          <w:tcPr>
            <w:tcW w:type="dxa" w:w="1337"/>
            <w:vAlign w:val="center"/>
          </w:tcPr>
          <w:p>
            <w:r/>
            <w:r>
              <w:rPr>
                <w:rFonts w:ascii="Arial" w:hAnsi="Arial"/>
                <w:sz w:val="20"/>
              </w:rPr>
              <w:t>1.82</w:t>
            </w:r>
          </w:p>
        </w:tc>
        <w:tc>
          <w:tcPr>
            <w:tcW w:type="dxa" w:w="1337"/>
            <w:vAlign w:val="center"/>
          </w:tcPr>
          <w:p>
            <w:r/>
            <w:r>
              <w:rPr>
                <w:rFonts w:ascii="Arial" w:hAnsi="Arial"/>
                <w:sz w:val="20"/>
              </w:rPr>
              <w:t>Low</w:t>
            </w:r>
          </w:p>
        </w:tc>
        <w:tc>
          <w:tcPr>
            <w:tcW w:type="dxa" w:w="1337"/>
            <w:vAlign w:val="center"/>
          </w:tcPr>
          <w:p>
            <w:r/>
            <w:r>
              <w:rPr>
                <w:rFonts w:ascii="Arial" w:hAnsi="Arial"/>
                <w:sz w:val="20"/>
              </w:rPr>
              <w:t>+355.03</w:t>
            </w:r>
          </w:p>
        </w:tc>
      </w:tr>
    </w:tbl>
    <w:p/>
    <w:p>
      <w:r>
        <w:rPr>
          <w:rFonts w:ascii="Arial" w:hAnsi="Arial"/>
          <w:b w:val="0"/>
          <w:i w:val="0"/>
        </w:rPr>
        <w:t>Segments are grouped with downturn first, then slowing, neutral, and growth. Offices is the only segment flagged in downturn; Health buildings, Commercial Buildings Total, and Short-term accommodation are the three segments in growth. Within each cycle stage, segments are sorted on softness score descending so the softer segments within each bucket appear first. Approvals Δ % is the year-on-year change in ABS building approvals for the segment; extreme values (e.g. +355% for Health buildings) reflect low prior-period base effects rather than a calibrated trend signal.</w:t>
      </w:r>
    </w:p>
    <w:p>
      <w:pPr>
        <w:spacing w:before="280" w:after="120"/>
      </w:pPr>
      <w:r>
        <w:rPr>
          <w:rFonts w:ascii="Arial" w:hAnsi="Arial"/>
          <w:b/>
          <w:color w:val="1F4E79"/>
          <w:sz w:val="32"/>
        </w:rPr>
        <w:t>6. Property Cycle Interpretation</w:t>
      </w:r>
    </w:p>
    <w:p>
      <w:r>
        <w:rPr>
          <w:rFonts w:ascii="Arial" w:hAnsi="Arial"/>
          <w:b w:val="0"/>
          <w:i w:val="0"/>
        </w:rPr>
        <w:t>1 segment is currently in downturn (Offices). 1 is slowing (Education buildings). 6 segments sit in neutral, and 3 are in growth (Short term accommodation buildings, Commercial Buildings - Total, Health buildings). For property-backed lending, Offices warrants elevated caution; the growth-stage segments look supportive but should be read alongside the approvals-base-effect caveat below. Cycle-stage assignment is rule-based on approvals momentum and softness score; it is not a forecast. A segment in 'growth' today can pivot to 'slowing' in the next refresh if approvals pull back. The overlay is a conditioning signal, not a predictive one.</w:t>
      </w:r>
    </w:p>
    <w:p>
      <w:pPr>
        <w:spacing w:before="280" w:after="120"/>
      </w:pPr>
      <w:r>
        <w:rPr>
          <w:rFonts w:ascii="Arial" w:hAnsi="Arial"/>
          <w:b/>
          <w:color w:val="1F4E79"/>
          <w:sz w:val="32"/>
        </w:rPr>
        <w:t>7. Downturn Scenarios</w:t>
      </w:r>
    </w:p>
    <w:p>
      <w:r>
        <w:rPr>
          <w:rFonts w:ascii="Arial" w:hAnsi="Arial"/>
          <w:b w:val="0"/>
          <w:i w:val="0"/>
        </w:rPr>
        <w:t>Downturn overlays provide illustrative multipliers for PD, LGD, and CCF, plus property value haircuts, under four scenarios. These support scenario analysis and conservative pricing; they are not calibrated regulatory stress parameters. Multipliers are monotonic base → severe by construction; the base scenario is always 1.0 (no adjustment), and the contract-test suite (`tests/test_export_contracts.py`) locks this invariant.</w:t>
      </w:r>
    </w:p>
    <w:p>
      <w:r>
        <w:rPr>
          <w:rFonts w:ascii="Arial" w:hAnsi="Arial"/>
          <w:b w:val="0"/>
          <w:i/>
          <w:color w:val="7F7F7F"/>
          <w:sz w:val="20"/>
        </w:rPr>
        <w:t>Illustrative downturn multipliers (as of 2026-03-16)</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1560"/>
            <w:shd w:val="clear" w:color="auto" w:fill="1F4E79"/>
            <w:vAlign w:val="center"/>
          </w:tcPr>
          <w:p>
            <w:r/>
            <w:r>
              <w:rPr>
                <w:rFonts w:ascii="Arial" w:hAnsi="Arial"/>
                <w:b/>
                <w:color w:val="FFFFFF"/>
                <w:sz w:val="20"/>
              </w:rPr>
              <w:t>Scenario</w:t>
            </w:r>
          </w:p>
        </w:tc>
        <w:tc>
          <w:tcPr>
            <w:tcW w:type="dxa" w:w="1560"/>
            <w:shd w:val="clear" w:color="auto" w:fill="1F4E79"/>
            <w:vAlign w:val="center"/>
          </w:tcPr>
          <w:p>
            <w:r/>
            <w:r>
              <w:rPr>
                <w:rFonts w:ascii="Arial" w:hAnsi="Arial"/>
                <w:b/>
                <w:color w:val="FFFFFF"/>
                <w:sz w:val="20"/>
              </w:rPr>
              <w:t>PD ×</w:t>
            </w:r>
          </w:p>
        </w:tc>
        <w:tc>
          <w:tcPr>
            <w:tcW w:type="dxa" w:w="1560"/>
            <w:shd w:val="clear" w:color="auto" w:fill="1F4E79"/>
            <w:vAlign w:val="center"/>
          </w:tcPr>
          <w:p>
            <w:r/>
            <w:r>
              <w:rPr>
                <w:rFonts w:ascii="Arial" w:hAnsi="Arial"/>
                <w:b/>
                <w:color w:val="FFFFFF"/>
                <w:sz w:val="20"/>
              </w:rPr>
              <w:t>LGD ×</w:t>
            </w:r>
          </w:p>
        </w:tc>
        <w:tc>
          <w:tcPr>
            <w:tcW w:type="dxa" w:w="1560"/>
            <w:shd w:val="clear" w:color="auto" w:fill="1F4E79"/>
            <w:vAlign w:val="center"/>
          </w:tcPr>
          <w:p>
            <w:r/>
            <w:r>
              <w:rPr>
                <w:rFonts w:ascii="Arial" w:hAnsi="Arial"/>
                <w:b/>
                <w:color w:val="FFFFFF"/>
                <w:sz w:val="20"/>
              </w:rPr>
              <w:t>CCF ×</w:t>
            </w:r>
          </w:p>
        </w:tc>
        <w:tc>
          <w:tcPr>
            <w:tcW w:type="dxa" w:w="1560"/>
            <w:shd w:val="clear" w:color="auto" w:fill="1F4E79"/>
            <w:vAlign w:val="center"/>
          </w:tcPr>
          <w:p>
            <w:r/>
            <w:r>
              <w:rPr>
                <w:rFonts w:ascii="Arial" w:hAnsi="Arial"/>
                <w:b/>
                <w:color w:val="FFFFFF"/>
                <w:sz w:val="20"/>
              </w:rPr>
              <w:t>Property haircut</w:t>
            </w:r>
          </w:p>
        </w:tc>
        <w:tc>
          <w:tcPr>
            <w:tcW w:type="dxa" w:w="1560"/>
            <w:shd w:val="clear" w:color="auto" w:fill="1F4E79"/>
            <w:vAlign w:val="center"/>
          </w:tcPr>
          <w:p>
            <w:r/>
            <w:r>
              <w:rPr>
                <w:rFonts w:ascii="Arial" w:hAnsi="Arial"/>
                <w:b/>
                <w:color w:val="FFFFFF"/>
                <w:sz w:val="20"/>
              </w:rPr>
              <w:t>Notes</w:t>
            </w:r>
          </w:p>
        </w:tc>
      </w:tr>
      <w:tr>
        <w:tc>
          <w:tcPr>
            <w:tcW w:type="dxa" w:w="1560"/>
            <w:vAlign w:val="center"/>
          </w:tcPr>
          <w:p>
            <w:r/>
            <w:r>
              <w:rPr>
                <w:rFonts w:ascii="Arial" w:hAnsi="Arial"/>
                <w:sz w:val="20"/>
              </w:rPr>
              <w:t>base</w:t>
            </w:r>
          </w:p>
        </w:tc>
        <w:tc>
          <w:tcPr>
            <w:tcW w:type="dxa" w:w="1560"/>
            <w:vAlign w:val="center"/>
          </w:tcPr>
          <w:p>
            <w:r/>
            <w:r>
              <w:rPr>
                <w:rFonts w:ascii="Arial" w:hAnsi="Arial"/>
                <w:sz w:val="20"/>
              </w:rPr>
              <w:t>1.00</w:t>
            </w:r>
          </w:p>
        </w:tc>
        <w:tc>
          <w:tcPr>
            <w:tcW w:type="dxa" w:w="1560"/>
            <w:vAlign w:val="center"/>
          </w:tcPr>
          <w:p>
            <w:r/>
            <w:r>
              <w:rPr>
                <w:rFonts w:ascii="Arial" w:hAnsi="Arial"/>
                <w:sz w:val="20"/>
              </w:rPr>
              <w:t>1.00</w:t>
            </w:r>
          </w:p>
        </w:tc>
        <w:tc>
          <w:tcPr>
            <w:tcW w:type="dxa" w:w="1560"/>
            <w:vAlign w:val="center"/>
          </w:tcPr>
          <w:p>
            <w:r/>
            <w:r>
              <w:rPr>
                <w:rFonts w:ascii="Arial" w:hAnsi="Arial"/>
                <w:sz w:val="20"/>
              </w:rPr>
              <w:t>1.00</w:t>
            </w:r>
          </w:p>
        </w:tc>
        <w:tc>
          <w:tcPr>
            <w:tcW w:type="dxa" w:w="1560"/>
            <w:vAlign w:val="center"/>
          </w:tcPr>
          <w:p>
            <w:r/>
            <w:r>
              <w:rPr>
                <w:rFonts w:ascii="Arial" w:hAnsi="Arial"/>
                <w:sz w:val="20"/>
              </w:rPr>
              <w:t>0.00</w:t>
            </w:r>
          </w:p>
        </w:tc>
        <w:tc>
          <w:tcPr>
            <w:tcW w:type="dxa" w:w="1560"/>
            <w:vAlign w:val="center"/>
          </w:tcPr>
          <w:p>
            <w:r/>
            <w:r>
              <w:rPr>
                <w:rFonts w:ascii="Arial" w:hAnsi="Arial"/>
                <w:sz w:val="20"/>
              </w:rPr>
              <w:t>Current staged environment. Anchored to a low / improving arrears backdrop and an average property-cycle softness score of 2.73.</w:t>
            </w:r>
          </w:p>
        </w:tc>
      </w:tr>
      <w:tr>
        <w:tc>
          <w:tcPr>
            <w:tcW w:type="dxa" w:w="1560"/>
            <w:shd w:val="clear" w:color="auto" w:fill="F2F2F2"/>
            <w:vAlign w:val="center"/>
          </w:tcPr>
          <w:p>
            <w:r/>
            <w:r>
              <w:rPr>
                <w:rFonts w:ascii="Arial" w:hAnsi="Arial"/>
                <w:sz w:val="20"/>
              </w:rPr>
              <w:t>mild</w:t>
            </w:r>
          </w:p>
        </w:tc>
        <w:tc>
          <w:tcPr>
            <w:tcW w:type="dxa" w:w="1560"/>
            <w:shd w:val="clear" w:color="auto" w:fill="F2F2F2"/>
            <w:vAlign w:val="center"/>
          </w:tcPr>
          <w:p>
            <w:r/>
            <w:r>
              <w:rPr>
                <w:rFonts w:ascii="Arial" w:hAnsi="Arial"/>
                <w:sz w:val="20"/>
              </w:rPr>
              <w:t>1.20</w:t>
            </w:r>
          </w:p>
        </w:tc>
        <w:tc>
          <w:tcPr>
            <w:tcW w:type="dxa" w:w="1560"/>
            <w:shd w:val="clear" w:color="auto" w:fill="F2F2F2"/>
            <w:vAlign w:val="center"/>
          </w:tcPr>
          <w:p>
            <w:r/>
            <w:r>
              <w:rPr>
                <w:rFonts w:ascii="Arial" w:hAnsi="Arial"/>
                <w:sz w:val="20"/>
              </w:rPr>
              <w:t>1.10</w:t>
            </w:r>
          </w:p>
        </w:tc>
        <w:tc>
          <w:tcPr>
            <w:tcW w:type="dxa" w:w="1560"/>
            <w:shd w:val="clear" w:color="auto" w:fill="F2F2F2"/>
            <w:vAlign w:val="center"/>
          </w:tcPr>
          <w:p>
            <w:r/>
            <w:r>
              <w:rPr>
                <w:rFonts w:ascii="Arial" w:hAnsi="Arial"/>
                <w:sz w:val="20"/>
              </w:rPr>
              <w:t>1.05</w:t>
            </w:r>
          </w:p>
        </w:tc>
        <w:tc>
          <w:tcPr>
            <w:tcW w:type="dxa" w:w="1560"/>
            <w:shd w:val="clear" w:color="auto" w:fill="F2F2F2"/>
            <w:vAlign w:val="center"/>
          </w:tcPr>
          <w:p>
            <w:r/>
            <w:r>
              <w:rPr>
                <w:rFonts w:ascii="Arial" w:hAnsi="Arial"/>
                <w:sz w:val="20"/>
              </w:rPr>
              <w:t>0.05</w:t>
            </w:r>
          </w:p>
        </w:tc>
        <w:tc>
          <w:tcPr>
            <w:tcW w:type="dxa" w:w="1560"/>
            <w:shd w:val="clear" w:color="auto" w:fill="F2F2F2"/>
            <w:vAlign w:val="center"/>
          </w:tcPr>
          <w:p>
            <w:r/>
            <w:r>
              <w:rPr>
                <w:rFonts w:ascii="Arial" w:hAnsi="Arial"/>
                <w:sz w:val="20"/>
              </w:rPr>
              <w:t>Illustrative mild downturn overlay for conservative portfolio calibration.</w:t>
            </w:r>
          </w:p>
        </w:tc>
      </w:tr>
      <w:tr>
        <w:tc>
          <w:tcPr>
            <w:tcW w:type="dxa" w:w="1560"/>
            <w:vAlign w:val="center"/>
          </w:tcPr>
          <w:p>
            <w:r/>
            <w:r>
              <w:rPr>
                <w:rFonts w:ascii="Arial" w:hAnsi="Arial"/>
                <w:sz w:val="20"/>
              </w:rPr>
              <w:t>moderate</w:t>
            </w:r>
          </w:p>
        </w:tc>
        <w:tc>
          <w:tcPr>
            <w:tcW w:type="dxa" w:w="1560"/>
            <w:vAlign w:val="center"/>
          </w:tcPr>
          <w:p>
            <w:r/>
            <w:r>
              <w:rPr>
                <w:rFonts w:ascii="Arial" w:hAnsi="Arial"/>
                <w:sz w:val="20"/>
              </w:rPr>
              <w:t>1.50</w:t>
            </w:r>
          </w:p>
        </w:tc>
        <w:tc>
          <w:tcPr>
            <w:tcW w:type="dxa" w:w="1560"/>
            <w:vAlign w:val="center"/>
          </w:tcPr>
          <w:p>
            <w:r/>
            <w:r>
              <w:rPr>
                <w:rFonts w:ascii="Arial" w:hAnsi="Arial"/>
                <w:sz w:val="20"/>
              </w:rPr>
              <w:t>1.20</w:t>
            </w:r>
          </w:p>
        </w:tc>
        <w:tc>
          <w:tcPr>
            <w:tcW w:type="dxa" w:w="1560"/>
            <w:vAlign w:val="center"/>
          </w:tcPr>
          <w:p>
            <w:r/>
            <w:r>
              <w:rPr>
                <w:rFonts w:ascii="Arial" w:hAnsi="Arial"/>
                <w:sz w:val="20"/>
              </w:rPr>
              <w:t>1.10</w:t>
            </w:r>
          </w:p>
        </w:tc>
        <w:tc>
          <w:tcPr>
            <w:tcW w:type="dxa" w:w="1560"/>
            <w:vAlign w:val="center"/>
          </w:tcPr>
          <w:p>
            <w:r/>
            <w:r>
              <w:rPr>
                <w:rFonts w:ascii="Arial" w:hAnsi="Arial"/>
                <w:sz w:val="20"/>
              </w:rPr>
              <w:t>0.10</w:t>
            </w:r>
          </w:p>
        </w:tc>
        <w:tc>
          <w:tcPr>
            <w:tcW w:type="dxa" w:w="1560"/>
            <w:vAlign w:val="center"/>
          </w:tcPr>
          <w:p>
            <w:r/>
            <w:r>
              <w:rPr>
                <w:rFonts w:ascii="Arial" w:hAnsi="Arial"/>
                <w:sz w:val="20"/>
              </w:rPr>
              <w:t>Illustrative moderate downturn overlay for stressed pricing and EL scenario analysis.</w:t>
            </w:r>
          </w:p>
        </w:tc>
      </w:tr>
      <w:tr>
        <w:tc>
          <w:tcPr>
            <w:tcW w:type="dxa" w:w="1560"/>
            <w:shd w:val="clear" w:color="auto" w:fill="F2F2F2"/>
            <w:vAlign w:val="center"/>
          </w:tcPr>
          <w:p>
            <w:r/>
            <w:r>
              <w:rPr>
                <w:rFonts w:ascii="Arial" w:hAnsi="Arial"/>
                <w:sz w:val="20"/>
              </w:rPr>
              <w:t>severe</w:t>
            </w:r>
          </w:p>
        </w:tc>
        <w:tc>
          <w:tcPr>
            <w:tcW w:type="dxa" w:w="1560"/>
            <w:shd w:val="clear" w:color="auto" w:fill="F2F2F2"/>
            <w:vAlign w:val="center"/>
          </w:tcPr>
          <w:p>
            <w:r/>
            <w:r>
              <w:rPr>
                <w:rFonts w:ascii="Arial" w:hAnsi="Arial"/>
                <w:sz w:val="20"/>
              </w:rPr>
              <w:t>2.00</w:t>
            </w:r>
          </w:p>
        </w:tc>
        <w:tc>
          <w:tcPr>
            <w:tcW w:type="dxa" w:w="1560"/>
            <w:shd w:val="clear" w:color="auto" w:fill="F2F2F2"/>
            <w:vAlign w:val="center"/>
          </w:tcPr>
          <w:p>
            <w:r/>
            <w:r>
              <w:rPr>
                <w:rFonts w:ascii="Arial" w:hAnsi="Arial"/>
                <w:sz w:val="20"/>
              </w:rPr>
              <w:t>1.30</w:t>
            </w:r>
          </w:p>
        </w:tc>
        <w:tc>
          <w:tcPr>
            <w:tcW w:type="dxa" w:w="1560"/>
            <w:shd w:val="clear" w:color="auto" w:fill="F2F2F2"/>
            <w:vAlign w:val="center"/>
          </w:tcPr>
          <w:p>
            <w:r/>
            <w:r>
              <w:rPr>
                <w:rFonts w:ascii="Arial" w:hAnsi="Arial"/>
                <w:sz w:val="20"/>
              </w:rPr>
              <w:t>1.20</w:t>
            </w:r>
          </w:p>
        </w:tc>
        <w:tc>
          <w:tcPr>
            <w:tcW w:type="dxa" w:w="1560"/>
            <w:shd w:val="clear" w:color="auto" w:fill="F2F2F2"/>
            <w:vAlign w:val="center"/>
          </w:tcPr>
          <w:p>
            <w:r/>
            <w:r>
              <w:rPr>
                <w:rFonts w:ascii="Arial" w:hAnsi="Arial"/>
                <w:sz w:val="20"/>
              </w:rPr>
              <w:t>0.20</w:t>
            </w:r>
          </w:p>
        </w:tc>
        <w:tc>
          <w:tcPr>
            <w:tcW w:type="dxa" w:w="1560"/>
            <w:shd w:val="clear" w:color="auto" w:fill="F2F2F2"/>
            <w:vAlign w:val="center"/>
          </w:tcPr>
          <w:p>
            <w:r/>
            <w:r>
              <w:rPr>
                <w:rFonts w:ascii="Arial" w:hAnsi="Arial"/>
                <w:sz w:val="20"/>
              </w:rPr>
              <w:t>Illustrative severe downturn overlay. Not a calibrated regulatory stress parameter.</w:t>
            </w:r>
          </w:p>
        </w:tc>
      </w:tr>
    </w:tbl>
    <w:p/>
    <w:p>
      <w:r>
        <w:rPr>
          <w:rFonts w:ascii="Arial" w:hAnsi="Arial"/>
          <w:b w:val="0"/>
          <w:i w:val="0"/>
        </w:rPr>
        <w:t>Apply multiplicatively to modelled PD/LGD/CCF; haircut applies to property valuations in collateral-backed lines. The severe scenario doubles PD; mild and moderate are graduated. Current environment selects the 'base' row (see Section 2).</w:t>
      </w:r>
    </w:p>
    <w:p>
      <w:pPr>
        <w:spacing w:before="280" w:after="120"/>
      </w:pPr>
      <w:r>
        <w:rPr>
          <w:rFonts w:ascii="Arial" w:hAnsi="Arial"/>
          <w:b/>
          <w:color w:val="1F4E79"/>
          <w:sz w:val="32"/>
        </w:rPr>
        <w:t>8. Data Sources and Freshness</w:t>
      </w:r>
    </w:p>
    <w:p>
      <w:r>
        <w:rPr>
          <w:rFonts w:ascii="Arial" w:hAnsi="Arial"/>
          <w:b w:val="0"/>
          <w:i w:val="0"/>
        </w:rPr>
        <w:t>Each overlay is built from public data refreshed on a published cadence. The table below lists the primary source and last-refresh date for each contract. A full chain-of-custody exists in `scripts/download_public_data.py` and `scripts/build_public_panels.py`; the most recent baseline run completed cleanly with no warnings (see `outputs/baseline_state.md`).</w:t>
      </w:r>
    </w:p>
    <w:p>
      <w:r>
        <w:rPr>
          <w:rFonts w:ascii="Arial" w:hAnsi="Arial"/>
          <w:b w:val="0"/>
          <w:i/>
          <w:color w:val="7F7F7F"/>
          <w:sz w:val="20"/>
        </w:rPr>
        <w:t>Primary sources and refresh dates</w:t>
      </w:r>
    </w:p>
    <w:tbl>
      <w:tblPr>
        <w:tblW w:type="auto" w:w="0"/>
        <w:jc w:val="left"/>
        <w:tblLook w:firstColumn="1" w:firstRow="1" w:lastColumn="0" w:lastRow="0" w:noHBand="0" w:noVBand="1" w:val="04A0"/>
      </w:tblPr>
      <w:tblGrid>
        <w:gridCol w:w="2340"/>
        <w:gridCol w:w="2340"/>
        <w:gridCol w:w="2340"/>
        <w:gridCol w:w="2340"/>
      </w:tblGrid>
      <w:tr>
        <w:tc>
          <w:tcPr>
            <w:tcW w:type="dxa" w:w="2340"/>
            <w:shd w:val="clear" w:color="auto" w:fill="1F4E79"/>
            <w:vAlign w:val="center"/>
          </w:tcPr>
          <w:p>
            <w:r/>
            <w:r>
              <w:rPr>
                <w:rFonts w:ascii="Arial" w:hAnsi="Arial"/>
                <w:b/>
                <w:color w:val="FFFFFF"/>
                <w:sz w:val="20"/>
              </w:rPr>
              <w:t>Overlay</w:t>
            </w:r>
          </w:p>
        </w:tc>
        <w:tc>
          <w:tcPr>
            <w:tcW w:type="dxa" w:w="2340"/>
            <w:shd w:val="clear" w:color="auto" w:fill="1F4E79"/>
            <w:vAlign w:val="center"/>
          </w:tcPr>
          <w:p>
            <w:r/>
            <w:r>
              <w:rPr>
                <w:rFonts w:ascii="Arial" w:hAnsi="Arial"/>
                <w:b/>
                <w:color w:val="FFFFFF"/>
                <w:sz w:val="20"/>
              </w:rPr>
              <w:t>Primary source</w:t>
            </w:r>
          </w:p>
        </w:tc>
        <w:tc>
          <w:tcPr>
            <w:tcW w:type="dxa" w:w="2340"/>
            <w:shd w:val="clear" w:color="auto" w:fill="1F4E79"/>
            <w:vAlign w:val="center"/>
          </w:tcPr>
          <w:p>
            <w:r/>
            <w:r>
              <w:rPr>
                <w:rFonts w:ascii="Arial" w:hAnsi="Arial"/>
                <w:b/>
                <w:color w:val="FFFFFF"/>
                <w:sz w:val="20"/>
              </w:rPr>
              <w:t>URL</w:t>
            </w:r>
          </w:p>
        </w:tc>
        <w:tc>
          <w:tcPr>
            <w:tcW w:type="dxa" w:w="2340"/>
            <w:shd w:val="clear" w:color="auto" w:fill="1F4E79"/>
            <w:vAlign w:val="center"/>
          </w:tcPr>
          <w:p>
            <w:r/>
            <w:r>
              <w:rPr>
                <w:rFonts w:ascii="Arial" w:hAnsi="Arial"/>
                <w:b/>
                <w:color w:val="FFFFFF"/>
                <w:sz w:val="20"/>
              </w:rPr>
              <w:t>Refreshed</w:t>
            </w:r>
          </w:p>
        </w:tc>
      </w:tr>
      <w:tr>
        <w:tc>
          <w:tcPr>
            <w:tcW w:type="dxa" w:w="2340"/>
            <w:vAlign w:val="center"/>
          </w:tcPr>
          <w:p>
            <w:r/>
            <w:r>
              <w:rPr>
                <w:rFonts w:ascii="Arial" w:hAnsi="Arial"/>
                <w:sz w:val="20"/>
              </w:rPr>
              <w:t>industry_risk_scores</w:t>
            </w:r>
          </w:p>
        </w:tc>
        <w:tc>
          <w:tcPr>
            <w:tcW w:type="dxa" w:w="2340"/>
            <w:vAlign w:val="center"/>
          </w:tcPr>
          <w:p>
            <w:r/>
            <w:r>
              <w:rPr>
                <w:rFonts w:ascii="Arial" w:hAnsi="Arial"/>
                <w:sz w:val="20"/>
              </w:rPr>
              <w:t>ABS Economic Activity Survey + RBA F1</w:t>
            </w:r>
          </w:p>
        </w:tc>
        <w:tc>
          <w:tcPr>
            <w:tcW w:type="dxa" w:w="2340"/>
            <w:vAlign w:val="center"/>
          </w:tcPr>
          <w:p>
            <w:r/>
            <w:r>
              <w:rPr>
                <w:rFonts w:ascii="Arial" w:hAnsi="Arial"/>
                <w:sz w:val="20"/>
              </w:rPr>
              <w:t>https://www.abs.gov.au/statistics/industry</w:t>
            </w:r>
          </w:p>
        </w:tc>
        <w:tc>
          <w:tcPr>
            <w:tcW w:type="dxa" w:w="2340"/>
            <w:vAlign w:val="center"/>
          </w:tcPr>
          <w:p>
            <w:r/>
            <w:r>
              <w:rPr>
                <w:rFonts w:ascii="Arial" w:hAnsi="Arial"/>
                <w:sz w:val="20"/>
              </w:rPr>
              <w:t>2026-03-16</w:t>
            </w:r>
          </w:p>
        </w:tc>
      </w:tr>
      <w:tr>
        <w:tc>
          <w:tcPr>
            <w:tcW w:type="dxa" w:w="2340"/>
            <w:shd w:val="clear" w:color="auto" w:fill="F2F2F2"/>
            <w:vAlign w:val="center"/>
          </w:tcPr>
          <w:p>
            <w:r/>
            <w:r>
              <w:rPr>
                <w:rFonts w:ascii="Arial" w:hAnsi="Arial"/>
                <w:sz w:val="20"/>
              </w:rPr>
              <w:t>property_market_overlays</w:t>
            </w:r>
          </w:p>
        </w:tc>
        <w:tc>
          <w:tcPr>
            <w:tcW w:type="dxa" w:w="2340"/>
            <w:shd w:val="clear" w:color="auto" w:fill="F2F2F2"/>
            <w:vAlign w:val="center"/>
          </w:tcPr>
          <w:p>
            <w:r/>
            <w:r>
              <w:rPr>
                <w:rFonts w:ascii="Arial" w:hAnsi="Arial"/>
                <w:sz w:val="20"/>
              </w:rPr>
              <w:t>ABS Building Approvals (non-residential)</w:t>
            </w:r>
          </w:p>
        </w:tc>
        <w:tc>
          <w:tcPr>
            <w:tcW w:type="dxa" w:w="2340"/>
            <w:shd w:val="clear" w:color="auto" w:fill="F2F2F2"/>
            <w:vAlign w:val="center"/>
          </w:tcPr>
          <w:p>
            <w:r/>
            <w:r>
              <w:rPr>
                <w:rFonts w:ascii="Arial" w:hAnsi="Arial"/>
                <w:sz w:val="20"/>
              </w:rPr>
              <w:t>https://www.abs.gov.au/statistics/industry/building-and-construction/building-approvals-australia</w:t>
            </w:r>
          </w:p>
        </w:tc>
        <w:tc>
          <w:tcPr>
            <w:tcW w:type="dxa" w:w="2340"/>
            <w:shd w:val="clear" w:color="auto" w:fill="F2F2F2"/>
            <w:vAlign w:val="center"/>
          </w:tcPr>
          <w:p>
            <w:r/>
            <w:r>
              <w:rPr>
                <w:rFonts w:ascii="Arial" w:hAnsi="Arial"/>
                <w:sz w:val="20"/>
              </w:rPr>
              <w:t>2026-02-01</w:t>
            </w:r>
          </w:p>
        </w:tc>
      </w:tr>
      <w:tr>
        <w:tc>
          <w:tcPr>
            <w:tcW w:type="dxa" w:w="2340"/>
            <w:vAlign w:val="center"/>
          </w:tcPr>
          <w:p>
            <w:r/>
            <w:r>
              <w:rPr>
                <w:rFonts w:ascii="Arial" w:hAnsi="Arial"/>
                <w:sz w:val="20"/>
              </w:rPr>
              <w:t>downturn_overlay_table</w:t>
            </w:r>
          </w:p>
        </w:tc>
        <w:tc>
          <w:tcPr>
            <w:tcW w:type="dxa" w:w="2340"/>
            <w:vAlign w:val="center"/>
          </w:tcPr>
          <w:p>
            <w:r/>
            <w:r>
              <w:rPr>
                <w:rFonts w:ascii="Arial" w:hAnsi="Arial"/>
                <w:sz w:val="20"/>
              </w:rPr>
              <w:t>Staged arrears context + property softness</w:t>
            </w:r>
          </w:p>
        </w:tc>
        <w:tc>
          <w:tcPr>
            <w:tcW w:type="dxa" w:w="2340"/>
            <w:vAlign w:val="center"/>
          </w:tcPr>
          <w:p>
            <w:r/>
            <w:r>
              <w:rPr>
                <w:rFonts w:ascii="Arial" w:hAnsi="Arial"/>
                <w:sz w:val="20"/>
              </w:rPr>
              <w:t>(internal staging)</w:t>
            </w:r>
          </w:p>
        </w:tc>
        <w:tc>
          <w:tcPr>
            <w:tcW w:type="dxa" w:w="2340"/>
            <w:vAlign w:val="center"/>
          </w:tcPr>
          <w:p>
            <w:r/>
            <w:r>
              <w:rPr>
                <w:rFonts w:ascii="Arial" w:hAnsi="Arial"/>
                <w:sz w:val="20"/>
              </w:rPr>
              <w:t>2026-03-16</w:t>
            </w:r>
          </w:p>
        </w:tc>
      </w:tr>
      <w:tr>
        <w:tc>
          <w:tcPr>
            <w:tcW w:type="dxa" w:w="2340"/>
            <w:shd w:val="clear" w:color="auto" w:fill="F2F2F2"/>
            <w:vAlign w:val="center"/>
          </w:tcPr>
          <w:p>
            <w:r/>
            <w:r>
              <w:rPr>
                <w:rFonts w:ascii="Arial" w:hAnsi="Arial"/>
                <w:sz w:val="20"/>
              </w:rPr>
              <w:t>macro_regime_flags</w:t>
            </w:r>
          </w:p>
        </w:tc>
        <w:tc>
          <w:tcPr>
            <w:tcW w:type="dxa" w:w="2340"/>
            <w:shd w:val="clear" w:color="auto" w:fill="F2F2F2"/>
            <w:vAlign w:val="center"/>
          </w:tcPr>
          <w:p>
            <w:r/>
            <w:r>
              <w:rPr>
                <w:rFonts w:ascii="Arial" w:hAnsi="Arial"/>
                <w:sz w:val="20"/>
              </w:rPr>
              <w:t>RBA F1 cash-rate table + arrears staging</w:t>
            </w:r>
          </w:p>
        </w:tc>
        <w:tc>
          <w:tcPr>
            <w:tcW w:type="dxa" w:w="2340"/>
            <w:shd w:val="clear" w:color="auto" w:fill="F2F2F2"/>
            <w:vAlign w:val="center"/>
          </w:tcPr>
          <w:p>
            <w:r/>
            <w:r>
              <w:rPr>
                <w:rFonts w:ascii="Arial" w:hAnsi="Arial"/>
                <w:sz w:val="20"/>
              </w:rPr>
              <w:t>https://www.rba.gov.au/statistics/tables/</w:t>
            </w:r>
          </w:p>
        </w:tc>
        <w:tc>
          <w:tcPr>
            <w:tcW w:type="dxa" w:w="2340"/>
            <w:shd w:val="clear" w:color="auto" w:fill="F2F2F2"/>
            <w:vAlign w:val="center"/>
          </w:tcPr>
          <w:p>
            <w:r/>
            <w:r>
              <w:rPr>
                <w:rFonts w:ascii="Arial" w:hAnsi="Arial"/>
                <w:sz w:val="20"/>
              </w:rPr>
              <w:t>2026-03-16</w:t>
            </w:r>
          </w:p>
        </w:tc>
      </w:tr>
      <w:tr>
        <w:tc>
          <w:tcPr>
            <w:tcW w:type="dxa" w:w="2340"/>
            <w:vAlign w:val="center"/>
          </w:tcPr>
          <w:p>
            <w:r/>
            <w:r>
              <w:rPr>
                <w:rFonts w:ascii="Arial" w:hAnsi="Arial"/>
                <w:sz w:val="20"/>
              </w:rPr>
              <w:t>business_cycle_panel</w:t>
            </w:r>
          </w:p>
        </w:tc>
        <w:tc>
          <w:tcPr>
            <w:tcW w:type="dxa" w:w="2340"/>
            <w:vAlign w:val="center"/>
          </w:tcPr>
          <w:p>
            <w:r/>
            <w:r>
              <w:rPr>
                <w:rFonts w:ascii="Arial" w:hAnsi="Arial"/>
                <w:sz w:val="20"/>
              </w:rPr>
              <w:t>ABS EAS + RBA F1 (panel assembly)</w:t>
            </w:r>
          </w:p>
        </w:tc>
        <w:tc>
          <w:tcPr>
            <w:tcW w:type="dxa" w:w="2340"/>
            <w:vAlign w:val="center"/>
          </w:tcPr>
          <w:p>
            <w:r/>
            <w:r>
              <w:rPr>
                <w:rFonts w:ascii="Arial" w:hAnsi="Arial"/>
                <w:sz w:val="20"/>
              </w:rPr>
              <w:t>(derived)</w:t>
            </w:r>
          </w:p>
        </w:tc>
        <w:tc>
          <w:tcPr>
            <w:tcW w:type="dxa" w:w="2340"/>
            <w:vAlign w:val="center"/>
          </w:tcPr>
          <w:p>
            <w:r/>
            <w:r>
              <w:rPr>
                <w:rFonts w:ascii="Arial" w:hAnsi="Arial"/>
                <w:sz w:val="20"/>
              </w:rPr>
              <w:t>2026-03-16</w:t>
            </w:r>
          </w:p>
        </w:tc>
      </w:tr>
      <w:tr>
        <w:tc>
          <w:tcPr>
            <w:tcW w:type="dxa" w:w="2340"/>
            <w:shd w:val="clear" w:color="auto" w:fill="F2F2F2"/>
            <w:vAlign w:val="center"/>
          </w:tcPr>
          <w:p>
            <w:r/>
            <w:r>
              <w:rPr>
                <w:rFonts w:ascii="Arial" w:hAnsi="Arial"/>
                <w:sz w:val="20"/>
              </w:rPr>
              <w:t>property_cycle_panel</w:t>
            </w:r>
          </w:p>
        </w:tc>
        <w:tc>
          <w:tcPr>
            <w:tcW w:type="dxa" w:w="2340"/>
            <w:shd w:val="clear" w:color="auto" w:fill="F2F2F2"/>
            <w:vAlign w:val="center"/>
          </w:tcPr>
          <w:p>
            <w:r/>
            <w:r>
              <w:rPr>
                <w:rFonts w:ascii="Arial" w:hAnsi="Arial"/>
                <w:sz w:val="20"/>
              </w:rPr>
              <w:t>ABS Building Approvals</w:t>
            </w:r>
          </w:p>
        </w:tc>
        <w:tc>
          <w:tcPr>
            <w:tcW w:type="dxa" w:w="2340"/>
            <w:shd w:val="clear" w:color="auto" w:fill="F2F2F2"/>
            <w:vAlign w:val="center"/>
          </w:tcPr>
          <w:p>
            <w:r/>
            <w:r>
              <w:rPr>
                <w:rFonts w:ascii="Arial" w:hAnsi="Arial"/>
                <w:sz w:val="20"/>
              </w:rPr>
              <w:t>(derived)</w:t>
            </w:r>
          </w:p>
        </w:tc>
        <w:tc>
          <w:tcPr>
            <w:tcW w:type="dxa" w:w="2340"/>
            <w:shd w:val="clear" w:color="auto" w:fill="F2F2F2"/>
            <w:vAlign w:val="center"/>
          </w:tcPr>
          <w:p>
            <w:r/>
            <w:r>
              <w:rPr>
                <w:rFonts w:ascii="Arial" w:hAnsi="Arial"/>
                <w:sz w:val="20"/>
              </w:rPr>
              <w:t>2026-02-01</w:t>
            </w:r>
          </w:p>
        </w:tc>
      </w:tr>
    </w:tbl>
    <w:p/>
    <w:p>
      <w:pPr>
        <w:spacing w:before="280" w:after="120"/>
      </w:pPr>
      <w:r>
        <w:rPr>
          <w:rFonts w:ascii="Arial" w:hAnsi="Arial"/>
          <w:b/>
          <w:color w:val="1F4E79"/>
          <w:sz w:val="32"/>
        </w:rPr>
        <w:t>9. Validation and Caveats</w:t>
      </w:r>
    </w:p>
    <w:p>
      <w:r>
        <w:rPr>
          <w:rFonts w:ascii="Arial" w:hAnsi="Arial"/>
          <w:b w:val="0"/>
          <w:i w:val="0"/>
        </w:rPr>
        <w:t>Contract validation runs automatically before every downstream handoff. All 12 current checks passed on the latest pipeline run. This section also documents active methodology review items and known gaps. The validator is `scripts/validate_upstream.py`, backed by `src/validation.py`. It verifies presence and non-emptiness of all 4 core contract exports plus 2 optional explainability panels. End-to-end test coverage is locked via `tests/test_export_contracts.py` (schema, row counts, no all-null columns, downturn monotonicity, and base-scenario unity multipliers).</w:t>
      </w:r>
    </w:p>
    <w:p>
      <w:r>
        <w:rPr>
          <w:rFonts w:ascii="Arial" w:hAnsi="Arial"/>
          <w:b w:val="0"/>
          <w:i/>
          <w:color w:val="7F7F7F"/>
          <w:sz w:val="20"/>
        </w:rPr>
        <w:t>Contract validation summary</w:t>
      </w:r>
    </w:p>
    <w:tbl>
      <w:tblPr>
        <w:tblW w:type="auto" w:w="0"/>
        <w:jc w:val="left"/>
        <w:tblLook w:firstColumn="1" w:firstRow="1" w:lastColumn="0" w:lastRow="0" w:noHBand="0" w:noVBand="1" w:val="04A0"/>
      </w:tblPr>
      <w:tblGrid>
        <w:gridCol w:w="3120"/>
        <w:gridCol w:w="3120"/>
        <w:gridCol w:w="3120"/>
      </w:tblGrid>
      <w:tr>
        <w:tc>
          <w:tcPr>
            <w:tcW w:type="dxa" w:w="3120"/>
            <w:shd w:val="clear" w:color="auto" w:fill="1F4E79"/>
            <w:vAlign w:val="center"/>
          </w:tcPr>
          <w:p>
            <w:r/>
            <w:r>
              <w:rPr>
                <w:rFonts w:ascii="Arial" w:hAnsi="Arial"/>
                <w:b/>
                <w:color w:val="FFFFFF"/>
                <w:sz w:val="20"/>
              </w:rPr>
              <w:t>Check category</w:t>
            </w:r>
          </w:p>
        </w:tc>
        <w:tc>
          <w:tcPr>
            <w:tcW w:type="dxa" w:w="3120"/>
            <w:shd w:val="clear" w:color="auto" w:fill="1F4E79"/>
            <w:vAlign w:val="center"/>
          </w:tcPr>
          <w:p>
            <w:r/>
            <w:r>
              <w:rPr>
                <w:rFonts w:ascii="Arial" w:hAnsi="Arial"/>
                <w:b/>
                <w:color w:val="FFFFFF"/>
                <w:sz w:val="20"/>
              </w:rPr>
              <w:t>Items</w:t>
            </w:r>
          </w:p>
        </w:tc>
        <w:tc>
          <w:tcPr>
            <w:tcW w:type="dxa" w:w="3120"/>
            <w:shd w:val="clear" w:color="auto" w:fill="1F4E79"/>
            <w:vAlign w:val="center"/>
          </w:tcPr>
          <w:p>
            <w:r/>
            <w:r>
              <w:rPr>
                <w:rFonts w:ascii="Arial" w:hAnsi="Arial"/>
                <w:b/>
                <w:color w:val="FFFFFF"/>
                <w:sz w:val="20"/>
              </w:rPr>
              <w:t>Status</w:t>
            </w:r>
          </w:p>
        </w:tc>
      </w:tr>
      <w:tr>
        <w:tc>
          <w:tcPr>
            <w:tcW w:type="dxa" w:w="3120"/>
            <w:vAlign w:val="center"/>
          </w:tcPr>
          <w:p>
            <w:r/>
            <w:r>
              <w:rPr>
                <w:rFonts w:ascii="Arial" w:hAnsi="Arial"/>
                <w:sz w:val="20"/>
              </w:rPr>
              <w:t>Core contract presence</w:t>
            </w:r>
          </w:p>
        </w:tc>
        <w:tc>
          <w:tcPr>
            <w:tcW w:type="dxa" w:w="3120"/>
            <w:vAlign w:val="center"/>
          </w:tcPr>
          <w:p>
            <w:r/>
            <w:r>
              <w:rPr>
                <w:rFonts w:ascii="Arial" w:hAnsi="Arial"/>
                <w:sz w:val="20"/>
              </w:rPr>
              <w:t>4</w:t>
            </w:r>
          </w:p>
        </w:tc>
        <w:tc>
          <w:tcPr>
            <w:tcW w:type="dxa" w:w="3120"/>
            <w:vAlign w:val="center"/>
          </w:tcPr>
          <w:p>
            <w:r/>
            <w:r>
              <w:rPr>
                <w:rFonts w:ascii="Arial" w:hAnsi="Arial"/>
                <w:sz w:val="20"/>
              </w:rPr>
              <w:t>Pass</w:t>
            </w:r>
          </w:p>
        </w:tc>
      </w:tr>
      <w:tr>
        <w:tc>
          <w:tcPr>
            <w:tcW w:type="dxa" w:w="3120"/>
            <w:shd w:val="clear" w:color="auto" w:fill="F2F2F2"/>
            <w:vAlign w:val="center"/>
          </w:tcPr>
          <w:p>
            <w:r/>
            <w:r>
              <w:rPr>
                <w:rFonts w:ascii="Arial" w:hAnsi="Arial"/>
                <w:sz w:val="20"/>
              </w:rPr>
              <w:t>Core contract file on disk</w:t>
            </w:r>
          </w:p>
        </w:tc>
        <w:tc>
          <w:tcPr>
            <w:tcW w:type="dxa" w:w="3120"/>
            <w:shd w:val="clear" w:color="auto" w:fill="F2F2F2"/>
            <w:vAlign w:val="center"/>
          </w:tcPr>
          <w:p>
            <w:r/>
            <w:r>
              <w:rPr>
                <w:rFonts w:ascii="Arial" w:hAnsi="Arial"/>
                <w:sz w:val="20"/>
              </w:rPr>
              <w:t>4</w:t>
            </w:r>
          </w:p>
        </w:tc>
        <w:tc>
          <w:tcPr>
            <w:tcW w:type="dxa" w:w="3120"/>
            <w:shd w:val="clear" w:color="auto" w:fill="F2F2F2"/>
            <w:vAlign w:val="center"/>
          </w:tcPr>
          <w:p>
            <w:r/>
            <w:r>
              <w:rPr>
                <w:rFonts w:ascii="Arial" w:hAnsi="Arial"/>
                <w:sz w:val="20"/>
              </w:rPr>
              <w:t>Pass</w:t>
            </w:r>
          </w:p>
        </w:tc>
      </w:tr>
      <w:tr>
        <w:tc>
          <w:tcPr>
            <w:tcW w:type="dxa" w:w="3120"/>
            <w:vAlign w:val="center"/>
          </w:tcPr>
          <w:p>
            <w:r/>
            <w:r>
              <w:rPr>
                <w:rFonts w:ascii="Arial" w:hAnsi="Arial"/>
                <w:sz w:val="20"/>
              </w:rPr>
              <w:t>Optional panel presence</w:t>
            </w:r>
          </w:p>
        </w:tc>
        <w:tc>
          <w:tcPr>
            <w:tcW w:type="dxa" w:w="3120"/>
            <w:vAlign w:val="center"/>
          </w:tcPr>
          <w:p>
            <w:r/>
            <w:r>
              <w:rPr>
                <w:rFonts w:ascii="Arial" w:hAnsi="Arial"/>
                <w:sz w:val="20"/>
              </w:rPr>
              <w:t>2</w:t>
            </w:r>
          </w:p>
        </w:tc>
        <w:tc>
          <w:tcPr>
            <w:tcW w:type="dxa" w:w="3120"/>
            <w:vAlign w:val="center"/>
          </w:tcPr>
          <w:p>
            <w:r/>
            <w:r>
              <w:rPr>
                <w:rFonts w:ascii="Arial" w:hAnsi="Arial"/>
                <w:sz w:val="20"/>
              </w:rPr>
              <w:t>Pass</w:t>
            </w:r>
          </w:p>
        </w:tc>
      </w:tr>
      <w:tr>
        <w:tc>
          <w:tcPr>
            <w:tcW w:type="dxa" w:w="3120"/>
            <w:shd w:val="clear" w:color="auto" w:fill="F2F2F2"/>
            <w:vAlign w:val="center"/>
          </w:tcPr>
          <w:p>
            <w:r/>
            <w:r>
              <w:rPr>
                <w:rFonts w:ascii="Arial" w:hAnsi="Arial"/>
                <w:sz w:val="20"/>
              </w:rPr>
              <w:t>Optional panel file on disk</w:t>
            </w:r>
          </w:p>
        </w:tc>
        <w:tc>
          <w:tcPr>
            <w:tcW w:type="dxa" w:w="3120"/>
            <w:shd w:val="clear" w:color="auto" w:fill="F2F2F2"/>
            <w:vAlign w:val="center"/>
          </w:tcPr>
          <w:p>
            <w:r/>
            <w:r>
              <w:rPr>
                <w:rFonts w:ascii="Arial" w:hAnsi="Arial"/>
                <w:sz w:val="20"/>
              </w:rPr>
              <w:t>2</w:t>
            </w:r>
          </w:p>
        </w:tc>
        <w:tc>
          <w:tcPr>
            <w:tcW w:type="dxa" w:w="3120"/>
            <w:shd w:val="clear" w:color="auto" w:fill="F2F2F2"/>
            <w:vAlign w:val="center"/>
          </w:tcPr>
          <w:p>
            <w:r/>
            <w:r>
              <w:rPr>
                <w:rFonts w:ascii="Arial" w:hAnsi="Arial"/>
                <w:sz w:val="20"/>
              </w:rPr>
              <w:t>Pass</w:t>
            </w:r>
          </w:p>
        </w:tc>
      </w:tr>
    </w:tbl>
    <w:p/>
    <w:p>
      <w:r>
        <w:rPr>
          <w:rFonts w:ascii="Arial" w:hAnsi="Arial"/>
          <w:b w:val="0"/>
          <w:i w:val="0"/>
        </w:rPr>
        <w:t>Two caveats to flag: (1) Construction's 'Medium' rating reflects structural factors only, not current insolvency pressure — see the callout below. (2) Property overlay commencements and completions are proxied from approvals in this cycle, not directly observed. (3) `business_cycle_panel` carries 21 nulls across 6 diagnostic columns, all concentrated in sectors where ABS does not publish inventory-to-sales ratios (Agriculture, Construction, Health, Professional, Transport). Core scoring columns are fully populated; scoring functions in `src/utils.py` map nulls to a neutral factor score (3). The null pattern is confirmed documented-by-design via the `inventory_days_est_source` flag column. (4) The `cash_rate_latest_pct` field is broadcast uniformly to every industry row; it is a conditioner, not a per-industry observation.</w:t>
      </w:r>
    </w:p>
    <w:tbl>
      <w:tblPr>
        <w:tblW w:type="auto" w:w="0"/>
        <w:jc w:val="left"/>
        <w:tblLook w:firstColumn="1" w:firstRow="1" w:lastColumn="0" w:lastRow="0" w:noHBand="0" w:noVBand="1" w:val="04A0"/>
      </w:tblPr>
      <w:tblGrid>
        <w:gridCol w:w="9360"/>
      </w:tblGrid>
      <w:tr>
        <w:tc>
          <w:tcPr>
            <w:tcW w:type="dxa" w:w="9360"/>
            <w:shd w:val="clear" w:color="auto" w:fill="F4B183"/>
            <w:vAlign w:val="top"/>
            <w:tcBorders>
              <w:top w:val="single" w:sz="8" w:color="F4B183"/>
              <w:left w:val="single" w:sz="8" w:color="F4B183"/>
              <w:bottom w:val="single" w:sz="8" w:color="F4B183"/>
              <w:right w:val="single" w:sz="8" w:color="F4B183"/>
            </w:tcBorders>
          </w:tcPr>
          <w:p>
            <w:r/>
            <w:r>
              <w:rPr>
                <w:rFonts w:ascii="Arial" w:hAnsi="Arial"/>
                <w:b/>
                <w:sz w:val="22"/>
              </w:rPr>
              <w:t>Methodology review item: Construction ranking</w:t>
            </w:r>
          </w:p>
          <w:p>
            <w:r>
              <w:rPr>
                <w:rFonts w:ascii="Arial" w:hAnsi="Arial"/>
                <w:sz w:val="20"/>
              </w:rPr>
              <w:t>The current `industry_base_risk_score` for Construction is 2.68 ('Medium'), tied with Accommodation/Food Services and below Manufacturing/Agriculture (3.50 each).</w:t>
            </w:r>
          </w:p>
          <w:p>
            <w:r>
              <w:rPr>
                <w:rFonts w:ascii="Arial" w:hAnsi="Arial"/>
                <w:sz w:val="20"/>
              </w:rPr>
            </w:r>
          </w:p>
          <w:p>
            <w:r>
              <w:rPr>
                <w:rFonts w:ascii="Arial" w:hAnsi="Arial"/>
                <w:sz w:val="20"/>
              </w:rPr>
              <w:t>Market evidence suggests Construction warrants an 'Elevated' classification in the current cycle:</w:t>
            </w:r>
          </w:p>
          <w:p>
            <w:r>
              <w:rPr>
                <w:rFonts w:ascii="Arial" w:hAnsi="Arial"/>
                <w:sz w:val="20"/>
              </w:rPr>
              <w:t>- Australian builder insolvencies have been elevated through 2024–2026 (Porter Davis, Probuild, Clough collapses).</w:t>
            </w:r>
          </w:p>
          <w:p>
            <w:r>
              <w:rPr>
                <w:rFonts w:ascii="Arial" w:hAnsi="Arial"/>
                <w:sz w:val="20"/>
              </w:rPr>
              <w:t>- Subcontractor arrears remain at multi-year highs.</w:t>
            </w:r>
          </w:p>
          <w:p>
            <w:r>
              <w:rPr>
                <w:rFonts w:ascii="Arial" w:hAnsi="Arial"/>
                <w:sz w:val="20"/>
              </w:rPr>
              <w:t>- Fixed-price-contract plus materials-inflation squeeze is ongoing.</w:t>
            </w:r>
          </w:p>
          <w:p>
            <w:r>
              <w:rPr>
                <w:rFonts w:ascii="Arial" w:hAnsi="Arial"/>
                <w:sz w:val="20"/>
              </w:rPr>
            </w:r>
          </w:p>
          <w:p>
            <w:r>
              <w:rPr>
                <w:rFonts w:ascii="Arial" w:hAnsi="Arial"/>
                <w:sz w:val="20"/>
              </w:rPr>
              <w:t>Why the score does not reflect this: the methodology weights structural classification factors (cyclicality, market concentration) and macro sensitivity (rates, growth) but does not currently incorporate sector-specific insolvency or arrears flow data into the base risk score. The downturn overlay table provides scenario adjustments, but those apply uniformly across industries rather than tilted toward sectors under specific stress.</w:t>
            </w:r>
          </w:p>
          <w:p>
            <w:r>
              <w:rPr>
                <w:rFonts w:ascii="Arial" w:hAnsi="Arial"/>
                <w:sz w:val="20"/>
              </w:rPr>
            </w:r>
          </w:p>
          <w:p>
            <w:r>
              <w:rPr>
                <w:rFonts w:ascii="Arial" w:hAnsi="Arial"/>
                <w:sz w:val="20"/>
              </w:rPr>
              <w:t>This is a methodology design choice — defensible if you treat insolvency rates as a separate 'current state' overlay distinct from 'structural risk'. But it produces base scores that may understate near-term credit risk for sectors going through a sector-specific stress event.</w:t>
            </w:r>
          </w:p>
          <w:p>
            <w:r>
              <w:rPr>
                <w:rFonts w:ascii="Arial" w:hAnsi="Arial"/>
                <w:sz w:val="20"/>
              </w:rPr>
            </w:r>
          </w:p>
          <w:p>
            <w:r>
              <w:rPr>
                <w:rFonts w:ascii="Arial" w:hAnsi="Arial"/>
                <w:sz w:val="20"/>
              </w:rPr>
              <w:t>**Options for next methodology review:**</w:t>
            </w:r>
          </w:p>
          <w:p>
            <w:r>
              <w:rPr>
                <w:rFonts w:ascii="Arial" w:hAnsi="Arial"/>
                <w:sz w:val="20"/>
              </w:rPr>
              <w:t>1. **Accept the design as-is** (structural vs current-state separation).</w:t>
            </w:r>
          </w:p>
          <w:p>
            <w:r>
              <w:rPr>
                <w:rFonts w:ascii="Arial" w:hAnsi="Arial"/>
                <w:sz w:val="20"/>
              </w:rPr>
              <w:t>2. **Add an industry-stress overlay** that lifts the base score when ASIC insolvency rates exceed a threshold for a specific ANZSIC division.</w:t>
            </w:r>
          </w:p>
          <w:p>
            <w:r>
              <w:rPr>
                <w:rFonts w:ascii="Arial" w:hAnsi="Arial"/>
                <w:sz w:val="20"/>
              </w:rPr>
              <w:t>3. **Document the limitation** in the methodology manual and downstream consumer documentation.</w:t>
            </w:r>
          </w:p>
          <w:p>
            <w:r>
              <w:rPr>
                <w:rFonts w:ascii="Arial" w:hAnsi="Arial"/>
                <w:sz w:val="20"/>
              </w:rPr>
            </w:r>
          </w:p>
          <w:p>
            <w:r>
              <w:rPr>
                <w:rFonts w:ascii="Arial" w:hAnsi="Arial"/>
                <w:sz w:val="20"/>
              </w:rPr>
              <w:t>**This session: noted, not fixed.** Methodology change is out of scope for an audit + polish pass.</w:t>
            </w:r>
          </w:p>
        </w:tc>
      </w:tr>
    </w:tbl>
    <w:p/>
    <w:p>
      <w:pPr>
        <w:spacing w:before="280" w:after="120"/>
      </w:pPr>
      <w:r>
        <w:rPr>
          <w:rFonts w:ascii="Arial" w:hAnsi="Arial"/>
          <w:b/>
          <w:color w:val="1F4E79"/>
          <w:sz w:val="32"/>
        </w:rPr>
        <w:t>10. Methodology References</w:t>
      </w:r>
    </w:p>
    <w:p>
      <w:r>
        <w:rPr>
          <w:rFonts w:ascii="Arial" w:hAnsi="Arial"/>
          <w:b w:val="0"/>
          <w:i w:val="0"/>
        </w:rPr>
        <w:t>Full methodology manuals are maintained in the repo `docs/` folder. These describe how each overlay is constructed from raw inputs.</w:t>
      </w:r>
    </w:p>
    <w:p>
      <w:r>
        <w:rPr>
          <w:rFonts w:ascii="Arial" w:hAnsi="Arial"/>
          <w:b w:val="0"/>
          <w:i/>
          <w:color w:val="7F7F7F"/>
          <w:sz w:val="20"/>
        </w:rPr>
        <w:t>Methodology documents</w:t>
      </w:r>
    </w:p>
    <w:tbl>
      <w:tblPr>
        <w:tblW w:type="auto" w:w="0"/>
        <w:jc w:val="left"/>
        <w:tblLook w:firstColumn="1" w:firstRow="1" w:lastColumn="0" w:lastRow="0" w:noHBand="0" w:noVBand="1" w:val="04A0"/>
      </w:tblPr>
      <w:tblGrid>
        <w:gridCol w:w="4680"/>
        <w:gridCol w:w="4680"/>
      </w:tblGrid>
      <w:tr>
        <w:tc>
          <w:tcPr>
            <w:tcW w:type="dxa" w:w="4680"/>
            <w:shd w:val="clear" w:color="auto" w:fill="1F4E79"/>
            <w:vAlign w:val="center"/>
          </w:tcPr>
          <w:p>
            <w:r/>
            <w:r>
              <w:rPr>
                <w:rFonts w:ascii="Arial" w:hAnsi="Arial"/>
                <w:b/>
                <w:color w:val="FFFFFF"/>
                <w:sz w:val="20"/>
              </w:rPr>
              <w:t>Area</w:t>
            </w:r>
          </w:p>
        </w:tc>
        <w:tc>
          <w:tcPr>
            <w:tcW w:type="dxa" w:w="4680"/>
            <w:shd w:val="clear" w:color="auto" w:fill="1F4E79"/>
            <w:vAlign w:val="center"/>
          </w:tcPr>
          <w:p>
            <w:r/>
            <w:r>
              <w:rPr>
                <w:rFonts w:ascii="Arial" w:hAnsi="Arial"/>
                <w:b/>
                <w:color w:val="FFFFFF"/>
                <w:sz w:val="20"/>
              </w:rPr>
              <w:t>Document</w:t>
            </w:r>
          </w:p>
        </w:tc>
      </w:tr>
      <w:tr>
        <w:tc>
          <w:tcPr>
            <w:tcW w:type="dxa" w:w="4680"/>
            <w:vAlign w:val="center"/>
          </w:tcPr>
          <w:p>
            <w:r/>
            <w:r>
              <w:rPr>
                <w:rFonts w:ascii="Arial" w:hAnsi="Arial"/>
                <w:sz w:val="20"/>
              </w:rPr>
              <w:t>Cash-flow lending</w:t>
            </w:r>
          </w:p>
        </w:tc>
        <w:tc>
          <w:tcPr>
            <w:tcW w:type="dxa" w:w="4680"/>
            <w:vAlign w:val="center"/>
          </w:tcPr>
          <w:p>
            <w:r/>
            <w:r>
              <w:rPr>
                <w:rFonts w:ascii="Arial" w:hAnsi="Arial"/>
                <w:sz w:val="20"/>
              </w:rPr>
              <w:t>docs/methodology_cash_flow_lending.md</w:t>
            </w:r>
          </w:p>
        </w:tc>
      </w:tr>
      <w:tr>
        <w:tc>
          <w:tcPr>
            <w:tcW w:type="dxa" w:w="4680"/>
            <w:shd w:val="clear" w:color="auto" w:fill="F2F2F2"/>
            <w:vAlign w:val="center"/>
          </w:tcPr>
          <w:p>
            <w:r/>
            <w:r>
              <w:rPr>
                <w:rFonts w:ascii="Arial" w:hAnsi="Arial"/>
                <w:sz w:val="20"/>
              </w:rPr>
              <w:t>Property-backed lending</w:t>
            </w:r>
          </w:p>
        </w:tc>
        <w:tc>
          <w:tcPr>
            <w:tcW w:type="dxa" w:w="4680"/>
            <w:shd w:val="clear" w:color="auto" w:fill="F2F2F2"/>
            <w:vAlign w:val="center"/>
          </w:tcPr>
          <w:p>
            <w:r/>
            <w:r>
              <w:rPr>
                <w:rFonts w:ascii="Arial" w:hAnsi="Arial"/>
                <w:sz w:val="20"/>
              </w:rPr>
              <w:t>docs/methodology_property_backed_lending.md</w:t>
            </w:r>
          </w:p>
        </w:tc>
      </w:tr>
      <w:tr>
        <w:tc>
          <w:tcPr>
            <w:tcW w:type="dxa" w:w="4680"/>
            <w:vAlign w:val="center"/>
          </w:tcPr>
          <w:p>
            <w:r/>
            <w:r>
              <w:rPr>
                <w:rFonts w:ascii="Arial" w:hAnsi="Arial"/>
                <w:sz w:val="20"/>
              </w:rPr>
              <w:t>Audit + polish log (this session)</w:t>
            </w:r>
          </w:p>
        </w:tc>
        <w:tc>
          <w:tcPr>
            <w:tcW w:type="dxa" w:w="4680"/>
            <w:vAlign w:val="center"/>
          </w:tcPr>
          <w:p>
            <w:r/>
            <w:r>
              <w:rPr>
                <w:rFonts w:ascii="Arial" w:hAnsi="Arial"/>
                <w:sz w:val="20"/>
              </w:rPr>
              <w:t>outputs/industry_analysis_audit_log.md</w:t>
            </w:r>
          </w:p>
        </w:tc>
      </w:tr>
      <w:tr>
        <w:tc>
          <w:tcPr>
            <w:tcW w:type="dxa" w:w="4680"/>
            <w:shd w:val="clear" w:color="auto" w:fill="F2F2F2"/>
            <w:vAlign w:val="center"/>
          </w:tcPr>
          <w:p>
            <w:r/>
            <w:r>
              <w:rPr>
                <w:rFonts w:ascii="Arial" w:hAnsi="Arial"/>
                <w:sz w:val="20"/>
              </w:rPr>
              <w:t>Baseline state</w:t>
            </w:r>
          </w:p>
        </w:tc>
        <w:tc>
          <w:tcPr>
            <w:tcW w:type="dxa" w:w="4680"/>
            <w:shd w:val="clear" w:color="auto" w:fill="F2F2F2"/>
            <w:vAlign w:val="center"/>
          </w:tcPr>
          <w:p>
            <w:r/>
            <w:r>
              <w:rPr>
                <w:rFonts w:ascii="Arial" w:hAnsi="Arial"/>
                <w:sz w:val="20"/>
              </w:rPr>
              <w:t>outputs/baseline_state.md</w:t>
            </w:r>
          </w:p>
        </w:tc>
      </w:tr>
    </w:tbl>
    <w:p/>
    <w:p>
      <w:pPr>
        <w:spacing w:before="280" w:after="120"/>
      </w:pPr>
      <w:r>
        <w:rPr>
          <w:rFonts w:ascii="Arial" w:hAnsi="Arial"/>
          <w:b/>
          <w:color w:val="1F4E79"/>
          <w:sz w:val="32"/>
        </w:rPr>
        <w:t>Appendix A — Audit log (this session)</w:t>
      </w:r>
    </w:p>
    <w:p>
      <w:r>
        <w:rPr>
          <w:rFonts w:ascii="Arial" w:hAnsi="Arial"/>
          <w:b/>
          <w:i w:val="0"/>
        </w:rPr>
        <w:t>Date: 2026-04-23</w:t>
      </w:r>
    </w:p>
    <w:p>
      <w:r>
        <w:rPr>
          <w:rFonts w:ascii="Arial" w:hAnsi="Arial"/>
          <w:b w:val="0"/>
          <w:i w:val="0"/>
        </w:rPr>
        <w:t>Scope: Phase 1 baseline audit, Phase 2 anomaly scan, Phase 3 test-coverage audit + contract tests, Phase 4a markdown report build, Phase 4b DOCX + HTML renderers.</w:t>
      </w:r>
    </w:p>
    <w:p>
      <w:pPr>
        <w:spacing w:before="200" w:after="80"/>
      </w:pPr>
      <w:r>
        <w:rPr>
          <w:rFonts w:ascii="Arial" w:hAnsi="Arial"/>
          <w:b/>
          <w:color w:val="2E75B6"/>
          <w:sz w:val="26"/>
        </w:rPr>
        <w:t>Phase 1 — Baseline</w:t>
      </w:r>
    </w:p>
    <w:p>
      <w:r>
        <w:rPr>
          <w:rFonts w:ascii="Arial" w:hAnsi="Arial"/>
          <w:b w:val="0"/>
          <w:i w:val="0"/>
        </w:rPr>
        <w:t>• Test suite: 54 passed, 0 failed, 0 skipped, 0 warnings (pre-Phase-3).</w:t>
      </w:r>
    </w:p>
    <w:p>
      <w:r>
        <w:rPr>
          <w:rFonts w:ascii="Arial" w:hAnsi="Arial"/>
          <w:b w:val="0"/>
          <w:i w:val="0"/>
        </w:rPr>
        <w:t>• Pipeline scripts: all five completed cleanly after raw ABS/RBA data was copied from the main checkout into the worktree (git-ignored by design).</w:t>
      </w:r>
    </w:p>
    <w:p>
      <w:r>
        <w:rPr>
          <w:rFonts w:ascii="Arial" w:hAnsi="Arial"/>
          <w:b w:val="0"/>
          <w:i w:val="0"/>
        </w:rPr>
        <w:t>• Validator: 12/12 checks green.</w:t>
      </w:r>
    </w:p>
    <w:p>
      <w:r>
        <w:rPr>
          <w:rFonts w:ascii="Arial" w:hAnsi="Arial"/>
          <w:b w:val="0"/>
          <w:i w:val="0"/>
        </w:rPr>
        <w:t>• Exports: 6/6 present and non-empty. Dated exports within ~2 months of today; not stale.</w:t>
      </w:r>
    </w:p>
    <w:p>
      <w:pPr>
        <w:spacing w:before="200" w:after="80"/>
      </w:pPr>
      <w:r>
        <w:rPr>
          <w:rFonts w:ascii="Arial" w:hAnsi="Arial"/>
          <w:b/>
          <w:color w:val="2E75B6"/>
          <w:sz w:val="26"/>
        </w:rPr>
        <w:t>Phase 2 — Anomaly scan</w:t>
      </w:r>
    </w:p>
    <w:p>
      <w:r>
        <w:rPr>
          <w:rFonts w:ascii="Arial" w:hAnsi="Arial"/>
          <w:b w:val="0"/>
          <w:i w:val="0"/>
        </w:rPr>
        <w:t>• HIGH findings: 0. MEDIUM findings: 0. LOW findings: 2 (informational, null-pattern diagnostics).</w:t>
      </w:r>
    </w:p>
    <w:p>
      <w:r>
        <w:rPr>
          <w:rFonts w:ascii="Arial" w:hAnsi="Arial"/>
          <w:b w:val="0"/>
          <w:i w:val="0"/>
        </w:rPr>
        <w:t>• 21 nulls in business_cycle_panel confirmed as documented-by-design. Every null-bearing row is labelled 'Fallback' in inventory_days_est_source; every non-null row labelled 'ABS quarterly'. Zero exceptions.</w:t>
      </w:r>
    </w:p>
    <w:p>
      <w:r>
        <w:rPr>
          <w:rFonts w:ascii="Arial" w:hAnsi="Arial"/>
          <w:b w:val="0"/>
          <w:i w:val="0"/>
        </w:rPr>
        <w:t>• Core scoring columns (classification_risk_score, macro_risk_score, industry_base_risk_score, industry_base_risk_level) have 0 nulls.</w:t>
      </w:r>
    </w:p>
    <w:p>
      <w:r>
        <w:rPr>
          <w:rFonts w:ascii="Arial" w:hAnsi="Arial"/>
          <w:b w:val="0"/>
          <w:i w:val="0"/>
        </w:rPr>
        <w:t>• Scoring functions in src/utils.py map null inputs to a neutral factor score (3) — null-tolerant by design.</w:t>
      </w:r>
    </w:p>
    <w:p>
      <w:pPr>
        <w:spacing w:before="200" w:after="80"/>
      </w:pPr>
      <w:r>
        <w:rPr>
          <w:rFonts w:ascii="Arial" w:hAnsi="Arial"/>
          <w:b/>
          <w:color w:val="2E75B6"/>
          <w:sz w:val="26"/>
        </w:rPr>
        <w:t>Phase 3 — Test coverage</w:t>
      </w:r>
    </w:p>
    <w:p>
      <w:r>
        <w:rPr>
          <w:rFonts w:ascii="Arial" w:hAnsi="Arial"/>
          <w:b w:val="0"/>
          <w:i w:val="0"/>
        </w:rPr>
        <w:t>• Baseline: 15 of 23 source modules had direct test imports; 8 untested.</w:t>
      </w:r>
    </w:p>
    <w:p>
      <w:r>
        <w:rPr>
          <w:rFonts w:ascii="Arial" w:hAnsi="Arial"/>
          <w:b w:val="0"/>
          <w:i w:val="0"/>
        </w:rPr>
        <w:t>• Added tests/test_export_contracts.py (6 test functions expanding to 18 parametrized cases) covering the canonical contract boundary.</w:t>
      </w:r>
    </w:p>
    <w:p>
      <w:r>
        <w:rPr>
          <w:rFonts w:ascii="Arial" w:hAnsi="Arial"/>
          <w:b w:val="0"/>
          <w:i w:val="0"/>
        </w:rPr>
        <w:t>• Final count: 77 tests passing (72 after Phase 3 + 5 renderer tests in Phase 4b).</w:t>
      </w:r>
    </w:p>
    <w:p>
      <w:r>
        <w:rPr>
          <w:rFonts w:ascii="Arial" w:hAnsi="Arial"/>
          <w:b w:val="0"/>
          <w:i w:val="0"/>
        </w:rPr>
        <w:t>• Deferred Tier-2 builder tests as duplication of contract-test coverage.</w:t>
      </w:r>
    </w:p>
    <w:p>
      <w:pPr>
        <w:spacing w:before="200" w:after="80"/>
      </w:pPr>
      <w:r>
        <w:rPr>
          <w:rFonts w:ascii="Arial" w:hAnsi="Arial"/>
          <w:b/>
          <w:color w:val="2E75B6"/>
          <w:sz w:val="26"/>
        </w:rPr>
        <w:t>Phase 4 — Board report</w:t>
      </w:r>
    </w:p>
    <w:p>
      <w:r>
        <w:rPr>
          <w:rFonts w:ascii="Arial" w:hAnsi="Arial"/>
          <w:b w:val="0"/>
          <w:i w:val="0"/>
        </w:rPr>
        <w:t>• Phase 4a: markdown renderer + CLI; two files per run (Board + Technical).</w:t>
      </w:r>
    </w:p>
    <w:p>
      <w:r>
        <w:rPr>
          <w:rFonts w:ascii="Arial" w:hAnsi="Arial"/>
          <w:b w:val="0"/>
          <w:i w:val="0"/>
        </w:rPr>
        <w:t>• Phase 4b: DOCX renderer (reports/render_docx.py), HTML renderer (reports/render_html.py), CLI extended with --format all to emit all six files.</w:t>
      </w:r>
    </w:p>
    <w:p>
      <w:r>
        <w:rPr>
          <w:rFonts w:ascii="Arial" w:hAnsi="Arial"/>
          <w:b w:val="0"/>
          <w:i w:val="0"/>
        </w:rPr>
        <w:t>• Content tweaks applied: Section 2 macro-commentary rewrite; Section 9 Board Construction callout expanded with Porter Davis / Probuild / Clough context; Section 1 'How to read this report' callout added.</w:t>
      </w:r>
    </w:p>
    <w:p>
      <w:pPr>
        <w:spacing w:before="200" w:after="80"/>
      </w:pPr>
      <w:r>
        <w:rPr>
          <w:rFonts w:ascii="Arial" w:hAnsi="Arial"/>
          <w:b/>
          <w:color w:val="2E75B6"/>
          <w:sz w:val="26"/>
        </w:rPr>
        <w:t>Methodology observations (not bugs)</w:t>
      </w:r>
    </w:p>
    <w:p>
      <w:r>
        <w:rPr>
          <w:rFonts w:ascii="Arial" w:hAnsi="Arial"/>
          <w:b w:val="0"/>
          <w:i w:val="0"/>
        </w:rPr>
        <w:t>• Construction base risk score (2.68, 'Medium') — logged as an active methodology review item. See Section 9 of this report. Session: noted, not fixed.</w:t>
      </w:r>
    </w:p>
    <w:p>
      <w:pPr>
        <w:spacing w:before="200" w:after="80"/>
      </w:pPr>
      <w:r>
        <w:rPr>
          <w:rFonts w:ascii="Arial" w:hAnsi="Arial"/>
          <w:b/>
          <w:color w:val="2E75B6"/>
          <w:sz w:val="26"/>
        </w:rPr>
        <w:t>Dev-ergonomics notes</w:t>
      </w:r>
    </w:p>
    <w:p>
      <w:r>
        <w:rPr>
          <w:rFonts w:ascii="Arial" w:hAnsi="Arial"/>
          <w:b w:val="0"/>
          <w:i w:val="0"/>
        </w:rPr>
        <w:t>• Fresh git worktrees do not carry the git-ignored raw ABS/RBA staging directories. Copy them from a primary checkout, or add a bootstrap_worktree.py helper. Not urgent; logged for future consideration.</w:t>
      </w:r>
    </w:p>
    <w:p>
      <w:r>
        <w:rPr>
          <w:rFonts w:ascii="Arial" w:hAnsi="Arial"/>
          <w:b w:val="0"/>
          <w:i/>
          <w:color w:val="7F7F7F"/>
          <w:sz w:val="18"/>
        </w:rPr>
        <w:t>END OF REPORT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7F7F7F"/>
        <w:sz w:val="18"/>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w:hAnsi="Arial"/>
        <w:color w:val="7F7F7F"/>
        <w:sz w:val="18"/>
      </w:rPr>
      <w:t>Industry Analysis Report  |  Q1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