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Industry Analysis Report — Q1 2026</w:t>
      </w:r>
    </w:p>
    <w:p>
      <w:r>
        <w:rPr>
          <w:rFonts w:ascii="Arial" w:hAnsi="Arial"/>
          <w:b w:val="0"/>
          <w:i/>
          <w:color w:val="2E75B6"/>
          <w:sz w:val="24"/>
        </w:rPr>
        <w:t>Board Summary variant</w:t>
      </w:r>
    </w:p>
    <w:p>
      <w:r>
        <w:rPr>
          <w:rFonts w:ascii="Arial" w:hAnsi="Arial"/>
          <w:b w:val="0"/>
          <w:i w:val="0"/>
          <w:color w:val="7F7F7F"/>
          <w:sz w:val="20"/>
        </w:rPr>
        <w:t>Generated 2026-06-16</w:t>
      </w:r>
    </w:p>
    <w:p>
      <w:r>
        <w:rPr>
          <w:rFonts w:ascii="Arial" w:hAnsi="Arial"/>
          <w:b w:val="0"/>
          <w:i w:val="0"/>
          <w:color w:val="7F7F7F"/>
          <w:sz w:val="20"/>
        </w:rPr>
        <w:t>Macro and downturn overlays as of 2026-06-15. Property cycle data as of 2026-03-01.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EEBF7"/>
            <w:vAlign w:val="top"/>
            <w:tcBorders>
              <w:top w:val="single" w:sz="8" w:color="DEEBF7"/>
              <w:left w:val="single" w:sz="8" w:color="DEEBF7"/>
              <w:bottom w:val="single" w:sz="8" w:color="DEEBF7"/>
              <w:right w:val="single" w:sz="8" w:color="DEEBF7"/>
            </w:tcBorders>
          </w:tcPr>
          <w:p>
            <w:r/>
            <w:r>
              <w:rPr>
                <w:rFonts w:ascii="Arial" w:hAnsi="Arial"/>
                <w:b/>
                <w:sz w:val="22"/>
              </w:rPr>
              <w:t>Prepared for</w:t>
            </w:r>
          </w:p>
          <w:p>
            <w:r>
              <w:rPr>
                <w:rFonts w:ascii="Arial" w:hAnsi="Arial"/>
                <w:sz w:val="20"/>
              </w:rPr>
              <w:t>This is a summary view for non-technical reviewers. Every table in this document traces back to the canonical CSV contracts in outputs/contracts/.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1. Macro conditions for credit assessment &amp; risk management</w:t>
      </w:r>
    </w:p>
    <w:p>
      <w:r>
        <w:rPr>
          <w:rFonts w:ascii="Arial" w:hAnsi="Arial"/>
          <w:b w:val="0"/>
          <w:i w:val="0"/>
        </w:rPr>
        <w:t>Before scoring any industry or deal, the engine reads where the economy and property markets currently sit - the conditions a credit team assesses against, and the base of every stress scenario in Section 2. The economy-wide headline rates (GDP, unemployment, CPI, WPI) are fetched live from the latest ABS releases (reading 'observed'), joining the live cash rate; a few series with no clean current public index are stated and flagged.</w:t>
      </w:r>
    </w:p>
    <w:p>
      <w:r>
        <w:rPr>
          <w:rFonts w:ascii="Arial" w:hAnsi="Arial"/>
          <w:b w:val="0"/>
          <w:i/>
          <w:color w:val="7F7F7F"/>
          <w:sz w:val="20"/>
        </w:rPr>
        <w:t>Current macro &amp; property conditions (live where a clean public series exists)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Current level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Reading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GDP growth (real, YoY %)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2.5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observed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ABS 5206 National Accounts (Mar 2026, real SA, through-the-year)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Unemployment rate (%)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observed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6202 Labour Force (Mar 2026, seasonally adjusted)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Cash rate (%)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live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 F1 cash-rate table (+0.50pp 1y)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Inflation (CPI, YoY %)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observed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6401 CPI (Mar 2026 quarter, all groups, through-the-year)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Wage growth (WPI, YoY %)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3.3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observed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ABS 6345 Wage Price Index (Mar 2026 quarter, through-the-year)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House-price growth (YoY %)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stated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stated (ABS 6416 RPPI discontinued after Dec-2021; no current free public index)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Exchange rate (TWI, % change)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stated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 F11 exchange rates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 / sector output (YoY %)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stated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8155 Australian Industry + 5676 Business Indicators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Commercial-property prices (% change)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Vacancy rate (office, %)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CRE rents (% change)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CRE cap rates (%)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</w:tr>
    </w:tbl>
    <w:p/>
    <w:p>
      <w:r>
        <w:rPr>
          <w:rFonts w:ascii="Arial" w:hAnsi="Arial"/>
          <w:b w:val="0"/>
          <w:i w:val="0"/>
        </w:rPr>
        <w:t>Property-secured lending splits into residential and commercial. Residential house-price growth is a stated reading (the ABS RPPI was discontinued after Dec-2021). Commercial-property risk is read from real ABS non-residential building approvals - currently softest for offices, firmest for warehouses.</w:t>
      </w:r>
    </w:p>
    <w:p>
      <w:r>
        <w:rPr>
          <w:rFonts w:ascii="Arial" w:hAnsi="Arial"/>
          <w:b w:val="0"/>
          <w:i/>
          <w:color w:val="7F7F7F"/>
          <w:sz w:val="20"/>
        </w:rPr>
        <w:t>Commercial property cycle by building type (ABS 8731 non-residential approvals)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Building type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Cycle stage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Softness (1 firm - 5 soft)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Approvals YoY %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Region-risk band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Offices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4.30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-19.8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Agricultural and aquacultural buildings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3.90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-27.0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 Buildings - Total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3.80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-49.7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and wholesale trade buildings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3.40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+6.5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Total Non-residential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3.35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-15.9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buildings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-31.3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Aged care facilities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3.20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-22.0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Short term accommodation buildings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3.10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+112.0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buildings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2.40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-36.0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Industrial Buildings - Total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growth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+94.8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Warehouses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growth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1.70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+108.5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</w:tbl>
    <w:p/>
    <w:p>
      <w:r>
        <w:rPr>
          <w:rFonts w:ascii="Arial" w:hAnsi="Arial"/>
          <w:b w:val="0"/>
          <w:i w:val="0"/>
        </w:rPr>
        <w:t>Macro regime (as of 2026-06-15): cash-rate regime 'restrictive_rising', arrears Low / Improving, overall flag 'base'. The cash rate is 4.35% (+0.50pp over the year). A 'base' regime applies no recession overlay at current readings; Section 2 pre-computes the downturn impact.</w:t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2. Macro drivers for stress testing - per product and per industry</w:t>
      </w:r>
    </w:p>
    <w:p>
      <w:r>
        <w:rPr>
          <w:rFonts w:ascii="Arial" w:hAnsi="Arial"/>
          <w:b w:val="0"/>
          <w:i w:val="0"/>
        </w:rPr>
        <w:t>A macro-driven stress layer turns macroeconomic scenario paths into PD / LGD / EAD multipliers per portfolio segment, then rolls facility-level stress up to a portfolio expected-loss total — answering 'if the economy turns, how much worse do losses get, and for which portfolios?'.</w:t>
      </w:r>
    </w:p>
    <w:p>
      <w:r>
        <w:rPr>
          <w:rFonts w:ascii="Arial" w:hAnsi="Arial"/>
          <w:b w:val="0"/>
          <w:i w:val="0"/>
        </w:rPr>
        <w:t>Stress testing answers one question: if the economy turns bad, how much more does the bank lose? A scenario hurts borrowers and collateral, which shows up as higher PD (chance of default), LGD (loss if they default) and EAD (amount owed). This layer turns one scenario into ready-to-apply PD / LGD / EAD multipliers per portfolio segment and per industry - the input a downstream monitoring model multiplies onto its own facilities. It uses the simplest standard method (a multiplier map); a data-rich bank would use a statistical satellite model. Mild ~ two quarters of zero growth (Basel CRE36.51); severe is GFC-like but plausible (APS 220 s72); the roll-up takes no diversification benefit (APG 113 s92); figures are illustrative, to be validated in production (APS 220 s76).</w:t>
      </w:r>
    </w:p>
    <w:p>
      <w:r>
        <w:rPr>
          <w:rFonts w:ascii="Arial" w:hAnsi="Arial"/>
          <w:b w:val="0"/>
          <w:i/>
          <w:color w:val="7F7F7F"/>
          <w:sz w:val="20"/>
        </w:rPr>
        <w:t>Macro scenario paths - stressed level by scenario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337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337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337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base</w:t>
            </w:r>
          </w:p>
        </w:tc>
        <w:tc>
          <w:tcPr>
            <w:tcW w:type="dxa" w:w="1337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mild</w:t>
            </w:r>
          </w:p>
        </w:tc>
        <w:tc>
          <w:tcPr>
            <w:tcW w:type="dxa" w:w="1337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moderate</w:t>
            </w:r>
          </w:p>
        </w:tc>
        <w:tc>
          <w:tcPr>
            <w:tcW w:type="dxa" w:w="1337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severe</w:t>
            </w:r>
          </w:p>
        </w:tc>
      </w:tr>
      <w:tr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Cash rate (%)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%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RBA F1 cash-rate table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4.6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4.85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5.1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Commercial-property prices (% change)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% change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-7.0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-15.0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-28.0</w:t>
            </w:r>
          </w:p>
        </w:tc>
      </w:tr>
      <w:tr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CRE cap rates (%)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%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6.0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6.4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6.9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7.6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CRE rents (% change)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% change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-4.0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-9.0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-16.0</w:t>
            </w:r>
          </w:p>
        </w:tc>
      </w:tr>
      <w:tr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Exchange rate (TWI, % change)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% change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RBA F11 exchange rates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-5.0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-10.0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-15.0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GDP growth (real, YoY %)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% yoy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5206 National Accounts (Mar 2026, real SA, through-the-year)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2.5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0.7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-0.8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-2.8</w:t>
            </w:r>
          </w:p>
        </w:tc>
      </w:tr>
      <w:tr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House-price growth (YoY %)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% yoy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stated (ABS 6416 RPPI discontinued after Dec-2021; no current free public index)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4.0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-4.0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-11.0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-21.0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 / sector output (YoY %)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% yoy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8155 Australian Industry + 5676 Business Indicators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-2.0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-5.0</w:t>
            </w:r>
          </w:p>
        </w:tc>
      </w:tr>
      <w:tr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Inflation (CPI, YoY %)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% yoy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ABS 6401 CPI (Mar 2026 quarter, all groups, through-the-year)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2.4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3.9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4.9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Unemployment rate (%)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%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6202 Labour Force (Mar 2026, seasonally adjusted)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5.5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6.8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8.3</w:t>
            </w:r>
          </w:p>
        </w:tc>
      </w:tr>
      <w:tr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Vacancy rate (office, %)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%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12.0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14.0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16.0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19.0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Wage growth (WPI, YoY %)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% yoy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6345 Wage Price Index (Mar 2026 quarter, through-the-year)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3.3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1.5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Which macro drivers move which portfolio (illustrative)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Portfolio</w:t>
            </w:r>
          </w:p>
        </w:tc>
        <w:tc>
          <w:tcPr>
            <w:tcW w:type="dxa" w:w="468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Material macro drivers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sz w:val="20"/>
              </w:rPr>
              <w:t>Residential mortgages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sz w:val="20"/>
              </w:rPr>
              <w:t>unemployment, cash rate, wage growth, house prices</w:t>
            </w:r>
          </w:p>
        </w:tc>
      </w:tr>
      <w:tr>
        <w:tc>
          <w:tcPr>
            <w:tcW w:type="dxa" w:w="468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Credit cards</w:t>
            </w:r>
          </w:p>
        </w:tc>
        <w:tc>
          <w:tcPr>
            <w:tcW w:type="dxa" w:w="468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unemployment, wage growth, inflation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sz w:val="20"/>
              </w:rPr>
              <w:t>SME lending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sz w:val="20"/>
              </w:rPr>
              <w:t>GDP, unemployment, cash rate, sector output</w:t>
            </w:r>
          </w:p>
        </w:tc>
      </w:tr>
      <w:tr>
        <w:tc>
          <w:tcPr>
            <w:tcW w:type="dxa" w:w="468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Corporate lending</w:t>
            </w:r>
          </w:p>
        </w:tc>
        <w:tc>
          <w:tcPr>
            <w:tcW w:type="dxa" w:w="468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GDP, sector output, cash rate, exchange rate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 property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 prices, vacancy, rents, cap rates, cash rate</w:t>
            </w:r>
          </w:p>
        </w:tc>
      </w:tr>
      <w:tr>
        <w:tc>
          <w:tcPr>
            <w:tcW w:type="dxa" w:w="468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Development finance</w:t>
            </w:r>
          </w:p>
        </w:tc>
        <w:tc>
          <w:tcPr>
            <w:tcW w:type="dxa" w:w="468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 prices, GDP, vacancy, cash rate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Macro-derived segment multipliers (PD / LGD / EAD)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PD x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LGD x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EAD x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residential_mortgages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residential_mortgages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1.4129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1.1523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1.0649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residential_mortgages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1.8357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1.2936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1.1291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residential_mortgages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1.48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credit_cards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credit_cards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1.4906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1.1267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1.0786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credit_cards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1.9886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1.2535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1.1533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credit_cards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1.42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1.24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sme_lending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sme_lending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1.5241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1.1521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1.0906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sme_lending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2.0259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1.3053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1.1757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sme_lending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1.54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1.28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corporate_lending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corporate_lending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1.4823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1.1549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1.0913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corporate_lending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1.9307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1.3156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1.177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corporate_lending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1.54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1.28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commercial_property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commercial_property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1.5409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1.18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1.0968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commercial_property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2.127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1.3973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1.1958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commercial_property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2.95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1.72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1.32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development_finance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development_finance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1.6664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1.195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1.1116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development_finance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2.3292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1.4273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1.2219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development_finance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1.78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1.36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Demonstration - facility roll-up to portfolio EL (illustrative demo book)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Facilities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Base EL ($)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Stressed EL ($)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EL uplift x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79293.72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79293.72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79293.72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153321.21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1.934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79293.72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256331.65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3.233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79293.72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447755.57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5.647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B183"/>
            <w:vAlign w:val="top"/>
            <w:tcBorders>
              <w:top w:val="single" w:sz="8" w:color="F4B183"/>
              <w:left w:val="single" w:sz="8" w:color="F4B183"/>
              <w:bottom w:val="single" w:sz="8" w:color="F4B183"/>
              <w:right w:val="single" w:sz="8" w:color="F4B183"/>
            </w:tcBorders>
          </w:tcPr>
          <w:p>
            <w:r/>
            <w:r>
              <w:rPr>
                <w:rFonts w:ascii="Arial" w:hAnsi="Arial"/>
                <w:b/>
                <w:sz w:val="22"/>
              </w:rPr>
              <w:t>Macro stress - scope and governance</w:t>
            </w:r>
          </w:p>
          <w:p>
            <w:r>
              <w:rPr>
                <w:rFonts w:ascii="Arial" w:hAnsi="Arial"/>
                <w:sz w:val="20"/>
              </w:rPr>
              <w:t>Illustrative scenario design — not calibrated regulatory stress. Base levels are current values from the named ABS/RBA series; the four CRE variables (commercial-property prices, vacancy, rents, cap rates) and all elasticities are labelled assumptions. The portfolio roll-up is exposure-weighted with no diversification benefit. Reverse stress: the moderate scenario (EL uplift 3.23x) first breaches a 2.0x illustrative appetite ceiling. A bank normally builds separate models per material portfolio or a pooled model with portfolio/sector effects; this layer supplies the macro-credit linkage either consumes.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Per-industry current-conditions drivers (feed the sector-output channel)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Employment YoY %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EBITDA margin %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Demand YoY %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Macro score (1-5)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Accommodation and Food Services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+0.7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11.4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+112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2.60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Administrative and Support Services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+3.1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9.3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2.80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Agriculture, Forestry and Fishing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-5.1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14.6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-27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4.20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Arts and Recreation Services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-5.8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13.5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-46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3.60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Construction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+1.5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10.2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-16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3.20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and Training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+5.6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11.7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-31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Electricity, Gas, Water and Waste Services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+12.3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2.00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Care and Social Assistance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+3.7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16.7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2.80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Information Media and Telecommunications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-4.8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2.60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Manufacturing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-0.9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9.2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+95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Mining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-5.1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47.3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3.20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Other Services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+7.1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5.3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2.20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Professional, Scientific and Technical Services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+5.5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13.0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2.00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Public Administration and Safety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-1.2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9.6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3.60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Rental, Hiring and Real Estate Services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-15.1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40.9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2.60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Trade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-0.5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7.8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+6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Transport, Postal and Warehousing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+2.8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17.7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-6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2.40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Wholesale Trade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-8.7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6.1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+108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3.40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3. How the industry credit-risk score is calculated</w:t>
      </w:r>
    </w:p>
    <w:p>
      <w:r>
        <w:rPr>
          <w:rFonts w:ascii="Arial" w:hAnsi="Arial"/>
          <w:b w:val="0"/>
          <w:i w:val="0"/>
        </w:rPr>
        <w:t>Each ANZSIC division gets a single 1 (low) - 5 (high) score that blends a structural view with a current-conditions view, then maps to a level and a PD overlay. Step 1 - macro score: mean of five 1-5 components from ABS business indicators (employment, margin level, margin trend, inventory, demand). Step 2 - blend: industry_base_risk_score = 0.55 x classification_risk_score + 0.45 x macro_risk_score. Step 3 - map to a five-band ladder (Low / Moderate-low / Medium / Moderate-high / Elevated) and a PD multiplier (0.90x - 1.15x).</w:t>
      </w:r>
    </w:p>
    <w:p>
      <w:r>
        <w:rPr>
          <w:rFonts w:ascii="Arial" w:hAnsi="Arial"/>
          <w:b w:val="0"/>
          <w:i w:val="0"/>
        </w:rPr>
        <w:t>Worked example - Agriculture, Forestry and Fishing: classification 4.12, macro 4.20 -&gt; 0.55 x 4.12 + 0.45 x 4.20 = 4.16 -&gt; Elevated -&gt; 1.15x PD overlay. These are point-in-time, illustrative overlays - not calibrated PD estimates.</w:t>
      </w:r>
    </w:p>
    <w:p>
      <w:r>
        <w:rPr>
          <w:rFonts w:ascii="Arial" w:hAnsi="Arial"/>
          <w:b w:val="0"/>
          <w:i w:val="0"/>
        </w:rPr>
        <w:t>Headline: 5 of 18 industries score Elevated (as of 2026-06-15).</w:t>
      </w:r>
    </w:p>
    <w:p>
      <w:r>
        <w:rPr>
          <w:rFonts w:ascii="Arial" w:hAnsi="Arial"/>
          <w:b w:val="0"/>
          <w:i/>
          <w:color w:val="7F7F7F"/>
          <w:sz w:val="20"/>
        </w:rPr>
        <w:t>Industry credit-risk scores (all ANZSIC divisions)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Macro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Base score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PD overlay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Agriculture, Forestry and Fishing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4.12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4.20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4.16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1.15x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Mining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3.88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3.20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3.57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1.15x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Manufacturing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3.50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3.40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3.46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1.15x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Trade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3.40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3.32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1.15x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Wholesale Trade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3.12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3.40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1.15x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Construction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2.75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3.20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2.95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1.10x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Arts and Recreation Services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3.60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2.93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1.10x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Accommodation and Food Services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2.75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2.60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2.68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1.00x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Public Administration and Safety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1.62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3.60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2.51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1.00x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and Training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1.75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3.40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2.49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1.00x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Rental, Hiring and Real Estate Services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2.60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2.48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1.00x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Transport, Postal and Warehousing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2.50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2.40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2.46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1.00x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Administrative and Support Services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2.12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2.80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2.43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1.00x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Information Media and Telecommunications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2.12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2.60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2.34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1.00x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Other Services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2.20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2.30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1.00x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Electricity, Gas, Water and Waste Services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2.25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2.00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2.14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1.00x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Care and Social Assistance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1.50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2.80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2.08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1.00x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Professional, Scientific and Technical Services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1.75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2.00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1.86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Moderate-low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0.95x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18"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7F7F7F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7F7F7F"/>
        <w:sz w:val="18"/>
      </w:rPr>
      <w:t>Industry Analysis Report  |  Q1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