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2026-03-01.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30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4.35% (+0.50pp YoY), arrears Low / Improving, macro_regime_flag='base' (cash_rate_regime='restrictive_rising'). 5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2026-06-15; property-cycle 2026-03-01; generated 2026-06-16.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3.14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2026-06-16T05:31:56+00:00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https://www.abs.gov.au/statistics/industry/building-and-construction/building-approvals-australia/mar-2026/87310051.xlsx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186263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51822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https://www.abs.gov.au/statistics/economy/business-indicators/business-indicators-australia/mar-2026/56760022.xlsx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56316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https://www.abs.gov.au/statistics/labour/employment-and-unemployment/labour-force-australia-detailed/mar-2026/6291004.xlsx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2026-06-16T05:32:00+00:00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2026-06-16T05:32:00+00:00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2026-06-16T05:31:58+00:00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2026-06-16T15:32:03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3.14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-19.8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-27.02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-49.71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-31.29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-21.97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112.01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-35.96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94.79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-19.8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-27.02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-49.71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6.48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-15.94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-31.29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-21.97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112.01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-35.96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94.79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108.47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 Engine src/overlays/macro_stress_core.py; config config/macro_scenarios.yaml; contracts macro_scenario_paths.csv and portfolio_macro_sensitivity.csv. multiplier[s,p,k] = clamp(1 + intensity[p] * beta[s,p] * sum_d weight[s,p,d] * shock_norm[d,k]); base = 1.0, monotonic to severe.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2026-06-16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(2.95, 'Moderate-high')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