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2026-06-11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37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3.85% (-0.25pp YoY), arrears Low / Improving, macro_regime_flag='base' (cash_rate_regime='neutral_easing').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2026-03-16; property-cycle 2026-02-01; generated 2026-06-11.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https://www.cotality.com/au/our-data/auction-results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https://www.cotality.com/au/news-research/insights/home-value-index/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https://www.domain.com.au/research/house-price-report/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https://www.fairtrading.nsw.gov.au/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source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https://www.rta.qld.gov.au/about-the-rta/research-and-reports/median-rents-quarterly-data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298051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 Research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https://sqmresearch.com.au/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https://www.dffh.vic.gov.au/publications/rental-report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34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2026-06-11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