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Industry Analysis Report — Q1 2026</w:t>
      </w:r>
    </w:p>
    <w:p>
      <w:r>
        <w:rPr>
          <w:rFonts w:ascii="Arial" w:hAnsi="Arial"/>
          <w:b w:val="0"/>
          <w:i/>
          <w:color w:val="2E75B6"/>
          <w:sz w:val="24"/>
        </w:rPr>
        <w:t>Board Summary variant</w:t>
      </w:r>
    </w:p>
    <w:p>
      <w:r>
        <w:rPr>
          <w:rFonts w:ascii="Arial" w:hAnsi="Arial"/>
          <w:b w:val="0"/>
          <w:i w:val="0"/>
          <w:color w:val="7F7F7F"/>
          <w:sz w:val="20"/>
        </w:rPr>
        <w:t>Generated 2026-06-16</w:t>
      </w:r>
    </w:p>
    <w:p>
      <w:r>
        <w:rPr>
          <w:rFonts w:ascii="Arial" w:hAnsi="Arial"/>
          <w:b w:val="0"/>
          <w:i w:val="0"/>
          <w:color w:val="7F7F7F"/>
          <w:sz w:val="20"/>
        </w:rPr>
        <w:t>Macro and downturn overlays as of 2026-06-15. Property cycle data as of 2026-03-01.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EEBF7"/>
            <w:vAlign w:val="top"/>
            <w:tcBorders>
              <w:top w:val="single" w:sz="8" w:color="DEEBF7"/>
              <w:left w:val="single" w:sz="8" w:color="DEEBF7"/>
              <w:bottom w:val="single" w:sz="8" w:color="DEEBF7"/>
              <w:right w:val="single" w:sz="8" w:color="DEEBF7"/>
            </w:tcBorders>
          </w:tcPr>
          <w:p>
            <w:r/>
            <w:r>
              <w:rPr>
                <w:rFonts w:ascii="Arial" w:hAnsi="Arial"/>
                <w:b/>
                <w:sz w:val="22"/>
              </w:rPr>
              <w:t>Prepared for</w:t>
            </w:r>
          </w:p>
          <w:p>
            <w:r>
              <w:rPr>
                <w:rFonts w:ascii="Arial" w:hAnsi="Arial"/>
                <w:sz w:val="20"/>
              </w:rPr>
              <w:t>This is a summary view for non-technical reviewers. Every table in this document traces back to the canonical CSV contracts in outputs/contracts/. For full per-column detail, methodology references, and the audit-log appendix, see the Technical variant.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1. Executive Summary</w:t>
      </w:r>
    </w:p>
    <w:p>
      <w:r>
        <w:rPr>
          <w:rFonts w:ascii="Arial" w:hAnsi="Arial"/>
          <w:b w:val="0"/>
          <w:i w:val="0"/>
        </w:rPr>
        <w:t>This report reads the credit-risk temperature of the Australian economy from public data, so a lender can see which industries and property segments are getting riskier before it shows up in arrears or losses. It covers 18 industries (ANZSIC divisions) and 5 commercial-property segments for Q1 2026, and turns them into ready-to-use PD and LGD stress inputs.</w:t>
      </w:r>
    </w:p>
    <w:p>
      <w:r>
        <w:rPr>
          <w:rFonts w:ascii="Arial" w:hAnsi="Arial"/>
          <w:b w:val="0"/>
          <w:i w:val="0"/>
        </w:rPr>
        <w:t>Headline picture: the cash rate is 4.35% (+0.50 points over the past year) and the arrears backdrop is low and improving, so the macro regime is set to 'base'. Against that backdrop, 5 of 18 industries score Elevated on the 1-5 risk scale, and 0 of 5 property segments are in downturn. The downturn-overlay table translates this into stress multipliers — up to 2.00x on PD in a severe scenario — that a pricing or expected-loss model can apply directly.</w:t>
      </w:r>
    </w:p>
    <w:p>
      <w:r>
        <w:rPr>
          <w:rFonts w:ascii="Arial" w:hAnsi="Arial"/>
          <w:b w:val="0"/>
          <w:i w:val="0"/>
        </w:rPr>
        <w:t>Macro and downturn overlays are dated 2026-06-15; property-cycle data is dated 2026-03-01. The headline numbers are in Section 2; every figure traces back to a named public source in Sections 3-5.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2. Headline Numbers</w:t>
      </w:r>
    </w:p>
    <w:p>
      <w:r>
        <w:rPr>
          <w:rFonts w:ascii="Arial" w:hAnsi="Arial"/>
          <w:b w:val="0"/>
          <w:i w:val="0"/>
        </w:rPr>
        <w:t>These are the calibrated outputs and operating numbers reviewers usually need first.</w:t>
      </w:r>
    </w:p>
    <w:p>
      <w:r>
        <w:rPr>
          <w:rFonts w:ascii="Arial" w:hAnsi="Arial"/>
          <w:b w:val="0"/>
          <w:i/>
          <w:color w:val="7F7F7F"/>
          <w:sz w:val="20"/>
        </w:rPr>
        <w:t>Headline calibrated outputs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Vintage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Trace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Industries covered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segments covered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Cash rate latest pct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 -&gt; macro_regime_flags.csv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Cash rate 1y change pctpts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+0.50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 -&gt; industry_risk_scores.csv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 industry count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 property segment count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 regime flag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macro_regime_flags.csv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 PD multiplier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2.00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downturn_overlay_table.csv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Industry risk scores - full current output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anzsic_division_code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classification_risk_score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industry_base_risk_level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cash_rate_latest_pct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cash_rate_change_1y_pctpts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3.88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3.57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F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2.95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2.93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1.62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J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Q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1.86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Moderate-low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0.95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Downturn multipliers - full current output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lgd_multiplier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ccf_multiplier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property_value_haircut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macro_path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</w:tr>
      <w:tr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Current environment, no recession overlay: GDP growth around trend, unemployment broadly stable, house prices at latest observed levels.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Current environment (base scenario). Anchored to a low / improving arrears backdrop (qualitative assumption from RBA FSR) and an average property-cycle softness score of 3.14 (real, ABS building approvals). No diversification benefit assumed (APG 113 para 92).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</w:tr>
      <w:tr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Basel CRE36.51 mandatory minimum — two consecutive quarters of zero GDP growth; unemployment +~1.0-1.5pp; house prices ~-5 to -10%.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mild recession = Basel CRE36.51 two-quarters-zero-growth minimum, for conservative portfolio calibration. No diversification benefit assumed (APG 113 para 92).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</w:tr>
      <w:tr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0.1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Deeper recession: multi-quarter contraction; unemployment +~2-3pp; house prices ~-10 to -15%.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illustrative moderate downturn for stressed pricing and EL scenario analysis. No diversification benefit assumed (APG 113 para 92).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</w:tr>
      <w:tr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1.3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GFC-like severe-but-plausible path: deep multi-quarter contraction; unemployment +~3-4pp; house prices ~-20 to -30%.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illustrative severe downturn; not a calibrated regulatory stress parameter. No diversification benefit assumed (APG 113 para 92).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3. Data Sources Inventory</w:t>
      </w:r>
    </w:p>
    <w:p>
      <w:r>
        <w:rPr>
          <w:rFonts w:ascii="Arial" w:hAnsi="Arial"/>
          <w:b w:val="0"/>
          <w:i w:val="0"/>
        </w:rPr>
        <w:t>One row is shown for every item in the canonical source registry. Missing and manual sources are visible by design.</w:t>
      </w:r>
    </w:p>
    <w:p>
      <w:r>
        <w:rPr>
          <w:rFonts w:ascii="Arial" w:hAnsi="Arial"/>
          <w:b w:val="0"/>
          <w:i/>
          <w:color w:val="7F7F7F"/>
          <w:sz w:val="20"/>
        </w:rPr>
        <w:t>Data Sources Inventory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 key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Publisher / origin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URL or landing page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 type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Period or vintage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Retrieved / fetched timestamp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 size or row count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0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Hash / version identifier</w:t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anzsic_classification_page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https://www.abs.gov.au/statistics/classifications/australian-and-new-zealand-standard-industrial-classification-anzsic/latest-release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anzsic_division_codes_page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https://www.abs.gov.au/statistics/classifications/australian-and-new-zealand-standard-industrial-classification-anzsic/2006-revision-2-0/numbering-system-and-titles/division-codes-and-titles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anzsic_division_subdivision_class_page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https://www.abs.gov.au/statistics/classifications/australian-and-new-zealand-standard-industrial-classification-anzsic/2006-revision-2-0/numbering-system-and-titles/division-subdivision-group-and-class-codes-and-titles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https://www.abs.gov.au/statistics/industry/industry-overview/australian-industry/2023-24/81550DO001_202324.xlsx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2026-06-16T06:33:43+00:00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597090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https://www.abs.gov.au/statistics/industry/building-and-construction/building-approvals-australia/mar-2026/87310051.xlsx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2026-06-16T06:33:45+00:00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186263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business_indicators_consumer_sales_xlsx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https://www.abs.gov.au/statistics/economy/business-indicators/business-indicators-australia/mar-2026/56760024.xlsx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business_indicators_inventory_ratio_xlsx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https://www.abs.gov.au/statistics/economy/business-indicators/business-indicators-australia/mar-2026/56760023.xlsx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2026-06-16T06:33:44+00:00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51822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business_indicators_profit_ratio_xlsx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https://www.abs.gov.au/statistics/economy/business-indicators/business-indicators-australia/mar-2026/56760022.xlsx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2026-06-16T06:33:43+00:00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56316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cpi_all_groups_xlsx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https://www.abs.gov.au/statistics/economy/price-indexes-and-inflation/consumer-price-index-australia/mar-2026/640101.xlsx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2026-06-16T06:33:47+00:00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53065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cpi_subgroups_xlsx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https://www.abs.gov.au/statistics/economy/price-indexes-and-inflation/consumer-price-index-australia/dec-2025/640107.xlsx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dwelling_approvals_xlsx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https://www.abs.gov.au/statistics/industry/building-and-construction/building-approvals-australia/feb-2026/875206.xlsx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dwelling_value_xlsx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https://www.abs.gov.au/statistics/industry/building-and-construction/building-approvals-australia/feb-2026/875211.xlsx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labour_force_headline_xlsx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https://www.abs.gov.au/statistics/labour/employment-and-unemployment/labour-force-australia/mar-2026/6202001.xlsx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2026-06-16T06:33:47+00:00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766909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labour_force_industry_xlsx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https://www.abs.gov.au/statistics/labour/employment-and-unemployment/labour-force-australia-detailed/mar-2026/6291004.xlsx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2026-06-16T06:33:45+00:00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160939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lending_indicators_xlsx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https://www.abs.gov.au/statistics/economy/finance/lending-indicators/feb-2026/560101.xlsx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national_accounts_gdp_xlsx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https://www.abs.gov.au/statistics/economy/national-accounts/australian-national-accounts-national-income-expenditure-and-product/mar-2026/5206001_key_aggregates.xlsx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2026-06-16T06:33:46+00:00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267687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ppi_construction_xlsx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https://www.abs.gov.au/statistics/economy/price-indexes-and-inflation/producer-price-indexes-australia/dec-2025/642713.xlsx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ppi_manufacturing_xlsx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https://www.abs.gov.au/statistics/economy/price-indexes-and-inflation/producer-price-indexes-australia/dec-2025/642712.xlsx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property_price_capitals_xlsx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https://www.abs.gov.au/statistics/economy/price-indexes-and-inflation/residential-property-price-indexes-eight-capital-cities/dec-2025/641602.xlsx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property_price_index_xlsx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https://www.abs.gov.au/statistics/economy/price-indexes-and-inflation/residential-property-price-indexes-eight-capital-cities/dec-2025/641601.xlsx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ptrs_cycle_8_pdf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Payment Times Reporting Scheme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https://paymenttimes.gov.au/sites/ptrs.gov.au/files/2025-07/reg-update-july-2025.pdf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2026-06-16T06:33:48+00:00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2055606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ptrs_cycle_9_pdf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Payment Times Reporting Scheme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https://paymenttimes.gov.au/sites/ptrs.gov.au/files/2026-01/regulators-update-202601.pdf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2026-06-16T06:33:49+00:00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3629142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ptrs_guidance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Payment Times Reporting Scheme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https://paymenttimes.gov.au/sites/ptrs.gov.au/files/regulatory-resource/ptrs-guidance-materials-march2025.pdf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2026-06-16T06:33:49+00:00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947450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https://www.rba.gov.au/statistics/tables/csv/f1-data.csv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CSV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2026-06-16T06:33:46+00:00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302215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rba_chart_pack_page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https://www.rba.gov.au/chart-pack/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rba_chart_pack_pdf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https://www.rba.gov.au/chart-pack/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March 2026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2026-04-28T08:01:43+00:00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5434746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auto-downloaded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66945f0e420217b86069e72880c20b4670f17a2ff52e6e0de9c9d13a174364d9</w:t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rba_fsr_page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https://www.rba.gov.au/publications/fsr/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rba_fsr_pdf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https://www.rba.gov.au/publications/fsr/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March 2026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2026-04-28T08:01:42+00:00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3272062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auto-downloaded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342ec105f1c623e507ef4e8434ade6f0788ef58ed26b2accaa8ec7df04acc13e</w:t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rba_smp_page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https://www.rba.gov.au/publications/smp/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landing page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rba_smp_pdf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https://www.rba.gov.au/publications/smp/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PDF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February 2026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2026-04-28T08:01:42+00:00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4201271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auto-downloaded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db42f94329b6c229844fb8da8cbc4308d707af57b3d5ba90d0aaa9bd7e21ca89</w:t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rba_table_e2_xls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Reserve Bank of Australia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https://www.rba.gov.au/statistics/tables/xls/e02hist.xls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total_value_dwellings_xlsx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https://www.abs.gov.au/statistics/economy/finance/total-value-dwellings/dec-2025/643201.xlsx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wpi_xlsx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 Bureau of Statistics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https://www.abs.gov.au/statistics/economy/price-indexes-and-inflation/wage-price-index-australia/mar-2026/634501.xlsx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XLSX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2026-06-16T06:33:47+00:00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66256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manually staged</w:t>
            </w:r>
          </w:p>
        </w:tc>
        <w:tc>
          <w:tcPr>
            <w:tcW w:type="dxa" w:w="1040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4. Transformations Applied</w:t>
      </w:r>
    </w:p>
    <w:p>
      <w:r>
        <w:rPr>
          <w:rFonts w:ascii="Arial" w:hAnsi="Arial"/>
          <w:b w:val="0"/>
          <w:i w:val="0"/>
        </w:rPr>
        <w:t>Every canonical CSV export in outputs/contracts/ appears exactly once with its inputs, builder, row count, and validation status.</w:t>
      </w:r>
    </w:p>
    <w:p>
      <w:r>
        <w:rPr>
          <w:rFonts w:ascii="Arial" w:hAnsi="Arial"/>
          <w:b w:val="0"/>
          <w:i/>
          <w:color w:val="7F7F7F"/>
          <w:sz w:val="20"/>
        </w:rPr>
        <w:t>Transformations Applied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Output filename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Input source(s)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Transformation script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Row count of output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Last build timestamp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Validation status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labour_force_industry_xlsx; rba_cash_rate_csv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src/overlays/build_industry_risk_scores.py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2026-06-16T16:33:52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building_approvals_nonres_xlsx; property_cycle_panel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src/overlays/build_property_market_overlays.py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2026-06-16T16:33:52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downturn_overlay_table.csv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property_cycle_panel; scenario multipliers (assumption); qualitative arrears baseline (assumption, RBA FSR Mar-2026)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src/overlays/build_downturn_overlay_tables.py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2026-06-16T16:33:52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macro_regime_flags.csv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rba_cash_rate_csv; qualitative arrears baseline (assumption, RBA FSR Mar-2026)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src/panels/build_macro_regime_flags.py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2026-06-16T16:33:52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industry_financial_benchmarks.csv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business_indicators_inventory_ratio_xlsx; labour_force_industry_xlsx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src/panels/build_industry_financial_benchmarks.py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2026-06-16T16:33:52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business_cycle_panel.csv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business_indicators_inventory_ratio_xlsx; business_indicators_consumer_sales_xlsx; labour_force_industry_xlsx; rba_cash_rate_csv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src/panels/build_business_cycle_panel.py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2026-06-16T16:33:52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src/panels/build_property_cycle_panel.py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2026-06-16T16:33:52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property_market_overlays_by_building_type.csv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building_approvals_nonres_xlsx; property_cycle_panel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src/overlays/build_property_market_overlays.py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2026-06-16T16:33:52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PASS: present_nonempty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5. Detailed Analysis</w:t>
      </w:r>
    </w:p>
    <w:p>
      <w:r>
        <w:rPr>
          <w:rFonts w:ascii="Arial" w:hAnsi="Arial"/>
          <w:b w:val="0"/>
          <w:i w:val="0"/>
        </w:rPr>
        <w:t>The tables below include the actual analytical rows behind the report, not only file pointers.</w:t>
      </w:r>
    </w:p>
    <w:p>
      <w:r>
        <w:rPr>
          <w:rFonts w:ascii="Arial" w:hAnsi="Arial"/>
          <w:b w:val="0"/>
          <w:i/>
          <w:color w:val="7F7F7F"/>
          <w:sz w:val="20"/>
        </w:rPr>
        <w:t>Canonical CSV exports: contents and downstream layers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CSV export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it includes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Downstream layers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Compact industry overlay: classification score, macro score, base risk score/level, and shared cash-rate backdrop fields.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PD overlays / scorecards; EL and pricing overlays; External sector benchmarks; Board reporting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Compact property overlay: cycle stage, softness score/band, region risk, approvals change, and approvals-proxy activity signals.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LGD and collateral overlays; Property-backed PD context; Pricing and policy overlays; Board reporting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downturn_overlay_table.csv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Scenario multipliers for PD, LGD, and CCF plus property haircuts, a per-scenario macro-path note (mild = Basel CRE36.51), and scenario notes (incl. the no-diversification assumption).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PD scenario layer; LGD scenario layer; CCF / EAD scenario layer; Stress testing and pricing what-if views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macro_regime_flags.csv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Environment selector: cash-rate regime, arrears level/trend, macro regime flag, and source dataset.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 regime conditioning; LGD / EL regime conditioning; Scenario-row selection; Portfolio and board reporting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industry_financial_benchmarks.csv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Per-ANZSIC-division medians of the financial ratios APG 220 paragraph 64 calls out as standard credit-assessment benchmarks: EBITDA margin, gross operating profit-to-sales, wages-to-sales, inventory days, sales growth, employment growth, inventory-to-sales, and sales per employee.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Origination scorecard industry-relative ratios; PD model industry-comparison features; ECL borrower-vs-industry signals; External sector benchmarks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business_cycle_panel.csv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Wide industry diagnostics: structural factors, public benchmark metrics, macro factor scores, demand proxies, inventory flags, and explainability fields behind the industry overlay.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PD explainability; External benchmark diagnostics; Challenger overlay analysis; Technical report detail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property_cycle_panel.csv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Wide property diagnostics: approvals trend, cycle stage, softness band, region risk, as-of-date, and per-row source/proxy notes.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LGD explainability; Collateral benchmark diagnostics; Property stress interpretation; Technical report detail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property_market_overlays_by_building_type.csv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One row per ABS non-residential building-approval category — the pre-aggregation input to the five-row property_market_overlays contract. Shows each category's softness, region risk, approvals change, and the property_segment_code it rolls up into.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overlay explainability; Reviewer drilldown into CRE / IND / RET / CON aggregation; Technical report detail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industry_risk_scores.csv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anzsic_division_code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classification_risk_score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industry_base_risk_level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cash_rate_latest_pct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cash_rate_change_1y_pctpts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3.88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3.57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F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2.95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2.93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1.62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J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Q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1.86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Moderate-low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0.95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0.5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property_market_overlays.csv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cycle_stage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source_note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market_softness_band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market_softness_level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 placeholder — ABS Cat. 8752.0 residential dwelling-approvals file not yet staged; RES row uses a neutral composite pending that upgrade.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 (office, health, education, accommodation)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Aggregated from ABS Cat. 8731.0 non-residential building approvals. Exposure-weighted (12-month mean approval $ per building type). Constituent ABS categories: Aged care facilities, Education buildings, Health buildings, Offices, Short term accommodation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Industrial / Warehouse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0.95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1.85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2.17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Aggregated from ABS Cat. 8731.0 non-residential building approvals. Exposure-weighted (12-month mean approval $ per building type). Constituent ABS categories: Agricultural and aquacultural buildings, Warehouses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supportive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Moderate-low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Property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Aggregated from ABS Cat. 8731.0 non-residential building approvals. Exposure-weighted (12-month mean approval $ per building type). Constituent ABS categories: Retail and wholesale trade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 (non-residential development)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3.02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3.18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Aggregated from ABS Cat. 8731.0 non-residential building approvals. Exposure-weighted (12-month mean approval $ per building type). Constituent ABS categories: Aged care facilities, Agricultural and aquacultural buildings, Education buildings, Health buildings, Offices, Retail and wholesale trade buildings, Short term accommodation buildings, Warehouses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downturn_overlay_table.csv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lgd_multiplier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ccf_multiplier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property_value_haircut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macro_path</w:t>
            </w:r>
          </w:p>
        </w:tc>
        <w:tc>
          <w:tcPr>
            <w:tcW w:type="dxa" w:w="117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Current environment, no recession overlay: GDP growth around trend, unemployment broadly stable, house prices at latest observed levels.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Current environment (base scenario). Anchored to a low / improving arrears backdrop (qualitative assumption from RBA FSR) and an average property-cycle softness score of 3.14 (real, ABS building approvals). No diversification benefit assumed (APG 113 para 92).</w:t>
            </w:r>
          </w:p>
        </w:tc>
      </w:tr>
      <w:tr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Basel CRE36.51 mandatory minimum — two consecutive quarters of zero GDP growth; unemployment +~1.0-1.5pp; house prices ~-5 to -10%.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mild recession = Basel CRE36.51 two-quarters-zero-growth minimum, for conservative portfolio calibration. No diversification benefit assumed (APG 113 para 92).</w:t>
            </w:r>
          </w:p>
        </w:tc>
      </w:tr>
      <w:tr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0.1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Deeper recession: multi-quarter contraction; unemployment +~2-3pp; house prices ~-10 to -15%.</w:t>
            </w:r>
          </w:p>
        </w:tc>
        <w:tc>
          <w:tcPr>
            <w:tcW w:type="dxa" w:w="1170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illustrative moderate downturn for stressed pricing and EL scenario analysis. No diversification benefit assumed (APG 113 para 92).</w:t>
            </w:r>
          </w:p>
        </w:tc>
      </w:tr>
      <w:tr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1.3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GFC-like severe-but-plausible path: deep multi-quarter contraction; unemployment +~3-4pp; house prices ~-20 to -30%.</w:t>
            </w:r>
          </w:p>
        </w:tc>
        <w:tc>
          <w:tcPr>
            <w:tcW w:type="dxa" w:w="117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 (scenario parameter) — illustrative severe downturn; not a calibrated regulatory stress parameter. No diversification benefit assumed (APG 113 para 92).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macro_regime_flags.csv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cash_rate_regime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arrears_environment_level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arrears_trend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macro_regime_flag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source_dataset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2026-06-15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restrictive_rising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Improving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RBA F1 cash-rate table (real) + qualitative arrears baseline (assumption, RBA FSR Mar-2026)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industry_financial_benchmarks.csv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anzsic_division_code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median_ebitda_margin_pct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source_note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median_gross_operating_profit_to_sales_ratio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median_wages_to_sales_pct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median_inventory_days_est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median_sales_growth_pct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median_employment_yoy_growth_pct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14.58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9.75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35.1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-11.05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-5.11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47.33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0.47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51.7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-6.26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-5.09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9.15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0.09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14.3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57.2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1.34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-0.93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20.95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0.21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9.93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12.29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10.15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0.08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15.04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10.54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1.47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F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6.77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48.5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-8.74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7.8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0.05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10.28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32.7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4.82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-0.46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11.38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25.54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0.72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17.72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0.19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19.69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18.7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2.79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J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20.02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20.01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5.95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-4.77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40.88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0.37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13.0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8.0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7.72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-15.06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12.99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0.13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35.33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8.68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5.5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9.27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0.07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47.45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8.0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6.17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3.07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42.36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11.69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-1.17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11.73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50.88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11.9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10.67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5.63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Q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16.65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43.29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7.54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3.74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13.45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0.13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22.55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13.7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-5.79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5.28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Derived from ABS Cat. 8155.0 Australian Industry, Cat. 5676.0 Business Indicators, Cat. 6291.0 Labour Force Detailed. Percentiles (p25/p75) not published in this version — internal portfolio data required for firm-level distribution. Sub-sector (subdivision/group) granularity not published in this version — division-level only.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31.62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10.0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13.2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7.12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business_cycle_panel.csv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anzsic_division_code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classification_risk_score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macro_risk_score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industry_base_risk_level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sector_key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internal_grouping_example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sales_m_latest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employment_000_latest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accommodation and food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Hospitality and leisure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152965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1217.9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Administrative and support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144266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1006.4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Agriculture,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agriculture forestry and fishing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Primary production and agribusiness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119772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411.0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2.93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Arts and recreation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49985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277.3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2.95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Moderate-high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construction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Building, civil and trade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624590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1290.7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2.49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and training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62221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515.8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Electricity, Gas, Water and Waste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2.14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electricity gas water and waste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Utilities and infrastructure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166688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142.5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Q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care and social assistance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and care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224001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1796.9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J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2.12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information media and telecommunications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Media, telco and information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117894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188.3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manufacturing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Industrial and manufacturing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514199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901.7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3.88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3.57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Mining and resources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492161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234.7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Other services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100042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583.2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Professional, Scientific and Technical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1.75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1.86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Moderate-low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 scientific and technical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Professional and technical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353044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1317.4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O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1.62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Public administration and safety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15351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106.8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Rental,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2.38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rental hiring and real estate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Real estate and rental services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185285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420.9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Consumer retail and discretionary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643421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1509.6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Transport, Postal and Warehousing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transport postal and warehousing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Freight, logistics and storage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244980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670.6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F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3.12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trade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Wholesale and distribution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772255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604.2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property_cycle_panel.csv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cycle_stage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source_note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approvals_change_pct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commencements_signal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completions_signal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Offices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4.21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-19.8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Agricultural and aquacultural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-27.02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 Buildings - Total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3.84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-49.71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and wholesale trade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6.48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Total Non-residential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-15.94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3.56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-31.29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Aged care facilities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-21.97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Short term accommodation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2.99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112.01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buildings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-35.96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Industrial Buildings - Total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94.79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2026-03-01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Warehouses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ABS Building Approvals - Non-residential; building activity not staged; commencements and completions proxied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108.47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Proxy from approvals trend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Full detail rows from property_market_overlays_by_building_type.csv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as_of_date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property_segment_code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region_risk_score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cycle_stage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aggregate_role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market_softness_band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region_risk_band</w:t>
            </w:r>
          </w:p>
        </w:tc>
        <w:tc>
          <w:tcPr>
            <w:tcW w:type="dxa" w:w="936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approvals_change_pct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Offices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4.21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soft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-19.8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Agricultural and aquacultural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4.01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soft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-27.02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 Buildings - Total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3.8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3.84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 (reviewer reference only)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-49.71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Retail and wholesale trade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RET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3.4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6.48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Total Non-residential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3.35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3.49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 (reviewer reference only)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-15.94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Education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3.56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-31.29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Aged care facilities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3.41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slowing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softening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Elevated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-21.97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Short term accommodation buildings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3.1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2.99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112.01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Health buildings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CRE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2.76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neutral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normal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-35.96</w:t>
            </w:r>
          </w:p>
        </w:tc>
      </w:tr>
      <w:tr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Industrial Buildings - Total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CON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2.15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2.39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aggregate (reviewer reference only)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supportive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94.79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2026-06-16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Warehouses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IND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1.7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2.04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growth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specific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supportive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/>
                <w:sz w:val="20"/>
              </w:rPr>
              <w:t>108.47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6. Lineage / Traceability</w:t>
      </w:r>
    </w:p>
    <w:p>
      <w:r>
        <w:rPr>
          <w:rFonts w:ascii="Arial" w:hAnsi="Arial"/>
          <w:b w:val="0"/>
          <w:i w:val="0"/>
        </w:rPr>
        <w:t>This appendix-style section maps analytical tables back to source inventory entries and transformation scripts.</w:t>
      </w:r>
    </w:p>
    <w:p>
      <w:r>
        <w:rPr>
          <w:rFonts w:ascii="Arial" w:hAnsi="Arial"/>
          <w:b w:val="0"/>
          <w:i/>
          <w:color w:val="7F7F7F"/>
          <w:sz w:val="20"/>
        </w:rPr>
        <w:t>Lineage / Traceability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Analytical table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Number fields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 row reference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Transformation script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Version / vintage</w:t>
            </w:r>
          </w:p>
        </w:tc>
        <w:tc>
          <w:tcPr>
            <w:tcW w:type="dxa" w:w="156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Reference hops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industry_risk_scores.csv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labour_force_industry_xlsx; rba_cash_rate_csv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src/overlays/build_industry_risk_scores.py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building_approvals_nonres_xlsx; property_cycle_panel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src/overlays/build_property_market_overlays.py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downturn_overlay_table.csv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property_cycle_panel; scenario multipliers (assumption); qualitative arrears baseline (assumption, RBA FSR Mar-2026)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src/overlays/build_downturn_overlay_tables.py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macro_regime_flags.csv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rba_cash_rate_csv; qualitative arrears baseline (assumption, RBA FSR Mar-2026)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src/panels/build_macro_regime_flags.py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industry_financial_benchmarks.csv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business_indicators_inventory_ratio_xlsx; labour_force_industry_xlsx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src/panels/build_industry_financial_benchmarks.py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business_cycle_panel.csv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australian_industry_xlsx; business_indicators_profit_ratio_xlsx; business_indicators_inventory_ratio_xlsx; business_indicators_consumer_sales_xlsx; labour_force_industry_xlsx; rba_cash_rate_csv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src/panels/build_business_cycle_panel.py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property_cycle_panel.csv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src/panels/build_property_cycle_panel.py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  <w:tr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property_market_overlays_by_building_type.csv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numeric columns in export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building_approvals_nonres_xlsx; property_cycle_panel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src/overlays/build_property_market_overlays.py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Data Sources Inventory period/hash plus Transformations Applied build timestamp</w:t>
            </w:r>
          </w:p>
        </w:tc>
        <w:tc>
          <w:tcPr>
            <w:tcW w:type="dxa" w:w="156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number -&gt; table row -&gt; transformation row -&gt; source inventory row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7. What's Not In This Report</w:t>
      </w:r>
    </w:p>
    <w:p>
      <w:r>
        <w:rPr>
          <w:rFonts w:ascii="Arial" w:hAnsi="Arial"/>
          <w:b w:val="0"/>
          <w:i w:val="0"/>
        </w:rPr>
        <w:t>This section lists registered sources that are manual, missing, outdated, gated, or otherwise not automatically captured.</w:t>
      </w:r>
    </w:p>
    <w:p>
      <w:r>
        <w:rPr>
          <w:rFonts w:ascii="Arial" w:hAnsi="Arial"/>
          <w:b w:val="0"/>
          <w:i/>
          <w:color w:val="7F7F7F"/>
          <w:sz w:val="20"/>
        </w:rPr>
        <w:t>Data not yet captured / out of scope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 key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 action</w:t>
            </w:r>
          </w:p>
        </w:tc>
        <w:tc>
          <w:tcPr>
            <w:tcW w:type="dxa" w:w="234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 / next date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anzsic_classification_page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anzsic_division_codes_page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anzsic_division_subdivision_class_page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australian_industry_xlsx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building_approvals_nonres_xlsx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business_indicators_consumer_sales_xlsx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business_indicators_inventory_ratio_xlsx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business_indicators_profit_ratio_xlsx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cpi_all_groups_xlsx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cpi_subgroups_xlsx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dwelling_approvals_xlsx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dwelling_value_xlsx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labour_force_headline_xlsx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labour_force_industry_xlsx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lending_indicators_xlsx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national_accounts_gdp_xlsx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ppi_construction_xlsx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ppi_manufacturing_xlsx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property_price_capitals_xlsx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property_price_index_xlsx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ptrs_cycle_8_pdf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ptrs_cycle_9_pdf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ptrs_guidance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rba_cash_rate_csv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rba_chart_pack_page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rba_fsr_page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rba_smp_page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rba_table_e2_xls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total_value_dwellings_xlsx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No successful manifest entry for this registry item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Awaiting next release or implement downloader/scraper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  <w:tr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wpi_xlsx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Paid, gated, or manually extracted source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 staging required - see data/raw/manual or source-specific raw-public directory</w:t>
            </w:r>
          </w:p>
        </w:tc>
        <w:tc>
          <w:tcPr>
            <w:tcW w:type="dxa" w:w="234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Next scheduled refresh cycle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8. Validation and Caveats</w:t>
      </w:r>
    </w:p>
    <w:p>
      <w:r>
        <w:rPr>
          <w:rFonts w:ascii="Arial" w:hAnsi="Arial"/>
          <w:b w:val="0"/>
          <w:i w:val="0"/>
        </w:rPr>
        <w:t>Completeness checks cover source inventory, transformations, detail rows, lineage, gaps, and missing-data handling.</w:t>
      </w:r>
    </w:p>
    <w:p>
      <w:r>
        <w:rPr>
          <w:rFonts w:ascii="Arial" w:hAnsi="Arial"/>
          <w:b w:val="0"/>
          <w:i/>
          <w:color w:val="7F7F7F"/>
          <w:sz w:val="20"/>
        </w:rPr>
        <w:t>Contract validation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Check category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Items</w:t>
            </w:r>
          </w:p>
        </w:tc>
        <w:tc>
          <w:tcPr>
            <w:tcW w:type="dxa" w:w="312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Source registry inventory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33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Canonical export transformations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Detailed analysis export tables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  <w:tr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Lineage mappings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312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Manual/missing source disclosure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sz w:val="20"/>
              </w:rPr>
              <w:t>PASS</w:t>
            </w:r>
          </w:p>
        </w:tc>
      </w:tr>
    </w:tbl>
    <w:p/>
    <w:p>
      <w:r>
        <w:rPr>
          <w:rFonts w:ascii="Arial" w:hAnsi="Arial"/>
          <w:b w:val="0"/>
          <w:i w:val="0"/>
        </w:rPr>
        <w:t>No missing source is silently dropped. Sources without current data show as missing or manually staged in the inventory and reappear in the out-of-scope section with the required action.</w:t>
      </w:r>
    </w:p>
    <w:p>
      <w:pPr>
        <w:spacing w:before="280" w:after="120"/>
      </w:pPr>
      <w:r>
        <w:rPr>
          <w:rFonts w:ascii="Arial" w:hAnsi="Arial"/>
          <w:b/>
          <w:color w:val="1F4E79"/>
          <w:sz w:val="32"/>
        </w:rPr>
        <w:t>9. Macro Stress Inputs</w:t>
      </w:r>
    </w:p>
    <w:p>
      <w:r>
        <w:rPr>
          <w:rFonts w:ascii="Arial" w:hAnsi="Arial"/>
          <w:b w:val="0"/>
          <w:i w:val="0"/>
        </w:rPr>
        <w:t>A macro-driven stress layer turns macroeconomic scenario paths into PD / LGD / EAD multipliers per portfolio segment, then rolls facility-level stress up to a portfolio expected-loss total — answering 'if the economy turns, how much worse do losses get, and for which portfolios?'.</w:t>
      </w:r>
    </w:p>
    <w:p>
      <w:r>
        <w:rPr>
          <w:rFonts w:ascii="Arial" w:hAnsi="Arial"/>
          <w:b w:val="0"/>
          <w:i/>
          <w:color w:val="7F7F7F"/>
          <w:sz w:val="20"/>
        </w:rPr>
        <w:t>Macro scenario paths - stressed level by scenario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base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mild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moderate</w:t>
            </w:r>
          </w:p>
        </w:tc>
        <w:tc>
          <w:tcPr>
            <w:tcW w:type="dxa" w:w="1337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severe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Cash rate (%)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RBA F1 cash-rate table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4.35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4.6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4.85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5.1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Commercial-property prices (% change)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change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-7.0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-15.0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-28.0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CRE cap rates (%)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6.0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6.4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6.9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7.6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 rents (% change)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change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-4.0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-9.0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-16.0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Exchange rate (TWI, % change)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 change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RBA F11 exchange rates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-5.0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-10.0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-15.0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GDP growth (real, YoY 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5206 National Accounts (Mar 2026, real SA, through-the-year)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0.7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-0.8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-2.8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House-price growth (YoY 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stated (ABS 6416 RPPI discontinued after Dec-2021; no current free public index)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-4.0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-11.0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-21.0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Industry / sector output (YoY 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8155 Australian Industry + 5676 Business Indicators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-2.0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-5.0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Inflation (CPI, YoY 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ABS 6401 CPI (Mar 2026 quarter, all groups, through-the-year)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2.4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3.2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3.9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4.9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Unemployment rate (%)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6202 Labour Force (Mar 2026, seasonally adjusted)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4.3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5.5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6.8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8.3</w:t>
            </w:r>
          </w:p>
        </w:tc>
      </w:tr>
      <w:tr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Vacancy rate (office, %)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%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assumption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12.0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14.0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16.0</w:t>
            </w:r>
          </w:p>
        </w:tc>
        <w:tc>
          <w:tcPr>
            <w:tcW w:type="dxa" w:w="1337"/>
            <w:vAlign w:val="center"/>
          </w:tcPr>
          <w:p>
            <w:r/>
            <w:r>
              <w:rPr>
                <w:rFonts w:ascii="Arial" w:hAnsi="Arial"/>
                <w:sz w:val="20"/>
              </w:rPr>
              <w:t>19.0</w:t>
            </w:r>
          </w:p>
        </w:tc>
      </w:tr>
      <w:tr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Wage growth (WPI, YoY %)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% yoy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ABS 6345 Wage Price Index (Mar 2026 quarter, through-the-year)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3.3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2.8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</w:t>
            </w:r>
          </w:p>
        </w:tc>
        <w:tc>
          <w:tcPr>
            <w:tcW w:type="dxa" w:w="1337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Which macro drivers move which portfolio (illustrative)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Portfolio</w:t>
            </w:r>
          </w:p>
        </w:tc>
        <w:tc>
          <w:tcPr>
            <w:tcW w:type="dxa" w:w="4680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Material macro drivers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 mortgages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unemployment, cash rate, wage growth, house prices</w:t>
            </w:r>
          </w:p>
        </w:tc>
      </w:tr>
      <w:tr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 cards</w:t>
            </w:r>
          </w:p>
        </w:tc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unemployment, wage growth, inflation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SME lending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GDP, unemployment, cash rate, sector output</w:t>
            </w:r>
          </w:p>
        </w:tc>
      </w:tr>
      <w:tr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 lending</w:t>
            </w:r>
          </w:p>
        </w:tc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GDP, sector output, cash rate, exchange rate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 property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prices, vacancy, rents, cap rates, cash rate</w:t>
            </w:r>
          </w:p>
        </w:tc>
      </w:tr>
      <w:tr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 finance</w:t>
            </w:r>
          </w:p>
        </w:tc>
        <w:tc>
          <w:tcPr>
            <w:tcW w:type="dxa" w:w="4680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property prices, GDP, vacancy, cash rate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Macro-derived segment multipliers (PD / LGD / EAD)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PD x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LGD x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EAD x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residential_mortgages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residential_mortgages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1.4129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1.1523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1.0649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residential_mortgages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1.8357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1.2936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1.1291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residential_mortgages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2.35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credit_cards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credit_cards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1.4906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1.1267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1.0786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credit_cards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1.9886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1.2535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1.1533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credit_cards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1.24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sme_lending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sme_lending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1.5241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1.1521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1.0906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sme_lending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2.0259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1.3053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1.1757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sme_lending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2.65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1.54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1.28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corporate_lending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corporate_lending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1.4823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1.1549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1.0913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corporate_lending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1.9307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1.3156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1.177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corporate_lending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1.54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1.28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commercial_property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commercial_property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1.5409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1.0968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commercial_property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2.127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1.3973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1.1958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commercial_property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2.95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1.32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development_finance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development_finance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1.6664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1.195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1.1116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development_finance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2.3292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1.4273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1.2219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development_finance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3.25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1.78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1.36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20"/>
        </w:rPr>
        <w:t>Demonstration - facility roll-up to portfolio EL (illustrative demo book)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Facilities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Base EL ($)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Stressed EL ($)</w:t>
            </w:r>
          </w:p>
        </w:tc>
        <w:tc>
          <w:tcPr>
            <w:tcW w:type="dxa" w:w="1872"/>
            <w:shd w:val="clear" w:color="auto"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 uplift x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base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mild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153321.21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1.934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moderate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256331.65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sz w:val="20"/>
              </w:rPr>
              <w:t>3.233</w:t>
            </w:r>
          </w:p>
        </w:tc>
      </w:tr>
      <w:tr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severe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79293.72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447755.57</w:t>
            </w:r>
          </w:p>
        </w:tc>
        <w:tc>
          <w:tcPr>
            <w:tcW w:type="dxa" w:w="1872"/>
            <w:shd w:val="clear" w:color="auto" w:fill="F2F2F2"/>
            <w:vAlign w:val="center"/>
          </w:tcPr>
          <w:p>
            <w:r/>
            <w:r>
              <w:rPr>
                <w:rFonts w:ascii="Arial" w:hAnsi="Arial"/>
                <w:sz w:val="20"/>
              </w:rPr>
              <w:t>5.647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B183"/>
            <w:vAlign w:val="top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</w:tcPr>
          <w:p>
            <w:r/>
            <w:r>
              <w:rPr>
                <w:rFonts w:ascii="Arial" w:hAnsi="Arial"/>
                <w:b/>
                <w:sz w:val="22"/>
              </w:rPr>
              <w:t>Macro stress - scope and governance</w:t>
            </w:r>
          </w:p>
          <w:p>
            <w:r>
              <w:rPr>
                <w:rFonts w:ascii="Arial" w:hAnsi="Arial"/>
                <w:sz w:val="20"/>
              </w:rPr>
              <w:t>Illustrative scenario design — not calibrated regulatory stress. Base levels are current values from the named ABS/RBA series; the four CRE variables (commercial-property prices, vacancy, rents, cap rates) and all elasticities are labelled assumptions. The portfolio roll-up is exposure-weighted with no diversification benefit. Reverse stress: the moderate scenario (EL uplift 3.23x) first breaches a 2.0x illustrative appetite ceiling. A bank normally builds separate models per material portfolio or a pooled model with portfolio/sector effects; this layer supplies the macro-credit linkage either consumes.</w:t>
            </w:r>
          </w:p>
        </w:tc>
      </w:tr>
    </w:tbl>
    <w:p/>
    <w:p>
      <w:r>
        <w:rPr>
          <w:rFonts w:ascii="Arial" w:hAnsi="Arial"/>
          <w:b w:val="0"/>
          <w:i/>
          <w:color w:val="7F7F7F"/>
          <w:sz w:val="18"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7F7F7F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7F7F7F"/>
        <w:sz w:val="18"/>
      </w:rPr>
      <w:t>Industry Analysis Report  |  Q1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