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" w:after="120"/>
      </w:pPr>
      <w:r>
        <w:rPr>
          <w:rFonts w:ascii="Arial" w:hAnsi="Arial"/>
          <w:b/>
          <w:color w:val="1F4E79"/>
          <w:sz w:val="32"/>
        </w:rPr>
        <w:t>Industry Analysis Report — Q1 2026</w:t>
      </w:r>
    </w:p>
    <w:p>
      <w:r>
        <w:rPr>
          <w:rFonts w:ascii="Arial" w:hAnsi="Arial"/>
          <w:b w:val="0"/>
          <w:i/>
          <w:color w:val="2E75B6"/>
          <w:sz w:val="24"/>
        </w:rPr>
        <w:t>Technical Detail variant</w:t>
      </w:r>
    </w:p>
    <w:p>
      <w:r>
        <w:rPr>
          <w:rFonts w:ascii="Arial" w:hAnsi="Arial"/>
          <w:b w:val="0"/>
          <w:i w:val="0"/>
          <w:color w:val="7F7F7F"/>
          <w:sz w:val="20"/>
        </w:rPr>
        <w:t>Generated 2026-06-16</w:t>
      </w:r>
    </w:p>
    <w:p>
      <w:r>
        <w:rPr>
          <w:rFonts w:ascii="Arial" w:hAnsi="Arial"/>
          <w:b w:val="0"/>
          <w:i w:val="0"/>
          <w:color w:val="7F7F7F"/>
          <w:sz w:val="20"/>
        </w:rPr>
        <w:t>Macro and downturn overlays as of 2026-06-15. Property cycle data as of 2026-03-01.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DEEBF7"/>
            <w:vAlign w:val="top"/>
            <w:tcBorders>
              <w:top w:val="single" w:sz="8" w:color="DEEBF7"/>
              <w:left w:val="single" w:sz="8" w:color="DEEBF7"/>
              <w:bottom w:val="single" w:sz="8" w:color="DEEBF7"/>
              <w:right w:val="single" w:sz="8" w:color="DEEBF7"/>
            </w:tcBorders>
          </w:tcPr>
          <w:p>
            <w:r/>
            <w:r>
              <w:rPr>
                <w:rFonts w:ascii="Arial" w:hAnsi="Arial"/>
                <w:b/>
                <w:sz w:val="22"/>
              </w:rPr>
              <w:t>Prepared for</w:t>
            </w:r>
          </w:p>
          <w:p>
            <w:r>
              <w:rPr>
                <w:rFonts w:ascii="Arial" w:hAnsi="Arial"/>
                <w:sz w:val="20"/>
              </w:rPr>
              <w:t>This is the full-detail variant for MRC, audit, and model-risk review. It includes per-row technical commentary, source URLs, the full Construction methodology review item, and the audit log as an appendix.</w:t>
            </w:r>
          </w:p>
        </w:tc>
      </w:tr>
    </w:tbl>
    <w:p/>
    <w:p>
      <w:pPr>
        <w:spacing w:before="280" w:after="120"/>
      </w:pPr>
      <w:r>
        <w:rPr>
          <w:rFonts w:ascii="Arial" w:hAnsi="Arial"/>
          <w:b/>
          <w:color w:val="1F4E79"/>
          <w:sz w:val="32"/>
        </w:rPr>
        <w:t>1. Executive Summary</w:t>
      </w:r>
    </w:p>
    <w:p>
      <w:r>
        <w:rPr>
          <w:rFonts w:ascii="Arial" w:hAnsi="Arial"/>
          <w:b w:val="0"/>
          <w:i w:val="0"/>
        </w:rPr>
        <w:t>This report contains source inventory, transformations, analytical output rows, lineage, known gaps, and validation status in the same document. It covers 18 industries, 5 property segments, all 33 registered public sources, and all 8 canonical exports. Source registry basis: PUBLIC_SOURCE_URLS plus scraper-produced RBA publication manifest keys; manifest-backed vintages come from data/raw/public/_manifest.json when present.</w:t>
      </w:r>
    </w:p>
    <w:p>
      <w:r>
        <w:rPr>
          <w:rFonts w:ascii="Arial" w:hAnsi="Arial"/>
          <w:b w:val="0"/>
          <w:i w:val="0"/>
        </w:rPr>
        <w:t>Headline picture: cash rate 4.35% (+0.50pp YoY), arrears Low / Improving, macro_regime_flag='base' (cash_rate_regime='restrictive_rising'). 5 industries are Elevated; 0 property segments are in downturn; severe PD multiplier 2.00x.</w:t>
      </w:r>
    </w:p>
    <w:p>
      <w:r>
        <w:rPr>
          <w:rFonts w:ascii="Arial" w:hAnsi="Arial"/>
          <w:b w:val="0"/>
          <w:i w:val="0"/>
        </w:rPr>
        <w:t>Data freshness: macro/downturn overlays 2026-06-15; property-cycle 2026-03-01; generated 2026-06-16.</w:t>
      </w:r>
    </w:p>
    <w:p>
      <w:pPr>
        <w:spacing w:before="280" w:after="120"/>
      </w:pPr>
      <w:r>
        <w:rPr>
          <w:rFonts w:ascii="Arial" w:hAnsi="Arial"/>
          <w:b/>
          <w:color w:val="1F4E79"/>
          <w:sz w:val="32"/>
        </w:rPr>
        <w:t>2. Headline Numbers</w:t>
      </w:r>
    </w:p>
    <w:p>
      <w:r>
        <w:rPr>
          <w:rFonts w:ascii="Arial" w:hAnsi="Arial"/>
          <w:b w:val="0"/>
          <w:i w:val="0"/>
        </w:rPr>
        <w:t>Each headline includes a trace pointer to the export or source chain that produced it.</w:t>
      </w:r>
    </w:p>
    <w:p>
      <w:r>
        <w:rPr>
          <w:rFonts w:ascii="Arial" w:hAnsi="Arial"/>
          <w:b w:val="0"/>
          <w:i/>
          <w:color w:val="7F7F7F"/>
          <w:sz w:val="20"/>
        </w:rPr>
        <w:t>Headline calibrated outputs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Metric</w:t>
            </w:r>
          </w:p>
        </w:tc>
        <w:tc>
          <w:tcPr>
            <w:tcW w:type="dxa" w:w="234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Value</w:t>
            </w:r>
          </w:p>
        </w:tc>
        <w:tc>
          <w:tcPr>
            <w:tcW w:type="dxa" w:w="234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Vintage</w:t>
            </w:r>
          </w:p>
        </w:tc>
        <w:tc>
          <w:tcPr>
            <w:tcW w:type="dxa" w:w="234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Trace</w:t>
            </w:r>
          </w:p>
        </w:tc>
      </w:tr>
      <w:tr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Industries covered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18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2026-06-15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industry_risk_scores.csv</w:t>
            </w:r>
          </w:p>
        </w:tc>
      </w:tr>
      <w:tr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Property segments covered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5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2026-03-01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property_market_overlays.csv</w:t>
            </w:r>
          </w:p>
        </w:tc>
      </w:tr>
      <w:tr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Cash rate latest pct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4.35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2026-06-15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rba_cash_rate_csv -&gt; macro_regime_flags.csv</w:t>
            </w:r>
          </w:p>
        </w:tc>
      </w:tr>
      <w:tr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Cash rate 1y change pctpts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+0.50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2026-06-15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rba_cash_rate_csv -&gt; industry_risk_scores.csv</w:t>
            </w:r>
          </w:p>
        </w:tc>
      </w:tr>
      <w:tr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Elevated industry count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5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2026-06-15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industry_risk_scores.csv</w:t>
            </w:r>
          </w:p>
        </w:tc>
      </w:tr>
      <w:tr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Downturn property segment count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0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2026-03-01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property_market_overlays.csv</w:t>
            </w:r>
          </w:p>
        </w:tc>
      </w:tr>
      <w:tr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Macro regime flag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base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2026-06-15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macro_regime_flags.csv</w:t>
            </w:r>
          </w:p>
        </w:tc>
      </w:tr>
      <w:tr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Severe PD multiplier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2.00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2026-06-15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downturn_overlay_table.csv</w:t>
            </w:r>
          </w:p>
        </w:tc>
      </w:tr>
    </w:tbl>
    <w:p/>
    <w:p>
      <w:r>
        <w:rPr>
          <w:rFonts w:ascii="Arial" w:hAnsi="Arial"/>
          <w:b w:val="0"/>
          <w:i/>
          <w:color w:val="7F7F7F"/>
          <w:sz w:val="20"/>
        </w:rPr>
        <w:t>Industry risk scores - full current output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36"/>
        <w:gridCol w:w="936"/>
        <w:gridCol w:w="936"/>
        <w:gridCol w:w="936"/>
        <w:gridCol w:w="936"/>
        <w:gridCol w:w="936"/>
        <w:gridCol w:w="936"/>
        <w:gridCol w:w="936"/>
        <w:gridCol w:w="936"/>
        <w:gridCol w:w="936"/>
      </w:tblGrid>
      <w:tr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as_of_date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anzsic_division_code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industry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classification_risk_score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macro_risk_score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industry_base_risk_score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industry_base_risk_level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pd_multiplier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cash_rate_latest_pct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cash_rate_change_1y_pctpts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A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Agriculture, Forestry and Fishing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4.12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4.2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4.16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Elevated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1.15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4.35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0.5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B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Mining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3.88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3.2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3.57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Elevated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1.15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4.35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0.5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C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Manufacturing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3.4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3.46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Elevated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1.15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4.35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0.5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G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Retail Trade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3.25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3.4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3.32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Elevated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1.15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4.35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0.5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F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Wholesale Trade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3.12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3.4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3.25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Elevated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1.15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4.35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0.5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E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Construction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2.75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3.2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2.95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Moderate-high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1.1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4.35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0.5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R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Arts and Recreation Services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2.38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2.93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Moderate-high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1.1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4.35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0.5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H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Accommodation and Food Services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2.75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2.6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2.68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4.35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0.5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O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Public Administration and Safety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1.62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2.51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4.35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0.5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Education and Training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1.75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3.4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2.49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4.35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0.5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L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Rental, Hiring and Real Estate Services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2.38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2.48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4.35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0.5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I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Transport, Postal and Warehousing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2.4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2.46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4.35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0.5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N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Administrative and Support Services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2.12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2.8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2.43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4.35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0.5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J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Information Media and Telecommunications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2.12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2.6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2.34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4.35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0.5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Other Services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2.38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2.2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2.3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4.35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0.5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D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Electricity, Gas, Water and Waste Services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2.25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2.0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2.14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4.35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0.5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Q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Health Care and Social Assistance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1.5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2.8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2.08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4.35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0.5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Professional, Scientific and Technical Services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1.75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2.0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1.86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Moderate-low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0.95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4.35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0.5</w:t>
            </w:r>
          </w:p>
        </w:tc>
      </w:tr>
    </w:tbl>
    <w:p/>
    <w:p>
      <w:r>
        <w:rPr>
          <w:rFonts w:ascii="Arial" w:hAnsi="Arial"/>
          <w:b w:val="0"/>
          <w:i/>
          <w:color w:val="7F7F7F"/>
          <w:sz w:val="20"/>
        </w:rPr>
        <w:t>Downturn multipliers - full current output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1170"/>
        <w:gridCol w:w="1170"/>
        <w:gridCol w:w="1170"/>
        <w:gridCol w:w="1170"/>
        <w:gridCol w:w="1170"/>
        <w:gridCol w:w="1170"/>
        <w:gridCol w:w="1170"/>
        <w:gridCol w:w="1170"/>
      </w:tblGrid>
      <w:tr>
        <w:tc>
          <w:tcPr>
            <w:tcW w:type="dxa" w:w="117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scenario</w:t>
            </w:r>
          </w:p>
        </w:tc>
        <w:tc>
          <w:tcPr>
            <w:tcW w:type="dxa" w:w="117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pd_multiplier</w:t>
            </w:r>
          </w:p>
        </w:tc>
        <w:tc>
          <w:tcPr>
            <w:tcW w:type="dxa" w:w="117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lgd_multiplier</w:t>
            </w:r>
          </w:p>
        </w:tc>
        <w:tc>
          <w:tcPr>
            <w:tcW w:type="dxa" w:w="117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ccf_multiplier</w:t>
            </w:r>
          </w:p>
        </w:tc>
        <w:tc>
          <w:tcPr>
            <w:tcW w:type="dxa" w:w="117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property_value_haircut</w:t>
            </w:r>
          </w:p>
        </w:tc>
        <w:tc>
          <w:tcPr>
            <w:tcW w:type="dxa" w:w="117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macro_path</w:t>
            </w:r>
          </w:p>
        </w:tc>
        <w:tc>
          <w:tcPr>
            <w:tcW w:type="dxa" w:w="117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notes</w:t>
            </w:r>
          </w:p>
        </w:tc>
        <w:tc>
          <w:tcPr>
            <w:tcW w:type="dxa" w:w="117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as_of_date</w:t>
            </w:r>
          </w:p>
        </w:tc>
      </w:tr>
      <w:tr>
        <w:tc>
          <w:tcPr>
            <w:tcW w:type="dxa" w:w="1170"/>
            <w:vAlign w:val="center"/>
          </w:tcPr>
          <w:p>
            <w:r/>
            <w:r>
              <w:rPr>
                <w:rFonts w:ascii="Arial" w:hAnsi="Arial"/>
                <w:sz w:val="20"/>
              </w:rPr>
              <w:t>base</w:t>
            </w:r>
          </w:p>
        </w:tc>
        <w:tc>
          <w:tcPr>
            <w:tcW w:type="dxa" w:w="1170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1170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1170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1170"/>
            <w:vAlign w:val="center"/>
          </w:tcPr>
          <w:p>
            <w:r/>
            <w:r>
              <w:rPr>
                <w:rFonts w:ascii="Arial" w:hAnsi="Arial"/>
                <w:sz w:val="20"/>
              </w:rPr>
              <w:t>0.0</w:t>
            </w:r>
          </w:p>
        </w:tc>
        <w:tc>
          <w:tcPr>
            <w:tcW w:type="dxa" w:w="1170"/>
            <w:vAlign w:val="center"/>
          </w:tcPr>
          <w:p>
            <w:r/>
            <w:r>
              <w:rPr>
                <w:rFonts w:ascii="Arial" w:hAnsi="Arial"/>
                <w:sz w:val="20"/>
              </w:rPr>
              <w:t>Current environment, no recession overlay: GDP growth around trend, unemployment broadly stable, house prices at latest observed levels.</w:t>
            </w:r>
          </w:p>
        </w:tc>
        <w:tc>
          <w:tcPr>
            <w:tcW w:type="dxa" w:w="1170"/>
            <w:vAlign w:val="center"/>
          </w:tcPr>
          <w:p>
            <w:r/>
            <w:r>
              <w:rPr>
                <w:rFonts w:ascii="Arial" w:hAnsi="Arial"/>
                <w:sz w:val="20"/>
              </w:rPr>
              <w:t>Current environment (base scenario). Anchored to a low / improving arrears backdrop (qualitative assumption from RBA FSR) and an average property-cycle softness score of 3.14 (real, ABS building approvals). No diversification benefit assumed (APG 113 para 92).</w:t>
            </w:r>
          </w:p>
        </w:tc>
        <w:tc>
          <w:tcPr>
            <w:tcW w:type="dxa" w:w="1170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2026-06-15</w:t>
            </w:r>
          </w:p>
        </w:tc>
      </w:tr>
      <w:tr>
        <w:tc>
          <w:tcPr>
            <w:tcW w:type="dxa" w:w="117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mild</w:t>
            </w:r>
          </w:p>
        </w:tc>
        <w:tc>
          <w:tcPr>
            <w:tcW w:type="dxa" w:w="117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1.2</w:t>
            </w:r>
          </w:p>
        </w:tc>
        <w:tc>
          <w:tcPr>
            <w:tcW w:type="dxa" w:w="117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1.1</w:t>
            </w:r>
          </w:p>
        </w:tc>
        <w:tc>
          <w:tcPr>
            <w:tcW w:type="dxa" w:w="117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1.05</w:t>
            </w:r>
          </w:p>
        </w:tc>
        <w:tc>
          <w:tcPr>
            <w:tcW w:type="dxa" w:w="117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0.05</w:t>
            </w:r>
          </w:p>
        </w:tc>
        <w:tc>
          <w:tcPr>
            <w:tcW w:type="dxa" w:w="117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Basel CRE36.51 mandatory minimum — two consecutive quarters of zero GDP growth; unemployment +~1.0-1.5pp; house prices ~-5 to -10%.</w:t>
            </w:r>
          </w:p>
        </w:tc>
        <w:tc>
          <w:tcPr>
            <w:tcW w:type="dxa" w:w="117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ASSUMPTION (scenario parameter) — mild recession = Basel CRE36.51 two-quarters-zero-growth minimum, for conservative portfolio calibration. No diversification benefit assumed (APG 113 para 92).</w:t>
            </w:r>
          </w:p>
        </w:tc>
        <w:tc>
          <w:tcPr>
            <w:tcW w:type="dxa" w:w="117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2026-06-15</w:t>
            </w:r>
          </w:p>
        </w:tc>
      </w:tr>
      <w:tr>
        <w:tc>
          <w:tcPr>
            <w:tcW w:type="dxa" w:w="1170"/>
            <w:vAlign w:val="center"/>
          </w:tcPr>
          <w:p>
            <w:r/>
            <w:r>
              <w:rPr>
                <w:rFonts w:ascii="Arial" w:hAnsi="Arial"/>
                <w:sz w:val="20"/>
              </w:rPr>
              <w:t>moderate</w:t>
            </w:r>
          </w:p>
        </w:tc>
        <w:tc>
          <w:tcPr>
            <w:tcW w:type="dxa" w:w="1170"/>
            <w:vAlign w:val="center"/>
          </w:tcPr>
          <w:p>
            <w:r/>
            <w:r>
              <w:rPr>
                <w:rFonts w:ascii="Arial" w:hAnsi="Arial"/>
                <w:sz w:val="20"/>
              </w:rPr>
              <w:t>1.5</w:t>
            </w:r>
          </w:p>
        </w:tc>
        <w:tc>
          <w:tcPr>
            <w:tcW w:type="dxa" w:w="1170"/>
            <w:vAlign w:val="center"/>
          </w:tcPr>
          <w:p>
            <w:r/>
            <w:r>
              <w:rPr>
                <w:rFonts w:ascii="Arial" w:hAnsi="Arial"/>
                <w:sz w:val="20"/>
              </w:rPr>
              <w:t>1.2</w:t>
            </w:r>
          </w:p>
        </w:tc>
        <w:tc>
          <w:tcPr>
            <w:tcW w:type="dxa" w:w="1170"/>
            <w:vAlign w:val="center"/>
          </w:tcPr>
          <w:p>
            <w:r/>
            <w:r>
              <w:rPr>
                <w:rFonts w:ascii="Arial" w:hAnsi="Arial"/>
                <w:sz w:val="20"/>
              </w:rPr>
              <w:t>1.1</w:t>
            </w:r>
          </w:p>
        </w:tc>
        <w:tc>
          <w:tcPr>
            <w:tcW w:type="dxa" w:w="1170"/>
            <w:vAlign w:val="center"/>
          </w:tcPr>
          <w:p>
            <w:r/>
            <w:r>
              <w:rPr>
                <w:rFonts w:ascii="Arial" w:hAnsi="Arial"/>
                <w:sz w:val="20"/>
              </w:rPr>
              <w:t>0.1</w:t>
            </w:r>
          </w:p>
        </w:tc>
        <w:tc>
          <w:tcPr>
            <w:tcW w:type="dxa" w:w="1170"/>
            <w:vAlign w:val="center"/>
          </w:tcPr>
          <w:p>
            <w:r/>
            <w:r>
              <w:rPr>
                <w:rFonts w:ascii="Arial" w:hAnsi="Arial"/>
                <w:sz w:val="20"/>
              </w:rPr>
              <w:t>Deeper recession: multi-quarter contraction; unemployment +~2-3pp; house prices ~-10 to -15%.</w:t>
            </w:r>
          </w:p>
        </w:tc>
        <w:tc>
          <w:tcPr>
            <w:tcW w:type="dxa" w:w="1170"/>
            <w:vAlign w:val="center"/>
          </w:tcPr>
          <w:p>
            <w:r/>
            <w:r>
              <w:rPr>
                <w:rFonts w:ascii="Arial" w:hAnsi="Arial"/>
                <w:sz w:val="20"/>
              </w:rPr>
              <w:t>ASSUMPTION (scenario parameter) — illustrative moderate downturn for stressed pricing and EL scenario analysis. No diversification benefit assumed (APG 113 para 92).</w:t>
            </w:r>
          </w:p>
        </w:tc>
        <w:tc>
          <w:tcPr>
            <w:tcW w:type="dxa" w:w="1170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2026-06-15</w:t>
            </w:r>
          </w:p>
        </w:tc>
      </w:tr>
      <w:tr>
        <w:tc>
          <w:tcPr>
            <w:tcW w:type="dxa" w:w="117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severe</w:t>
            </w:r>
          </w:p>
        </w:tc>
        <w:tc>
          <w:tcPr>
            <w:tcW w:type="dxa" w:w="117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2.0</w:t>
            </w:r>
          </w:p>
        </w:tc>
        <w:tc>
          <w:tcPr>
            <w:tcW w:type="dxa" w:w="117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1.3</w:t>
            </w:r>
          </w:p>
        </w:tc>
        <w:tc>
          <w:tcPr>
            <w:tcW w:type="dxa" w:w="117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1.2</w:t>
            </w:r>
          </w:p>
        </w:tc>
        <w:tc>
          <w:tcPr>
            <w:tcW w:type="dxa" w:w="117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0.2</w:t>
            </w:r>
          </w:p>
        </w:tc>
        <w:tc>
          <w:tcPr>
            <w:tcW w:type="dxa" w:w="117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GFC-like severe-but-plausible path: deep multi-quarter contraction; unemployment +~3-4pp; house prices ~-20 to -30%.</w:t>
            </w:r>
          </w:p>
        </w:tc>
        <w:tc>
          <w:tcPr>
            <w:tcW w:type="dxa" w:w="117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ASSUMPTION (scenario parameter) — illustrative severe downturn; not a calibrated regulatory stress parameter. No diversification benefit assumed (APG 113 para 92).</w:t>
            </w:r>
          </w:p>
        </w:tc>
        <w:tc>
          <w:tcPr>
            <w:tcW w:type="dxa" w:w="117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2026-06-15</w:t>
            </w:r>
          </w:p>
        </w:tc>
      </w:tr>
    </w:tbl>
    <w:p/>
    <w:p>
      <w:pPr>
        <w:spacing w:before="280" w:after="120"/>
      </w:pPr>
      <w:r>
        <w:rPr>
          <w:rFonts w:ascii="Arial" w:hAnsi="Arial"/>
          <w:b/>
          <w:color w:val="1F4E79"/>
          <w:sz w:val="32"/>
        </w:rPr>
        <w:t>3. Data Sources Inventory</w:t>
      </w:r>
    </w:p>
    <w:p>
      <w:r>
        <w:rPr>
          <w:rFonts w:ascii="Arial" w:hAnsi="Arial"/>
          <w:b w:val="0"/>
          <w:i w:val="0"/>
        </w:rPr>
        <w:t>Canonical registry for this project: src.config.PUBLIC_SOURCE_URLS plus scraper-produced RBA publication manifest keys.</w:t>
      </w:r>
    </w:p>
    <w:p>
      <w:r>
        <w:rPr>
          <w:rFonts w:ascii="Arial" w:hAnsi="Arial"/>
          <w:b w:val="0"/>
          <w:i/>
          <w:color w:val="7F7F7F"/>
          <w:sz w:val="20"/>
        </w:rPr>
        <w:t>Data Sources Inventory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1040"/>
        <w:gridCol w:w="1040"/>
        <w:gridCol w:w="1040"/>
        <w:gridCol w:w="1040"/>
        <w:gridCol w:w="1040"/>
        <w:gridCol w:w="1040"/>
        <w:gridCol w:w="1040"/>
        <w:gridCol w:w="1040"/>
        <w:gridCol w:w="1040"/>
      </w:tblGrid>
      <w:tr>
        <w:tc>
          <w:tcPr>
            <w:tcW w:type="dxa" w:w="104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Source key</w:t>
            </w:r>
          </w:p>
        </w:tc>
        <w:tc>
          <w:tcPr>
            <w:tcW w:type="dxa" w:w="104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Publisher / origin</w:t>
            </w:r>
          </w:p>
        </w:tc>
        <w:tc>
          <w:tcPr>
            <w:tcW w:type="dxa" w:w="104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URL or landing page</w:t>
            </w:r>
          </w:p>
        </w:tc>
        <w:tc>
          <w:tcPr>
            <w:tcW w:type="dxa" w:w="104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File type</w:t>
            </w:r>
          </w:p>
        </w:tc>
        <w:tc>
          <w:tcPr>
            <w:tcW w:type="dxa" w:w="104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Period or vintage</w:t>
            </w:r>
          </w:p>
        </w:tc>
        <w:tc>
          <w:tcPr>
            <w:tcW w:type="dxa" w:w="104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Retrieved / fetched timestamp</w:t>
            </w:r>
          </w:p>
        </w:tc>
        <w:tc>
          <w:tcPr>
            <w:tcW w:type="dxa" w:w="104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File size or row count</w:t>
            </w:r>
          </w:p>
        </w:tc>
        <w:tc>
          <w:tcPr>
            <w:tcW w:type="dxa" w:w="104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Status</w:t>
            </w:r>
          </w:p>
        </w:tc>
        <w:tc>
          <w:tcPr>
            <w:tcW w:type="dxa" w:w="104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Hash / version identifier</w:t>
            </w:r>
          </w:p>
        </w:tc>
      </w:tr>
      <w:tr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anzsic_classification_page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Australian Bureau of Statistics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https://www.abs.gov.au/statistics/classifications/australian-and-new-zealand-standard-industrial-classification-anzsic/latest-release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landing page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missing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anzsic_division_codes_page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Australian Bureau of Statistics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https://www.abs.gov.au/statistics/classifications/australian-and-new-zealand-standard-industrial-classification-anzsic/2006-revision-2-0/numbering-system-and-titles/division-codes-and-titles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landing page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missing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anzsic_division_subdivision_class_page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Australian Bureau of Statistics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https://www.abs.gov.au/statistics/classifications/australian-and-new-zealand-standard-industrial-classification-anzsic/2006-revision-2-0/numbering-system-and-titles/division-subdivision-group-and-class-codes-and-titles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landing page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missing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australian_industry_xlsx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Australian Bureau of Statistics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https://www.abs.gov.au/statistics/industry/industry-overview/australian-industry/2023-24/81550DO001_202324.xlsx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XLSX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2026-06-16T06:33:43+00:00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597090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manually staged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building_approvals_nonres_xlsx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Australian Bureau of Statistics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https://www.abs.gov.au/statistics/industry/building-and-construction/building-approvals-australia/mar-2026/87310051.xlsx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XLSX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2026-06-16T06:33:45+00:00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186263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manually staged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business_indicators_consumer_sales_xlsx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Australian Bureau of Statistics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https://www.abs.gov.au/statistics/economy/business-indicators/business-indicators-australia/mar-2026/56760024.xlsx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XLSX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missing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business_indicators_inventory_ratio_xlsx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Australian Bureau of Statistics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https://www.abs.gov.au/statistics/economy/business-indicators/business-indicators-australia/mar-2026/56760023.xlsx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XLSX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2026-06-16T06:33:44+00:00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51822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manually staged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business_indicators_profit_ratio_xlsx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Australian Bureau of Statistics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https://www.abs.gov.au/statistics/economy/business-indicators/business-indicators-australia/mar-2026/56760022.xlsx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XLSX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2026-06-16T06:33:43+00:00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56316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manually staged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cpi_all_groups_xlsx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Australian Bureau of Statistics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https://www.abs.gov.au/statistics/economy/price-indexes-and-inflation/consumer-price-index-australia/mar-2026/640101.xlsx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XLSX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2026-06-16T06:33:47+00:00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53065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manually staged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cpi_subgroups_xlsx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Australian Bureau of Statistics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https://www.abs.gov.au/statistics/economy/price-indexes-and-inflation/consumer-price-index-australia/dec-2025/640107.xlsx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XLSX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missing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dwelling_approvals_xlsx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Australian Bureau of Statistics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https://www.abs.gov.au/statistics/industry/building-and-construction/building-approvals-australia/feb-2026/875206.xlsx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XLSX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missing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dwelling_value_xlsx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Australian Bureau of Statistics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https://www.abs.gov.au/statistics/industry/building-and-construction/building-approvals-australia/feb-2026/875211.xlsx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XLSX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missing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labour_force_headline_xlsx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Australian Bureau of Statistics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https://www.abs.gov.au/statistics/labour/employment-and-unemployment/labour-force-australia/mar-2026/6202001.xlsx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XLSX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2026-06-16T06:33:47+00:00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766909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manually staged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labour_force_industry_xlsx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Australian Bureau of Statistics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https://www.abs.gov.au/statistics/labour/employment-and-unemployment/labour-force-australia-detailed/mar-2026/6291004.xlsx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XLSX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2026-06-16T06:33:45+00:00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160939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manually staged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lending_indicators_xlsx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Australian Bureau of Statistics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https://www.abs.gov.au/statistics/economy/finance/lending-indicators/feb-2026/560101.xlsx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XLSX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missing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national_accounts_gdp_xlsx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Australian Bureau of Statistics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https://www.abs.gov.au/statistics/economy/national-accounts/australian-national-accounts-national-income-expenditure-and-product/mar-2026/5206001_key_aggregates.xlsx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XLSX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2026-06-16T06:33:46+00:00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267687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manually staged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ppi_construction_xlsx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Australian Bureau of Statistics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https://www.abs.gov.au/statistics/economy/price-indexes-and-inflation/producer-price-indexes-australia/dec-2025/642713.xlsx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XLSX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missing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ppi_manufacturing_xlsx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Australian Bureau of Statistics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https://www.abs.gov.au/statistics/economy/price-indexes-and-inflation/producer-price-indexes-australia/dec-2025/642712.xlsx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XLSX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missing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property_price_capitals_xlsx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Australian Bureau of Statistics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https://www.abs.gov.au/statistics/economy/price-indexes-and-inflation/residential-property-price-indexes-eight-capital-cities/dec-2025/641602.xlsx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XLSX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missing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property_price_index_xlsx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Australian Bureau of Statistics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https://www.abs.gov.au/statistics/economy/price-indexes-and-inflation/residential-property-price-indexes-eight-capital-cities/dec-2025/641601.xlsx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XLSX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missing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ptrs_cycle_8_pdf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Payment Times Reporting Scheme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https://paymenttimes.gov.au/sites/ptrs.gov.au/files/2025-07/reg-update-july-2025.pdf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PDF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2026-06-16T06:33:48+00:00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2055606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manually staged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ptrs_cycle_9_pdf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Payment Times Reporting Scheme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https://paymenttimes.gov.au/sites/ptrs.gov.au/files/2026-01/regulators-update-202601.pdf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PDF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2026-06-16T06:33:49+00:00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3629142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manually staged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ptrs_guidance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Payment Times Reporting Scheme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https://paymenttimes.gov.au/sites/ptrs.gov.au/files/regulatory-resource/ptrs-guidance-materials-march2025.pdf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PDF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2026-06-16T06:33:49+00:00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947450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manually staged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rba_cash_rate_csv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Reserve Bank of Australia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https://www.rba.gov.au/statistics/tables/csv/f1-data.csv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CSV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2026-06-16T06:33:46+00:00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302215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manually staged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rba_chart_pack_page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Reserve Bank of Australia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https://www.rba.gov.au/chart-pack/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landing page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missing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rba_chart_pack_pdf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Reserve Bank of Australia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https://www.rba.gov.au/chart-pack/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PDF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March 2026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2026-04-28T08:01:43+00:00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5434746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auto-downloaded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66945f0e420217b86069e72880c20b4670f17a2ff52e6e0de9c9d13a174364d9</w:t>
            </w:r>
          </w:p>
        </w:tc>
      </w:tr>
      <w:tr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rba_fsr_page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Reserve Bank of Australia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https://www.rba.gov.au/publications/fsr/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landing page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missing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rba_fsr_pdf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Reserve Bank of Australia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https://www.rba.gov.au/publications/fsr/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PDF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March 2026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2026-04-28T08:01:42+00:00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3272062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auto-downloaded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342ec105f1c623e507ef4e8434ade6f0788ef58ed26b2accaa8ec7df04acc13e</w:t>
            </w:r>
          </w:p>
        </w:tc>
      </w:tr>
      <w:tr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rba_smp_page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Reserve Bank of Australia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https://www.rba.gov.au/publications/smp/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landing page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missing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rba_smp_pdf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Reserve Bank of Australia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https://www.rba.gov.au/publications/smp/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PDF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February 2026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2026-04-28T08:01:42+00:00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4201271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auto-downloaded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db42f94329b6c229844fb8da8cbc4308d707af57b3d5ba90d0aaa9bd7e21ca89</w:t>
            </w:r>
          </w:p>
        </w:tc>
      </w:tr>
      <w:tr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rba_table_e2_xls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Reserve Bank of Australia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https://www.rba.gov.au/statistics/tables/xls/e02hist.xls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XLS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missing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total_value_dwellings_xlsx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Australian Bureau of Statistics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https://www.abs.gov.au/statistics/economy/finance/total-value-dwellings/dec-2025/643201.xlsx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XLSX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missing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wpi_xlsx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Australian Bureau of Statistics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https://www.abs.gov.au/statistics/economy/price-indexes-and-inflation/wage-price-index-australia/mar-2026/634501.xlsx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XLSX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2026-06-16T06:33:47+00:00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66256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manually staged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</w:tbl>
    <w:p/>
    <w:p>
      <w:pPr>
        <w:spacing w:before="280" w:after="120"/>
      </w:pPr>
      <w:r>
        <w:rPr>
          <w:rFonts w:ascii="Arial" w:hAnsi="Arial"/>
          <w:b/>
          <w:color w:val="1F4E79"/>
          <w:sz w:val="32"/>
        </w:rPr>
        <w:t>4. Transformations Applied</w:t>
      </w:r>
    </w:p>
    <w:p>
      <w:r>
        <w:rPr>
          <w:rFonts w:ascii="Arial" w:hAnsi="Arial"/>
          <w:b w:val="0"/>
          <w:i w:val="0"/>
        </w:rPr>
        <w:t>Validation status is derived from export presence and non-empty row count; schema-level tests remain in the pytest suite.</w:t>
      </w:r>
    </w:p>
    <w:p>
      <w:r>
        <w:rPr>
          <w:rFonts w:ascii="Arial" w:hAnsi="Arial"/>
          <w:b w:val="0"/>
          <w:i/>
          <w:color w:val="7F7F7F"/>
          <w:sz w:val="20"/>
        </w:rPr>
        <w:t>Transformations Applied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Output filename</w:t>
            </w:r>
          </w:p>
        </w:tc>
        <w:tc>
          <w:tcPr>
            <w:tcW w:type="dxa" w:w="156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Input source(s)</w:t>
            </w:r>
          </w:p>
        </w:tc>
        <w:tc>
          <w:tcPr>
            <w:tcW w:type="dxa" w:w="156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Transformation script</w:t>
            </w:r>
          </w:p>
        </w:tc>
        <w:tc>
          <w:tcPr>
            <w:tcW w:type="dxa" w:w="156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Row count of output</w:t>
            </w:r>
          </w:p>
        </w:tc>
        <w:tc>
          <w:tcPr>
            <w:tcW w:type="dxa" w:w="156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Last build timestamp</w:t>
            </w:r>
          </w:p>
        </w:tc>
        <w:tc>
          <w:tcPr>
            <w:tcW w:type="dxa" w:w="156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Validation status</w:t>
            </w:r>
          </w:p>
        </w:tc>
      </w:tr>
      <w:tr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industry_risk_scores.csv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australian_industry_xlsx; business_indicators_profit_ratio_xlsx; labour_force_industry_xlsx; rba_cash_rate_csv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src/overlays/build_industry_risk_scores.py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18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2026-06-16T16:33:52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PASS: present_nonempty</w:t>
            </w:r>
          </w:p>
        </w:tc>
      </w:tr>
      <w:tr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property_market_overlays.csv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building_approvals_nonres_xlsx; property_cycle_panel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src/overlays/build_property_market_overlays.py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5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2026-06-16T16:33:52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PASS: present_nonempty</w:t>
            </w:r>
          </w:p>
        </w:tc>
      </w:tr>
      <w:tr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downturn_overlay_table.csv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property_cycle_panel; scenario multipliers (assumption); qualitative arrears baseline (assumption, RBA FSR Mar-2026)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src/overlays/build_downturn_overlay_tables.py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4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2026-06-16T16:33:52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PASS: present_nonempty</w:t>
            </w:r>
          </w:p>
        </w:tc>
      </w:tr>
      <w:tr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macro_regime_flags.csv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rba_cash_rate_csv; qualitative arrears baseline (assumption, RBA FSR Mar-2026)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src/panels/build_macro_regime_flags.py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2026-06-16T16:33:52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PASS: present_nonempty</w:t>
            </w:r>
          </w:p>
        </w:tc>
      </w:tr>
      <w:tr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industry_financial_benchmarks.csv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australian_industry_xlsx; business_indicators_profit_ratio_xlsx; business_indicators_inventory_ratio_xlsx; labour_force_industry_xlsx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src/panels/build_industry_financial_benchmarks.py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18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2026-06-16T16:33:52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PASS: present_nonempty</w:t>
            </w:r>
          </w:p>
        </w:tc>
      </w:tr>
      <w:tr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business_cycle_panel.csv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australian_industry_xlsx; business_indicators_profit_ratio_xlsx; business_indicators_inventory_ratio_xlsx; business_indicators_consumer_sales_xlsx; labour_force_industry_xlsx; rba_cash_rate_csv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src/panels/build_business_cycle_panel.py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18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2026-06-16T16:33:52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PASS: present_nonempty</w:t>
            </w:r>
          </w:p>
        </w:tc>
      </w:tr>
      <w:tr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property_cycle_panel.csv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building_approvals_nonres_xlsx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src/panels/build_property_cycle_panel.py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11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2026-06-16T16:33:52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PASS: present_nonempty</w:t>
            </w:r>
          </w:p>
        </w:tc>
      </w:tr>
      <w:tr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property_market_overlays_by_building_type.csv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building_approvals_nonres_xlsx; property_cycle_panel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src/overlays/build_property_market_overlays.py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11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2026-06-16T16:33:52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PASS: present_nonempty</w:t>
            </w:r>
          </w:p>
        </w:tc>
      </w:tr>
    </w:tbl>
    <w:p/>
    <w:p>
      <w:pPr>
        <w:spacing w:before="280" w:after="120"/>
      </w:pPr>
      <w:r>
        <w:rPr>
          <w:rFonts w:ascii="Arial" w:hAnsi="Arial"/>
          <w:b/>
          <w:color w:val="1F4E79"/>
          <w:sz w:val="32"/>
        </w:rPr>
        <w:t>5. Detailed Analysis</w:t>
      </w:r>
    </w:p>
    <w:p>
      <w:r>
        <w:rPr>
          <w:rFonts w:ascii="Arial" w:hAnsi="Arial"/>
          <w:b w:val="0"/>
          <w:i w:val="0"/>
        </w:rPr>
        <w:t>Wide exports are column-compacted for readability but keep every source row in the report table.</w:t>
      </w:r>
    </w:p>
    <w:p>
      <w:r>
        <w:rPr>
          <w:rFonts w:ascii="Arial" w:hAnsi="Arial"/>
          <w:b w:val="0"/>
          <w:i/>
          <w:color w:val="7F7F7F"/>
          <w:sz w:val="20"/>
        </w:rPr>
        <w:t>Canonical CSV exports: contents and downstream layers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CSV export</w:t>
            </w:r>
          </w:p>
        </w:tc>
        <w:tc>
          <w:tcPr>
            <w:tcW w:type="dxa" w:w="1872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Contract role</w:t>
            </w:r>
          </w:p>
        </w:tc>
        <w:tc>
          <w:tcPr>
            <w:tcW w:type="dxa" w:w="1872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Join grain</w:t>
            </w:r>
          </w:p>
        </w:tc>
        <w:tc>
          <w:tcPr>
            <w:tcW w:type="dxa" w:w="1872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What it includes</w:t>
            </w:r>
          </w:p>
        </w:tc>
        <w:tc>
          <w:tcPr>
            <w:tcW w:type="dxa" w:w="1872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Downstream layers</w:t>
            </w:r>
          </w:p>
        </w:tc>
      </w:tr>
      <w:tr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industry_risk_scores.csv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Core downstream contract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Industry snapshot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Compact industry overlay: classification score, macro score, base risk score/level, and shared cash-rate backdrop fields.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PD overlays / scorecards; EL and pricing overlays; External sector benchmarks; Board reporting</w:t>
            </w:r>
          </w:p>
        </w:tc>
      </w:tr>
      <w:tr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property_market_overlays.csv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Core downstream contract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Property segment snapshot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Compact property overlay: cycle stage, softness score/band, region risk, approvals change, and approvals-proxy activity signals.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LGD and collateral overlays; Property-backed PD context; Pricing and policy overlays; Board reporting</w:t>
            </w:r>
          </w:p>
        </w:tc>
      </w:tr>
      <w:tr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downturn_overlay_table.csv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Core downstream contract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Scenario table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Scenario multipliers for PD, LGD, and CCF plus property haircuts, a per-scenario macro-path note (mild = Basel CRE36.51), and scenario notes (incl. the no-diversification assumption).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PD scenario layer; LGD scenario layer; CCF / EAD scenario layer; Stress testing and pricing what-if views</w:t>
            </w:r>
          </w:p>
        </w:tc>
      </w:tr>
      <w:tr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macro_regime_flags.csv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Core downstream contract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Single as-of-date regime row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Environment selector: cash-rate regime, arrears level/trend, macro regime flag, and source dataset.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PD regime conditioning; LGD / EL regime conditioning; Scenario-row selection; Portfolio and board reporting</w:t>
            </w:r>
          </w:p>
        </w:tc>
      </w:tr>
      <w:tr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industry_financial_benchmarks.csv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Core downstream contract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ANZSIC-division snapshot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Per-ANZSIC-division medians of the financial ratios APG 220 paragraph 64 calls out as standard credit-assessment benchmarks: EBITDA margin, gross operating profit-to-sales, wages-to-sales, inventory days, sales growth, employment growth, inventory-to-sales, and sales per employee.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Origination scorecard industry-relative ratios; PD model industry-comparison features; ECL borrower-vs-industry signals; External sector benchmarks</w:t>
            </w:r>
          </w:p>
        </w:tc>
      </w:tr>
      <w:tr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business_cycle_panel.csv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Optional explainability panel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Industry diagnostics panel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Wide industry diagnostics: structural factors, public benchmark metrics, macro factor scores, demand proxies, inventory flags, and explainability fields behind the industry overlay.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PD explainability; External benchmark diagnostics; Challenger overlay analysis; Technical report detail</w:t>
            </w:r>
          </w:p>
        </w:tc>
      </w:tr>
      <w:tr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property_cycle_panel.csv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Optional explainability panel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Property segment-by-region diagnostics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Wide property diagnostics: approvals trend, cycle stage, softness band, region risk, as-of-date, and per-row source/proxy notes.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LGD explainability; Collateral benchmark diagnostics; Property stress interpretation; Technical report detail</w:t>
            </w:r>
          </w:p>
        </w:tc>
      </w:tr>
      <w:tr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property_market_overlays_by_building_type.csv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Optional explainability panel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Per-building-type non-residential detail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One row per ABS non-residential building-approval category — the pre-aggregation input to the five-row property_market_overlays contract. Shows each category's softness, region risk, approvals change, and the property_segment_code it rolls up into.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Property overlay explainability; Reviewer drilldown into CRE / IND / RET / CON aggregation; Technical report detail</w:t>
            </w:r>
          </w:p>
        </w:tc>
      </w:tr>
    </w:tbl>
    <w:p/>
    <w:p>
      <w:r>
        <w:rPr>
          <w:rFonts w:ascii="Arial" w:hAnsi="Arial"/>
          <w:b w:val="0"/>
          <w:i/>
          <w:color w:val="7F7F7F"/>
          <w:sz w:val="20"/>
        </w:rPr>
        <w:t>Full detail rows from industry_risk_scores.csv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36"/>
        <w:gridCol w:w="936"/>
        <w:gridCol w:w="936"/>
        <w:gridCol w:w="936"/>
        <w:gridCol w:w="936"/>
        <w:gridCol w:w="936"/>
        <w:gridCol w:w="936"/>
        <w:gridCol w:w="936"/>
        <w:gridCol w:w="936"/>
        <w:gridCol w:w="936"/>
      </w:tblGrid>
      <w:tr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as_of_date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anzsic_division_code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industry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classification_risk_score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macro_risk_score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industry_base_risk_score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industry_base_risk_level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pd_multiplier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cash_rate_latest_pct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cash_rate_change_1y_pctpts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A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Agriculture, Forestry and Fishing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4.12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4.2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4.16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Elevated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1.15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4.35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0.5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B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Mining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3.88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3.2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3.57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Elevated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1.15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4.35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0.5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C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Manufacturing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3.4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3.46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Elevated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1.15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4.35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0.5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G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Retail Trade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3.25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3.4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3.32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Elevated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1.15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4.35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0.5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F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Wholesale Trade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3.12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3.4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3.25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Elevated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1.15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4.35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0.5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E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Construction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2.75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3.2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2.95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Moderate-high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1.1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4.35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0.5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R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Arts and Recreation Services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2.38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2.93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Moderate-high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1.1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4.35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0.5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H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Accommodation and Food Services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2.75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2.6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2.68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4.35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0.5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O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Public Administration and Safety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1.62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2.51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4.35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0.5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Education and Training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1.75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3.4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2.49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4.35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0.5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L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Rental, Hiring and Real Estate Services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2.38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2.48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4.35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0.5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I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Transport, Postal and Warehousing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2.4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2.46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4.35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0.5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N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Administrative and Support Services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2.12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2.8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2.43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4.35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0.5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J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Information Media and Telecommunications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2.12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2.6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2.34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4.35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0.5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Other Services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2.38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2.2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2.3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4.35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0.5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D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Electricity, Gas, Water and Waste Services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2.25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2.0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2.14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4.35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0.5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Q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Health Care and Social Assistance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1.5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2.8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2.08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4.35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0.5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Professional, Scientific and Technical Services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1.75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2.0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1.86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Moderate-low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0.95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4.35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0.5</w:t>
            </w:r>
          </w:p>
        </w:tc>
      </w:tr>
    </w:tbl>
    <w:p/>
    <w:p>
      <w:r>
        <w:rPr>
          <w:rFonts w:ascii="Arial" w:hAnsi="Arial"/>
          <w:b w:val="0"/>
          <w:i/>
          <w:color w:val="7F7F7F"/>
          <w:sz w:val="20"/>
        </w:rPr>
        <w:t>Full detail rows from property_market_overlays.csv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36"/>
        <w:gridCol w:w="936"/>
        <w:gridCol w:w="936"/>
        <w:gridCol w:w="936"/>
        <w:gridCol w:w="936"/>
        <w:gridCol w:w="936"/>
        <w:gridCol w:w="936"/>
        <w:gridCol w:w="936"/>
        <w:gridCol w:w="936"/>
        <w:gridCol w:w="936"/>
      </w:tblGrid>
      <w:tr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as_of_date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property_segment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property_segment_code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pd_multiplier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market_softness_score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region_risk_score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cycle_stage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source_note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market_softness_band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market_softness_level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Residential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RES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3.28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neutral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Residential placeholder — ABS Cat. 8752.0 residential dwelling-approvals file not yet staged; RES row uses a neutral composite pending that upgrade.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normal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Commercial (office, health, education, accommodation)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CRE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1.15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3.29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3.44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slowing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Aggregated from ABS Cat. 8731.0 non-residential building approvals. Exposure-weighted (12-month mean approval $ per building type). Constituent ABS categories: Aged care facilities, Education buildings, Health buildings, Offices, Short term accommodation buildings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softening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Elevated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Industrial / Warehouse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IND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0.95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1.85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2.17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growth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Aggregated from ABS Cat. 8731.0 non-residential building approvals. Exposure-weighted (12-month mean approval $ per building type). Constituent ABS categories: Agricultural and aquacultural buildings, Warehouses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supportive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Moderate-low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Retail Property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RET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1.15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3.4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3.39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slowing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Aggregated from ABS Cat. 8731.0 non-residential building approvals. Exposure-weighted (12-month mean approval $ per building type). Constituent ABS categories: Retail and wholesale trade buildings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softening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Elevated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Construction (non-residential development)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CON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1.1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3.02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3.18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slowing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Aggregated from ABS Cat. 8731.0 non-residential building approvals. Exposure-weighted (12-month mean approval $ per building type). Constituent ABS categories: Aged care facilities, Agricultural and aquacultural buildings, Education buildings, Health buildings, Offices, Retail and wholesale trade buildings, Short term accommodation buildings, Warehouses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softening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Moderate-high</w:t>
            </w:r>
          </w:p>
        </w:tc>
      </w:tr>
    </w:tbl>
    <w:p/>
    <w:p>
      <w:r>
        <w:rPr>
          <w:rFonts w:ascii="Arial" w:hAnsi="Arial"/>
          <w:b w:val="0"/>
          <w:i/>
          <w:color w:val="7F7F7F"/>
          <w:sz w:val="20"/>
        </w:rPr>
        <w:t>Full detail rows from downturn_overlay_table.csv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1170"/>
        <w:gridCol w:w="1170"/>
        <w:gridCol w:w="1170"/>
        <w:gridCol w:w="1170"/>
        <w:gridCol w:w="1170"/>
        <w:gridCol w:w="1170"/>
        <w:gridCol w:w="1170"/>
        <w:gridCol w:w="1170"/>
      </w:tblGrid>
      <w:tr>
        <w:tc>
          <w:tcPr>
            <w:tcW w:type="dxa" w:w="117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as_of_date</w:t>
            </w:r>
          </w:p>
        </w:tc>
        <w:tc>
          <w:tcPr>
            <w:tcW w:type="dxa" w:w="117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scenario</w:t>
            </w:r>
          </w:p>
        </w:tc>
        <w:tc>
          <w:tcPr>
            <w:tcW w:type="dxa" w:w="117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pd_multiplier</w:t>
            </w:r>
          </w:p>
        </w:tc>
        <w:tc>
          <w:tcPr>
            <w:tcW w:type="dxa" w:w="117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lgd_multiplier</w:t>
            </w:r>
          </w:p>
        </w:tc>
        <w:tc>
          <w:tcPr>
            <w:tcW w:type="dxa" w:w="117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ccf_multiplier</w:t>
            </w:r>
          </w:p>
        </w:tc>
        <w:tc>
          <w:tcPr>
            <w:tcW w:type="dxa" w:w="117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property_value_haircut</w:t>
            </w:r>
          </w:p>
        </w:tc>
        <w:tc>
          <w:tcPr>
            <w:tcW w:type="dxa" w:w="117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macro_path</w:t>
            </w:r>
          </w:p>
        </w:tc>
        <w:tc>
          <w:tcPr>
            <w:tcW w:type="dxa" w:w="117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notes</w:t>
            </w:r>
          </w:p>
        </w:tc>
      </w:tr>
      <w:tr>
        <w:tc>
          <w:tcPr>
            <w:tcW w:type="dxa" w:w="1170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2026-06-15</w:t>
            </w:r>
          </w:p>
        </w:tc>
        <w:tc>
          <w:tcPr>
            <w:tcW w:type="dxa" w:w="1170"/>
            <w:vAlign w:val="center"/>
          </w:tcPr>
          <w:p>
            <w:r/>
            <w:r>
              <w:rPr>
                <w:rFonts w:ascii="Arial" w:hAnsi="Arial"/>
                <w:sz w:val="20"/>
              </w:rPr>
              <w:t>base</w:t>
            </w:r>
          </w:p>
        </w:tc>
        <w:tc>
          <w:tcPr>
            <w:tcW w:type="dxa" w:w="1170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1170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1170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1170"/>
            <w:vAlign w:val="center"/>
          </w:tcPr>
          <w:p>
            <w:r/>
            <w:r>
              <w:rPr>
                <w:rFonts w:ascii="Arial" w:hAnsi="Arial"/>
                <w:sz w:val="20"/>
              </w:rPr>
              <w:t>0.0</w:t>
            </w:r>
          </w:p>
        </w:tc>
        <w:tc>
          <w:tcPr>
            <w:tcW w:type="dxa" w:w="1170"/>
            <w:vAlign w:val="center"/>
          </w:tcPr>
          <w:p>
            <w:r/>
            <w:r>
              <w:rPr>
                <w:rFonts w:ascii="Arial" w:hAnsi="Arial"/>
                <w:sz w:val="20"/>
              </w:rPr>
              <w:t>Current environment, no recession overlay: GDP growth around trend, unemployment broadly stable, house prices at latest observed levels.</w:t>
            </w:r>
          </w:p>
        </w:tc>
        <w:tc>
          <w:tcPr>
            <w:tcW w:type="dxa" w:w="1170"/>
            <w:vAlign w:val="center"/>
          </w:tcPr>
          <w:p>
            <w:r/>
            <w:r>
              <w:rPr>
                <w:rFonts w:ascii="Arial" w:hAnsi="Arial"/>
                <w:sz w:val="20"/>
              </w:rPr>
              <w:t>Current environment (base scenario). Anchored to a low / improving arrears backdrop (qualitative assumption from RBA FSR) and an average property-cycle softness score of 3.14 (real, ABS building approvals). No diversification benefit assumed (APG 113 para 92).</w:t>
            </w:r>
          </w:p>
        </w:tc>
      </w:tr>
      <w:tr>
        <w:tc>
          <w:tcPr>
            <w:tcW w:type="dxa" w:w="117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2026-06-15</w:t>
            </w:r>
          </w:p>
        </w:tc>
        <w:tc>
          <w:tcPr>
            <w:tcW w:type="dxa" w:w="117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mild</w:t>
            </w:r>
          </w:p>
        </w:tc>
        <w:tc>
          <w:tcPr>
            <w:tcW w:type="dxa" w:w="117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1.2</w:t>
            </w:r>
          </w:p>
        </w:tc>
        <w:tc>
          <w:tcPr>
            <w:tcW w:type="dxa" w:w="117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1.1</w:t>
            </w:r>
          </w:p>
        </w:tc>
        <w:tc>
          <w:tcPr>
            <w:tcW w:type="dxa" w:w="117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1.05</w:t>
            </w:r>
          </w:p>
        </w:tc>
        <w:tc>
          <w:tcPr>
            <w:tcW w:type="dxa" w:w="117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0.05</w:t>
            </w:r>
          </w:p>
        </w:tc>
        <w:tc>
          <w:tcPr>
            <w:tcW w:type="dxa" w:w="117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Basel CRE36.51 mandatory minimum — two consecutive quarters of zero GDP growth; unemployment +~1.0-1.5pp; house prices ~-5 to -10%.</w:t>
            </w:r>
          </w:p>
        </w:tc>
        <w:tc>
          <w:tcPr>
            <w:tcW w:type="dxa" w:w="117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ASSUMPTION (scenario parameter) — mild recession = Basel CRE36.51 two-quarters-zero-growth minimum, for conservative portfolio calibration. No diversification benefit assumed (APG 113 para 92).</w:t>
            </w:r>
          </w:p>
        </w:tc>
      </w:tr>
      <w:tr>
        <w:tc>
          <w:tcPr>
            <w:tcW w:type="dxa" w:w="1170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2026-06-15</w:t>
            </w:r>
          </w:p>
        </w:tc>
        <w:tc>
          <w:tcPr>
            <w:tcW w:type="dxa" w:w="1170"/>
            <w:vAlign w:val="center"/>
          </w:tcPr>
          <w:p>
            <w:r/>
            <w:r>
              <w:rPr>
                <w:rFonts w:ascii="Arial" w:hAnsi="Arial"/>
                <w:sz w:val="20"/>
              </w:rPr>
              <w:t>moderate</w:t>
            </w:r>
          </w:p>
        </w:tc>
        <w:tc>
          <w:tcPr>
            <w:tcW w:type="dxa" w:w="1170"/>
            <w:vAlign w:val="center"/>
          </w:tcPr>
          <w:p>
            <w:r/>
            <w:r>
              <w:rPr>
                <w:rFonts w:ascii="Arial" w:hAnsi="Arial"/>
                <w:sz w:val="20"/>
              </w:rPr>
              <w:t>1.5</w:t>
            </w:r>
          </w:p>
        </w:tc>
        <w:tc>
          <w:tcPr>
            <w:tcW w:type="dxa" w:w="1170"/>
            <w:vAlign w:val="center"/>
          </w:tcPr>
          <w:p>
            <w:r/>
            <w:r>
              <w:rPr>
                <w:rFonts w:ascii="Arial" w:hAnsi="Arial"/>
                <w:sz w:val="20"/>
              </w:rPr>
              <w:t>1.2</w:t>
            </w:r>
          </w:p>
        </w:tc>
        <w:tc>
          <w:tcPr>
            <w:tcW w:type="dxa" w:w="1170"/>
            <w:vAlign w:val="center"/>
          </w:tcPr>
          <w:p>
            <w:r/>
            <w:r>
              <w:rPr>
                <w:rFonts w:ascii="Arial" w:hAnsi="Arial"/>
                <w:sz w:val="20"/>
              </w:rPr>
              <w:t>1.1</w:t>
            </w:r>
          </w:p>
        </w:tc>
        <w:tc>
          <w:tcPr>
            <w:tcW w:type="dxa" w:w="1170"/>
            <w:vAlign w:val="center"/>
          </w:tcPr>
          <w:p>
            <w:r/>
            <w:r>
              <w:rPr>
                <w:rFonts w:ascii="Arial" w:hAnsi="Arial"/>
                <w:sz w:val="20"/>
              </w:rPr>
              <w:t>0.1</w:t>
            </w:r>
          </w:p>
        </w:tc>
        <w:tc>
          <w:tcPr>
            <w:tcW w:type="dxa" w:w="1170"/>
            <w:vAlign w:val="center"/>
          </w:tcPr>
          <w:p>
            <w:r/>
            <w:r>
              <w:rPr>
                <w:rFonts w:ascii="Arial" w:hAnsi="Arial"/>
                <w:sz w:val="20"/>
              </w:rPr>
              <w:t>Deeper recession: multi-quarter contraction; unemployment +~2-3pp; house prices ~-10 to -15%.</w:t>
            </w:r>
          </w:p>
        </w:tc>
        <w:tc>
          <w:tcPr>
            <w:tcW w:type="dxa" w:w="1170"/>
            <w:vAlign w:val="center"/>
          </w:tcPr>
          <w:p>
            <w:r/>
            <w:r>
              <w:rPr>
                <w:rFonts w:ascii="Arial" w:hAnsi="Arial"/>
                <w:sz w:val="20"/>
              </w:rPr>
              <w:t>ASSUMPTION (scenario parameter) — illustrative moderate downturn for stressed pricing and EL scenario analysis. No diversification benefit assumed (APG 113 para 92).</w:t>
            </w:r>
          </w:p>
        </w:tc>
      </w:tr>
      <w:tr>
        <w:tc>
          <w:tcPr>
            <w:tcW w:type="dxa" w:w="117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2026-06-15</w:t>
            </w:r>
          </w:p>
        </w:tc>
        <w:tc>
          <w:tcPr>
            <w:tcW w:type="dxa" w:w="117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severe</w:t>
            </w:r>
          </w:p>
        </w:tc>
        <w:tc>
          <w:tcPr>
            <w:tcW w:type="dxa" w:w="117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2.0</w:t>
            </w:r>
          </w:p>
        </w:tc>
        <w:tc>
          <w:tcPr>
            <w:tcW w:type="dxa" w:w="117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1.3</w:t>
            </w:r>
          </w:p>
        </w:tc>
        <w:tc>
          <w:tcPr>
            <w:tcW w:type="dxa" w:w="117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1.2</w:t>
            </w:r>
          </w:p>
        </w:tc>
        <w:tc>
          <w:tcPr>
            <w:tcW w:type="dxa" w:w="117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0.2</w:t>
            </w:r>
          </w:p>
        </w:tc>
        <w:tc>
          <w:tcPr>
            <w:tcW w:type="dxa" w:w="117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GFC-like severe-but-plausible path: deep multi-quarter contraction; unemployment +~3-4pp; house prices ~-20 to -30%.</w:t>
            </w:r>
          </w:p>
        </w:tc>
        <w:tc>
          <w:tcPr>
            <w:tcW w:type="dxa" w:w="117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ASSUMPTION (scenario parameter) — illustrative severe downturn; not a calibrated regulatory stress parameter. No diversification benefit assumed (APG 113 para 92).</w:t>
            </w:r>
          </w:p>
        </w:tc>
      </w:tr>
    </w:tbl>
    <w:p/>
    <w:p>
      <w:r>
        <w:rPr>
          <w:rFonts w:ascii="Arial" w:hAnsi="Arial"/>
          <w:b w:val="0"/>
          <w:i/>
          <w:color w:val="7F7F7F"/>
          <w:sz w:val="20"/>
        </w:rPr>
        <w:t>Full detail rows from macro_regime_flags.csv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as_of_date</w:t>
            </w:r>
          </w:p>
        </w:tc>
        <w:tc>
          <w:tcPr>
            <w:tcW w:type="dxa" w:w="156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cash_rate_regime</w:t>
            </w:r>
          </w:p>
        </w:tc>
        <w:tc>
          <w:tcPr>
            <w:tcW w:type="dxa" w:w="156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arrears_environment_level</w:t>
            </w:r>
          </w:p>
        </w:tc>
        <w:tc>
          <w:tcPr>
            <w:tcW w:type="dxa" w:w="156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arrears_trend</w:t>
            </w:r>
          </w:p>
        </w:tc>
        <w:tc>
          <w:tcPr>
            <w:tcW w:type="dxa" w:w="156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macro_regime_flag</w:t>
            </w:r>
          </w:p>
        </w:tc>
        <w:tc>
          <w:tcPr>
            <w:tcW w:type="dxa" w:w="156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source_dataset</w:t>
            </w:r>
          </w:p>
        </w:tc>
      </w:tr>
      <w:tr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2026-06-15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restrictive_rising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Low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Improving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base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RBA F1 cash-rate table (real) + qualitative arrears baseline (assumption, RBA FSR Mar-2026)</w:t>
            </w:r>
          </w:p>
        </w:tc>
      </w:tr>
    </w:tbl>
    <w:p/>
    <w:p>
      <w:r>
        <w:rPr>
          <w:rFonts w:ascii="Arial" w:hAnsi="Arial"/>
          <w:b w:val="0"/>
          <w:i/>
          <w:color w:val="7F7F7F"/>
          <w:sz w:val="20"/>
        </w:rPr>
        <w:t>Full detail rows from industry_financial_benchmarks.csv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36"/>
        <w:gridCol w:w="936"/>
        <w:gridCol w:w="936"/>
        <w:gridCol w:w="936"/>
        <w:gridCol w:w="936"/>
        <w:gridCol w:w="936"/>
        <w:gridCol w:w="936"/>
        <w:gridCol w:w="936"/>
        <w:gridCol w:w="936"/>
        <w:gridCol w:w="936"/>
      </w:tblGrid>
      <w:tr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as_of_date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anzsic_division_code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industry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median_ebitda_margin_pct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source_note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median_gross_operating_profit_to_sales_ratio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median_wages_to_sales_pct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median_inventory_days_est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median_sales_growth_pct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median_employment_yoy_growth_pct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A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Agriculture, Forestry and Fishing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14.58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Derived from ABS Cat. 8155.0 Australian Industry, Cat. 5676.0 Business Indicators, Cat. 6291.0 Labour Force Detailed. Percentiles (p25/p75) not published in this version — internal portfolio data required for firm-level distribution. Sub-sector (subdivision/group) granularity not published in this version — division-level only.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9.75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35.1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-11.05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-5.11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B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Mining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47.33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Derived from ABS Cat. 8155.0 Australian Industry, Cat. 5676.0 Business Indicators, Cat. 6291.0 Labour Force Detailed. Percentiles (p25/p75) not published in this version — internal portfolio data required for firm-level distribution. Sub-sector (subdivision/group) granularity not published in this version — division-level only.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0.47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7.8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51.7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-6.26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-5.09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C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Manufacturing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9.15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Derived from ABS Cat. 8155.0 Australian Industry, Cat. 5676.0 Business Indicators, Cat. 6291.0 Labour Force Detailed. Percentiles (p25/p75) not published in this version — internal portfolio data required for firm-level distribution. Sub-sector (subdivision/group) granularity not published in this version — division-level only.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0.09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14.3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57.2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1.34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-0.93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D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Electricity, Gas, Water and Waste Services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20.95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Derived from ABS Cat. 8155.0 Australian Industry, Cat. 5676.0 Business Indicators, Cat. 6291.0 Labour Force Detailed. Percentiles (p25/p75) not published in this version — internal portfolio data required for firm-level distribution. Sub-sector (subdivision/group) granularity not published in this version — division-level only.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0.21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9.93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9.2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3.6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12.29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E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Construction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10.15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Derived from ABS Cat. 8155.0 Australian Industry, Cat. 5676.0 Business Indicators, Cat. 6291.0 Labour Force Detailed. Percentiles (p25/p75) not published in this version — internal portfolio data required for firm-level distribution. Sub-sector (subdivision/group) granularity not published in this version — division-level only.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0.08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15.04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22.0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10.54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1.47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F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Wholesale Trade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6.12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Derived from ABS Cat. 8155.0 Australian Industry, Cat. 5676.0 Business Indicators, Cat. 6291.0 Labour Force Detailed. Percentiles (p25/p75) not published in this version — internal portfolio data required for firm-level distribution. Sub-sector (subdivision/group) granularity not published in this version — division-level only.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0.06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6.77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48.5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2.54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-8.74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G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Retail Trade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7.8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Derived from ABS Cat. 8155.0 Australian Industry, Cat. 5676.0 Business Indicators, Cat. 6291.0 Labour Force Detailed. Percentiles (p25/p75) not published in this version — internal portfolio data required for firm-level distribution. Sub-sector (subdivision/group) granularity not published in this version — division-level only.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0.05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10.28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32.7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4.82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-0.46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H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Accommodation and Food Services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11.38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Derived from ABS Cat. 8155.0 Australian Industry, Cat. 5676.0 Business Indicators, Cat. 6291.0 Labour Force Detailed. Percentiles (p25/p75) not published in this version — internal portfolio data required for firm-level distribution. Sub-sector (subdivision/group) granularity not published in this version — division-level only.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0.08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25.54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6.0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8.6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0.72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I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Transport, Postal and Warehousing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17.72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Derived from ABS Cat. 8155.0 Australian Industry, Cat. 5676.0 Business Indicators, Cat. 6291.0 Labour Force Detailed. Percentiles (p25/p75) not published in this version — internal portfolio data required for firm-level distribution. Sub-sector (subdivision/group) granularity not published in this version — division-level only.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0.19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19.69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18.7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3.46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2.79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J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Information Media and Telecommunications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20.02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Derived from ABS Cat. 8155.0 Australian Industry, Cat. 5676.0 Business Indicators, Cat. 6291.0 Labour Force Detailed. Percentiles (p25/p75) not published in this version — internal portfolio data required for firm-level distribution. Sub-sector (subdivision/group) granularity not published in this version — division-level only.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0.2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20.01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8.0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5.95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-4.77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L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Rental, Hiring and Real Estate Services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40.88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Derived from ABS Cat. 8155.0 Australian Industry, Cat. 5676.0 Business Indicators, Cat. 6291.0 Labour Force Detailed. Percentiles (p25/p75) not published in this version — internal portfolio data required for firm-level distribution. Sub-sector (subdivision/group) granularity not published in this version — division-level only.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0.37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13.0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8.0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7.72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-15.06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Professional, Scientific and Technical Services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12.99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Derived from ABS Cat. 8155.0 Australian Industry, Cat. 5676.0 Business Indicators, Cat. 6291.0 Labour Force Detailed. Percentiles (p25/p75) not published in this version — internal portfolio data required for firm-level distribution. Sub-sector (subdivision/group) granularity not published in this version — division-level only.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0.13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35.33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6.0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8.68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5.5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N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Administrative and Support Services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9.27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Derived from ABS Cat. 8155.0 Australian Industry, Cat. 5676.0 Business Indicators, Cat. 6291.0 Labour Force Detailed. Percentiles (p25/p75) not published in this version — internal portfolio data required for firm-level distribution. Sub-sector (subdivision/group) granularity not published in this version — division-level only.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0.07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47.45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8.0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6.17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3.07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O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Public Administration and Safety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9.6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Derived from ABS Cat. 8155.0 Australian Industry, Cat. 5676.0 Business Indicators, Cat. 6291.0 Labour Force Detailed. Percentiles (p25/p75) not published in this version — internal portfolio data required for firm-level distribution. Sub-sector (subdivision/group) granularity not published in this version — division-level only.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42.36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8.0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11.69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-1.17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P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Education and Training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11.73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Derived from ABS Cat. 8155.0 Australian Industry, Cat. 5676.0 Business Indicators, Cat. 6291.0 Labour Force Detailed. Percentiles (p25/p75) not published in this version — internal portfolio data required for firm-level distribution. Sub-sector (subdivision/group) granularity not published in this version — division-level only.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50.88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11.9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10.67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5.63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Q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Health Care and Social Assistance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16.65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Derived from ABS Cat. 8155.0 Australian Industry, Cat. 5676.0 Business Indicators, Cat. 6291.0 Labour Force Detailed. Percentiles (p25/p75) not published in this version — internal portfolio data required for firm-level distribution. Sub-sector (subdivision/group) granularity not published in this version — division-level only.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43.29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6.0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7.54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3.74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R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Arts and Recreation Services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13.45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Derived from ABS Cat. 8155.0 Australian Industry, Cat. 5676.0 Business Indicators, Cat. 6291.0 Labour Force Detailed. Percentiles (p25/p75) not published in this version — internal portfolio data required for firm-level distribution. Sub-sector (subdivision/group) granularity not published in this version — division-level only.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0.13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22.55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13.7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6.38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-5.79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Other Services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5.28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Derived from ABS Cat. 8155.0 Australian Industry, Cat. 5676.0 Business Indicators, Cat. 6291.0 Labour Force Detailed. Percentiles (p25/p75) not published in this version — internal portfolio data required for firm-level distribution. Sub-sector (subdivision/group) granularity not published in this version — division-level only.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0.16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31.62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10.0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13.2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7.12</w:t>
            </w:r>
          </w:p>
        </w:tc>
      </w:tr>
    </w:tbl>
    <w:p/>
    <w:p>
      <w:r>
        <w:rPr>
          <w:rFonts w:ascii="Arial" w:hAnsi="Arial"/>
          <w:b w:val="0"/>
          <w:i/>
          <w:color w:val="7F7F7F"/>
          <w:sz w:val="20"/>
        </w:rPr>
        <w:t>Full detail rows from business_cycle_panel.csv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36"/>
        <w:gridCol w:w="936"/>
        <w:gridCol w:w="936"/>
        <w:gridCol w:w="936"/>
        <w:gridCol w:w="936"/>
        <w:gridCol w:w="936"/>
        <w:gridCol w:w="936"/>
        <w:gridCol w:w="936"/>
        <w:gridCol w:w="936"/>
        <w:gridCol w:w="936"/>
      </w:tblGrid>
      <w:tr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anzsic_division_code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industry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classification_risk_score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macro_risk_score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industry_base_risk_score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industry_base_risk_level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sector_key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internal_grouping_example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sales_m_latest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employment_000_latest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H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Accommodation and Food Services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2.75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2.68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accommodation and food services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Hospitality and leisure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152965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1217.9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Administrative and Support Services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2.12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2.8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2.43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administrative and support services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Administrative and support services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144266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1006.4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A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Agriculture, Forestry and Fishing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4.12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4.2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4.16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Elevated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agriculture forestry and fishing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Primary production and agribusiness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119772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411.0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R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Arts and Recreation Services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2.38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3.6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2.93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Moderate-high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arts and recreation services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Arts and recreation services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49985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277.3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E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Construction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2.75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3.2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2.95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Moderate-high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construction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Building, civil and trade services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624590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1290.7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Education and Training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1.75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3.4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2.49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education and training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Education and training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62221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515.8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D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Electricity, Gas, Water and Waste Services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2.25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2.0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2.14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electricity gas water and waste services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Utilities and infrastructure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166688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142.5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Q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Health Care and Social Assistance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2.8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2.08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health care and social assistance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Health and care services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224001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1796.9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J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Information Media and Telecommunications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2.12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2.34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information media and telecommunications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Media, telco and information services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117894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188.3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C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Manufacturing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3.4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3.46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Elevated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manufacturing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Industrial and manufacturing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514199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901.7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B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Mining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3.88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3.2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3.57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Elevated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mining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Mining and resources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492161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234.7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Other Services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2.38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2.2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2.3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other services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Other services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100042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583.2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Professional, Scientific and Technical Services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1.75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2.0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1.86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Moderate-low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professional scientific and technical services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Professional and technical services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353044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1317.4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O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Public Administration and Safety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1.62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3.6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2.51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public administration and safety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Public administration and safety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15351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106.8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L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Rental, Hiring and Real Estate Services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2.38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2.48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rental hiring and real estate services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Real estate and rental services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185285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420.9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G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Retail Trade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3.25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3.4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3.32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Elevated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retail trade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Consumer retail and discretionary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643421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1509.6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I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Transport, Postal and Warehousing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2.4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2.46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transport postal and warehousing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Freight, logistics and storage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244980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670.6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F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Wholesale Trade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3.12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3.4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3.25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Elevated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wholesale trade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Wholesale and distribution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772255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604.2</w:t>
            </w:r>
          </w:p>
        </w:tc>
      </w:tr>
    </w:tbl>
    <w:p/>
    <w:p>
      <w:r>
        <w:rPr>
          <w:rFonts w:ascii="Arial" w:hAnsi="Arial"/>
          <w:b w:val="0"/>
          <w:i/>
          <w:color w:val="7F7F7F"/>
          <w:sz w:val="20"/>
        </w:rPr>
        <w:t>Full detail rows from property_cycle_panel.csv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36"/>
        <w:gridCol w:w="936"/>
        <w:gridCol w:w="936"/>
        <w:gridCol w:w="936"/>
        <w:gridCol w:w="936"/>
        <w:gridCol w:w="936"/>
        <w:gridCol w:w="936"/>
        <w:gridCol w:w="936"/>
        <w:gridCol w:w="936"/>
        <w:gridCol w:w="936"/>
      </w:tblGrid>
      <w:tr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as_of_date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property_segment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region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market_softness_score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region_risk_score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cycle_stage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source_note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approvals_change_pct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commencements_signal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completions_signal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2026-03-01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Offices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4.3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4.21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downturn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ABS Building Approvals - Non-residential; building activity not staged; commencements and completions proxied from approvals trend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-19.8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Proxy from approvals trend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Proxy from approvals trend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2026-03-01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Agricultural and aquacultural buildings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3.9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4.01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downturn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ABS Building Approvals - Non-residential; building activity not staged; commencements and completions proxied from approvals trend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-27.02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Proxy from approvals trend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Proxy from approvals trend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2026-03-01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Commercial Buildings - Total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3.8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3.84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slowing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ABS Building Approvals - Non-residential; building activity not staged; commencements and completions proxied from approvals trend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-49.71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Proxy from approvals trend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Proxy from approvals trend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2026-03-01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Retail and wholesale trade buildings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3.4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3.39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slowing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ABS Building Approvals - Non-residential; building activity not staged; commencements and completions proxied from approvals trend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6.48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Proxy from approvals trend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Proxy from approvals trend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2026-03-01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Total Non-residential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3.35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3.49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slowing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ABS Building Approvals - Non-residential; building activity not staged; commencements and completions proxied from approvals trend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-15.94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Proxy from approvals trend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Proxy from approvals trend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2026-03-01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Education buildings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3.25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3.56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slowing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ABS Building Approvals - Non-residential; building activity not staged; commencements and completions proxied from approvals trend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-31.29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Proxy from approvals trend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Proxy from approvals trend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2026-03-01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Aged care facilities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3.2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3.41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slowing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ABS Building Approvals - Non-residential; building activity not staged; commencements and completions proxied from approvals trend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-21.97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Proxy from approvals trend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Proxy from approvals trend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2026-03-01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Short term accommodation buildings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3.1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2.99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neutral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ABS Building Approvals - Non-residential; building activity not staged; commencements and completions proxied from approvals trend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112.01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Proxy from approvals trend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Proxy from approvals trend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2026-03-01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Health buildings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2.4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2.76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neutral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ABS Building Approvals - Non-residential; building activity not staged; commencements and completions proxied from approvals trend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-35.96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Proxy from approvals trend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Proxy from approvals trend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2026-03-01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Industrial Buildings - Total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2.15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2.39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growth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ABS Building Approvals - Non-residential; building activity not staged; commencements and completions proxied from approvals trend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94.79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Proxy from approvals trend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Proxy from approvals trend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2026-03-01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Warehouses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1.7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2.04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growth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ABS Building Approvals - Non-residential; building activity not staged; commencements and completions proxied from approvals trend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108.47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Proxy from approvals trend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Proxy from approvals trend</w:t>
            </w:r>
          </w:p>
        </w:tc>
      </w:tr>
    </w:tbl>
    <w:p/>
    <w:p>
      <w:r>
        <w:rPr>
          <w:rFonts w:ascii="Arial" w:hAnsi="Arial"/>
          <w:b w:val="0"/>
          <w:i/>
          <w:color w:val="7F7F7F"/>
          <w:sz w:val="20"/>
        </w:rPr>
        <w:t>Full detail rows from property_market_overlays_by_building_type.csv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36"/>
        <w:gridCol w:w="936"/>
        <w:gridCol w:w="936"/>
        <w:gridCol w:w="936"/>
        <w:gridCol w:w="936"/>
        <w:gridCol w:w="936"/>
        <w:gridCol w:w="936"/>
        <w:gridCol w:w="936"/>
        <w:gridCol w:w="936"/>
        <w:gridCol w:w="936"/>
      </w:tblGrid>
      <w:tr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as_of_date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property_segment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property_segment_code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market_softness_score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region_risk_score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cycle_stage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aggregate_role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market_softness_band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region_risk_band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approvals_change_pct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Offices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CRE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4.3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4.21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downturn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specific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soft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High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-19.8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Agricultural and aquacultural buildings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IND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3.9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4.01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downturn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specific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soft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High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-27.02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Commercial Buildings - Total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CON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3.8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3.84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slowing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aggregate (reviewer reference only)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softening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Elevated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-49.71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Retail and wholesale trade buildings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RET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3.4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3.39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slowing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specific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softening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Elevated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6.48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Total Non-residential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CON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3.35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3.49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slowing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aggregate (reviewer reference only)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softening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Elevated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-15.94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Education buildings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CRE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3.25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3.56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slowing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specific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softening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Elevated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-31.29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Aged care facilities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CRE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3.2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3.41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slowing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specific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softening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Elevated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-21.97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Short term accommodation buildings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CRE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3.1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2.99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neutral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specific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normal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112.01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Health buildings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CRE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2.4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2.76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neutral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specific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normal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-35.96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Industrial Buildings - Total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CON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2.15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2.39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growth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aggregate (reviewer reference only)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supportive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94.79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Warehouses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IND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1.7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2.04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growth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specific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supportive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108.47</w:t>
            </w:r>
          </w:p>
        </w:tc>
      </w:tr>
    </w:tbl>
    <w:p/>
    <w:p>
      <w:pPr>
        <w:spacing w:before="280" w:after="120"/>
      </w:pPr>
      <w:r>
        <w:rPr>
          <w:rFonts w:ascii="Arial" w:hAnsi="Arial"/>
          <w:b/>
          <w:color w:val="1F4E79"/>
          <w:sz w:val="32"/>
        </w:rPr>
        <w:t>6. Lineage / Traceability</w:t>
      </w:r>
    </w:p>
    <w:p>
      <w:r>
        <w:rPr>
          <w:rFonts w:ascii="Arial" w:hAnsi="Arial"/>
          <w:b w:val="0"/>
          <w:i w:val="0"/>
        </w:rPr>
        <w:t>A reviewer can resolve a number by table row, transformation row, then source inventory row within three hops.</w:t>
      </w:r>
    </w:p>
    <w:p>
      <w:r>
        <w:rPr>
          <w:rFonts w:ascii="Arial" w:hAnsi="Arial"/>
          <w:b w:val="0"/>
          <w:i/>
          <w:color w:val="7F7F7F"/>
          <w:sz w:val="20"/>
        </w:rPr>
        <w:t>Lineage / Traceability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Analytical table</w:t>
            </w:r>
          </w:p>
        </w:tc>
        <w:tc>
          <w:tcPr>
            <w:tcW w:type="dxa" w:w="156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Number fields</w:t>
            </w:r>
          </w:p>
        </w:tc>
        <w:tc>
          <w:tcPr>
            <w:tcW w:type="dxa" w:w="156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Source row reference</w:t>
            </w:r>
          </w:p>
        </w:tc>
        <w:tc>
          <w:tcPr>
            <w:tcW w:type="dxa" w:w="156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Transformation script</w:t>
            </w:r>
          </w:p>
        </w:tc>
        <w:tc>
          <w:tcPr>
            <w:tcW w:type="dxa" w:w="156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Version / vintage</w:t>
            </w:r>
          </w:p>
        </w:tc>
        <w:tc>
          <w:tcPr>
            <w:tcW w:type="dxa" w:w="156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Reference hops</w:t>
            </w:r>
          </w:p>
        </w:tc>
      </w:tr>
      <w:tr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industry_risk_scores.csv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numeric columns in export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australian_industry_xlsx; business_indicators_profit_ratio_xlsx; labour_force_industry_xlsx; rba_cash_rate_csv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src/overlays/build_industry_risk_scores.py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Data Sources Inventory period/hash plus Transformations Applied build timestamp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number -&gt; table row -&gt; transformation row -&gt; source inventory row</w:t>
            </w:r>
          </w:p>
        </w:tc>
      </w:tr>
      <w:tr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property_market_overlays.csv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numeric columns in export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building_approvals_nonres_xlsx; property_cycle_panel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src/overlays/build_property_market_overlays.py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Data Sources Inventory period/hash plus Transformations Applied build timestamp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number -&gt; table row -&gt; transformation row -&gt; source inventory row</w:t>
            </w:r>
          </w:p>
        </w:tc>
      </w:tr>
      <w:tr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downturn_overlay_table.csv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numeric columns in export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property_cycle_panel; scenario multipliers (assumption); qualitative arrears baseline (assumption, RBA FSR Mar-2026)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src/overlays/build_downturn_overlay_tables.py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Data Sources Inventory period/hash plus Transformations Applied build timestamp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number -&gt; table row -&gt; transformation row -&gt; source inventory row</w:t>
            </w:r>
          </w:p>
        </w:tc>
      </w:tr>
      <w:tr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macro_regime_flags.csv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numeric columns in export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rba_cash_rate_csv; qualitative arrears baseline (assumption, RBA FSR Mar-2026)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src/panels/build_macro_regime_flags.py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Data Sources Inventory period/hash plus Transformations Applied build timestamp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number -&gt; table row -&gt; transformation row -&gt; source inventory row</w:t>
            </w:r>
          </w:p>
        </w:tc>
      </w:tr>
      <w:tr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industry_financial_benchmarks.csv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numeric columns in export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australian_industry_xlsx; business_indicators_profit_ratio_xlsx; business_indicators_inventory_ratio_xlsx; labour_force_industry_xlsx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src/panels/build_industry_financial_benchmarks.py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Data Sources Inventory period/hash plus Transformations Applied build timestamp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number -&gt; table row -&gt; transformation row -&gt; source inventory row</w:t>
            </w:r>
          </w:p>
        </w:tc>
      </w:tr>
      <w:tr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business_cycle_panel.csv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numeric columns in export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australian_industry_xlsx; business_indicators_profit_ratio_xlsx; business_indicators_inventory_ratio_xlsx; business_indicators_consumer_sales_xlsx; labour_force_industry_xlsx; rba_cash_rate_csv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src/panels/build_business_cycle_panel.py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Data Sources Inventory period/hash plus Transformations Applied build timestamp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number -&gt; table row -&gt; transformation row -&gt; source inventory row</w:t>
            </w:r>
          </w:p>
        </w:tc>
      </w:tr>
      <w:tr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property_cycle_panel.csv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numeric columns in export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building_approvals_nonres_xlsx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src/panels/build_property_cycle_panel.py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Data Sources Inventory period/hash plus Transformations Applied build timestamp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number -&gt; table row -&gt; transformation row -&gt; source inventory row</w:t>
            </w:r>
          </w:p>
        </w:tc>
      </w:tr>
      <w:tr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property_market_overlays_by_building_type.csv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numeric columns in export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building_approvals_nonres_xlsx; property_cycle_panel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src/overlays/build_property_market_overlays.py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Data Sources Inventory period/hash plus Transformations Applied build timestamp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number -&gt; table row -&gt; transformation row -&gt; source inventory row</w:t>
            </w:r>
          </w:p>
        </w:tc>
      </w:tr>
    </w:tbl>
    <w:p/>
    <w:p>
      <w:pPr>
        <w:spacing w:before="280" w:after="120"/>
      </w:pPr>
      <w:r>
        <w:rPr>
          <w:rFonts w:ascii="Arial" w:hAnsi="Arial"/>
          <w:b/>
          <w:color w:val="1F4E79"/>
          <w:sz w:val="32"/>
        </w:rPr>
        <w:t>7. What's Not In This Report</w:t>
      </w:r>
    </w:p>
    <w:p>
      <w:r>
        <w:rPr>
          <w:rFonts w:ascii="Arial" w:hAnsi="Arial"/>
          <w:b w:val="0"/>
          <w:i w:val="0"/>
        </w:rPr>
        <w:t>These rows are the operator priority list for the next refresh cycle.</w:t>
      </w:r>
    </w:p>
    <w:p>
      <w:r>
        <w:rPr>
          <w:rFonts w:ascii="Arial" w:hAnsi="Arial"/>
          <w:b w:val="0"/>
          <w:i/>
          <w:color w:val="7F7F7F"/>
          <w:sz w:val="20"/>
        </w:rPr>
        <w:t>Data not yet captured / out of scope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Source key</w:t>
            </w:r>
          </w:p>
        </w:tc>
        <w:tc>
          <w:tcPr>
            <w:tcW w:type="dxa" w:w="234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Reason</w:t>
            </w:r>
          </w:p>
        </w:tc>
        <w:tc>
          <w:tcPr>
            <w:tcW w:type="dxa" w:w="234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Required action</w:t>
            </w:r>
          </w:p>
        </w:tc>
        <w:tc>
          <w:tcPr>
            <w:tcW w:type="dxa" w:w="234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Target / next date</w:t>
            </w:r>
          </w:p>
        </w:tc>
      </w:tr>
      <w:tr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anzsic_classification_page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No successful manifest entry for this registry item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Awaiting next release or implement downloader/scraper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Next scheduled refresh cycle</w:t>
            </w:r>
          </w:p>
        </w:tc>
      </w:tr>
      <w:tr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anzsic_division_codes_page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No successful manifest entry for this registry item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Awaiting next release or implement downloader/scraper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Next scheduled refresh cycle</w:t>
            </w:r>
          </w:p>
        </w:tc>
      </w:tr>
      <w:tr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anzsic_division_subdivision_class_page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No successful manifest entry for this registry item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Awaiting next release or implement downloader/scraper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Next scheduled refresh cycle</w:t>
            </w:r>
          </w:p>
        </w:tc>
      </w:tr>
      <w:tr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australian_industry_xlsx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Paid, gated, or manually extracted source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Manual staging required - see data/raw/manual or source-specific raw-public directory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Next scheduled refresh cycle</w:t>
            </w:r>
          </w:p>
        </w:tc>
      </w:tr>
      <w:tr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building_approvals_nonres_xlsx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Paid, gated, or manually extracted source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Manual staging required - see data/raw/manual or source-specific raw-public directory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Next scheduled refresh cycle</w:t>
            </w:r>
          </w:p>
        </w:tc>
      </w:tr>
      <w:tr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business_indicators_consumer_sales_xlsx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No successful manifest entry for this registry item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Awaiting next release or implement downloader/scraper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Next scheduled refresh cycle</w:t>
            </w:r>
          </w:p>
        </w:tc>
      </w:tr>
      <w:tr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business_indicators_inventory_ratio_xlsx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Paid, gated, or manually extracted source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Manual staging required - see data/raw/manual or source-specific raw-public directory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Next scheduled refresh cycle</w:t>
            </w:r>
          </w:p>
        </w:tc>
      </w:tr>
      <w:tr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business_indicators_profit_ratio_xlsx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Paid, gated, or manually extracted source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Manual staging required - see data/raw/manual or source-specific raw-public directory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Next scheduled refresh cycle</w:t>
            </w:r>
          </w:p>
        </w:tc>
      </w:tr>
      <w:tr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cpi_all_groups_xlsx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Paid, gated, or manually extracted source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Manual staging required - see data/raw/manual or source-specific raw-public directory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Next scheduled refresh cycle</w:t>
            </w:r>
          </w:p>
        </w:tc>
      </w:tr>
      <w:tr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cpi_subgroups_xlsx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No successful manifest entry for this registry item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Awaiting next release or implement downloader/scraper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Next scheduled refresh cycle</w:t>
            </w:r>
          </w:p>
        </w:tc>
      </w:tr>
      <w:tr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dwelling_approvals_xlsx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No successful manifest entry for this registry item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Awaiting next release or implement downloader/scraper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Next scheduled refresh cycle</w:t>
            </w:r>
          </w:p>
        </w:tc>
      </w:tr>
      <w:tr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dwelling_value_xlsx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No successful manifest entry for this registry item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Awaiting next release or implement downloader/scraper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Next scheduled refresh cycle</w:t>
            </w:r>
          </w:p>
        </w:tc>
      </w:tr>
      <w:tr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labour_force_headline_xlsx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Paid, gated, or manually extracted source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Manual staging required - see data/raw/manual or source-specific raw-public directory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Next scheduled refresh cycle</w:t>
            </w:r>
          </w:p>
        </w:tc>
      </w:tr>
      <w:tr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labour_force_industry_xlsx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Paid, gated, or manually extracted source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Manual staging required - see data/raw/manual or source-specific raw-public directory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Next scheduled refresh cycle</w:t>
            </w:r>
          </w:p>
        </w:tc>
      </w:tr>
      <w:tr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lending_indicators_xlsx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No successful manifest entry for this registry item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Awaiting next release or implement downloader/scraper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Next scheduled refresh cycle</w:t>
            </w:r>
          </w:p>
        </w:tc>
      </w:tr>
      <w:tr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national_accounts_gdp_xlsx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Paid, gated, or manually extracted source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Manual staging required - see data/raw/manual or source-specific raw-public directory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Next scheduled refresh cycle</w:t>
            </w:r>
          </w:p>
        </w:tc>
      </w:tr>
      <w:tr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ppi_construction_xlsx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No successful manifest entry for this registry item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Awaiting next release or implement downloader/scraper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Next scheduled refresh cycle</w:t>
            </w:r>
          </w:p>
        </w:tc>
      </w:tr>
      <w:tr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ppi_manufacturing_xlsx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No successful manifest entry for this registry item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Awaiting next release or implement downloader/scraper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Next scheduled refresh cycle</w:t>
            </w:r>
          </w:p>
        </w:tc>
      </w:tr>
      <w:tr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property_price_capitals_xlsx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No successful manifest entry for this registry item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Awaiting next release or implement downloader/scraper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Next scheduled refresh cycle</w:t>
            </w:r>
          </w:p>
        </w:tc>
      </w:tr>
      <w:tr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property_price_index_xlsx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No successful manifest entry for this registry item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Awaiting next release or implement downloader/scraper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Next scheduled refresh cycle</w:t>
            </w:r>
          </w:p>
        </w:tc>
      </w:tr>
      <w:tr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ptrs_cycle_8_pdf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Paid, gated, or manually extracted source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Manual staging required - see data/raw/manual or source-specific raw-public directory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Next scheduled refresh cycle</w:t>
            </w:r>
          </w:p>
        </w:tc>
      </w:tr>
      <w:tr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ptrs_cycle_9_pdf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Paid, gated, or manually extracted source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Manual staging required - see data/raw/manual or source-specific raw-public directory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Next scheduled refresh cycle</w:t>
            </w:r>
          </w:p>
        </w:tc>
      </w:tr>
      <w:tr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ptrs_guidance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Paid, gated, or manually extracted source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Manual staging required - see data/raw/manual or source-specific raw-public directory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Next scheduled refresh cycle</w:t>
            </w:r>
          </w:p>
        </w:tc>
      </w:tr>
      <w:tr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rba_cash_rate_csv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Paid, gated, or manually extracted source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Manual staging required - see data/raw/manual or source-specific raw-public directory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Next scheduled refresh cycle</w:t>
            </w:r>
          </w:p>
        </w:tc>
      </w:tr>
      <w:tr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rba_chart_pack_page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No successful manifest entry for this registry item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Awaiting next release or implement downloader/scraper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Next scheduled refresh cycle</w:t>
            </w:r>
          </w:p>
        </w:tc>
      </w:tr>
      <w:tr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rba_fsr_page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No successful manifest entry for this registry item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Awaiting next release or implement downloader/scraper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Next scheduled refresh cycle</w:t>
            </w:r>
          </w:p>
        </w:tc>
      </w:tr>
      <w:tr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rba_smp_page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No successful manifest entry for this registry item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Awaiting next release or implement downloader/scraper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Next scheduled refresh cycle</w:t>
            </w:r>
          </w:p>
        </w:tc>
      </w:tr>
      <w:tr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rba_table_e2_xls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No successful manifest entry for this registry item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Awaiting next release or implement downloader/scraper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Next scheduled refresh cycle</w:t>
            </w:r>
          </w:p>
        </w:tc>
      </w:tr>
      <w:tr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total_value_dwellings_xlsx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No successful manifest entry for this registry item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Awaiting next release or implement downloader/scraper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Next scheduled refresh cycle</w:t>
            </w:r>
          </w:p>
        </w:tc>
      </w:tr>
      <w:tr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wpi_xlsx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Paid, gated, or manually extracted source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Manual staging required - see data/raw/manual or source-specific raw-public directory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Next scheduled refresh cycle</w:t>
            </w:r>
          </w:p>
        </w:tc>
      </w:tr>
    </w:tbl>
    <w:p/>
    <w:p>
      <w:pPr>
        <w:spacing w:before="280" w:after="120"/>
      </w:pPr>
      <w:r>
        <w:rPr>
          <w:rFonts w:ascii="Arial" w:hAnsi="Arial"/>
          <w:b/>
          <w:color w:val="1F4E79"/>
          <w:sz w:val="32"/>
        </w:rPr>
        <w:t>8. Validation and Caveats</w:t>
      </w:r>
    </w:p>
    <w:p>
      <w:r>
        <w:rPr>
          <w:rFonts w:ascii="Arial" w:hAnsi="Arial"/>
          <w:b w:val="0"/>
          <w:i w:val="0"/>
        </w:rPr>
        <w:t>The integration test tests/integration/test_board_report_completeness.py is the executable contract for this section.</w:t>
      </w:r>
    </w:p>
    <w:p>
      <w:r>
        <w:rPr>
          <w:rFonts w:ascii="Arial" w:hAnsi="Arial"/>
          <w:b w:val="0"/>
          <w:i/>
          <w:color w:val="7F7F7F"/>
          <w:sz w:val="20"/>
        </w:rPr>
        <w:t>Contract validation summary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Check category</w:t>
            </w:r>
          </w:p>
        </w:tc>
        <w:tc>
          <w:tcPr>
            <w:tcW w:type="dxa" w:w="312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Items</w:t>
            </w:r>
          </w:p>
        </w:tc>
        <w:tc>
          <w:tcPr>
            <w:tcW w:type="dxa" w:w="312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3120"/>
            <w:vAlign w:val="center"/>
          </w:tcPr>
          <w:p>
            <w:r/>
            <w:r>
              <w:rPr>
                <w:rFonts w:ascii="Arial" w:hAnsi="Arial"/>
                <w:sz w:val="20"/>
              </w:rPr>
              <w:t>Source registry inventory</w:t>
            </w:r>
          </w:p>
        </w:tc>
        <w:tc>
          <w:tcPr>
            <w:tcW w:type="dxa" w:w="3120"/>
            <w:vAlign w:val="center"/>
          </w:tcPr>
          <w:p>
            <w:r/>
            <w:r>
              <w:rPr>
                <w:rFonts w:ascii="Arial" w:hAnsi="Arial"/>
                <w:sz w:val="20"/>
              </w:rPr>
              <w:t>33</w:t>
            </w:r>
          </w:p>
        </w:tc>
        <w:tc>
          <w:tcPr>
            <w:tcW w:type="dxa" w:w="3120"/>
            <w:vAlign w:val="center"/>
          </w:tcPr>
          <w:p>
            <w:r/>
            <w:r>
              <w:rPr>
                <w:rFonts w:ascii="Arial" w:hAnsi="Arial"/>
                <w:sz w:val="20"/>
              </w:rPr>
              <w:t>PASS</w:t>
            </w:r>
          </w:p>
        </w:tc>
      </w:tr>
      <w:tr>
        <w:tc>
          <w:tcPr>
            <w:tcW w:type="dxa" w:w="312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Canonical export transformations</w:t>
            </w:r>
          </w:p>
        </w:tc>
        <w:tc>
          <w:tcPr>
            <w:tcW w:type="dxa" w:w="312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8</w:t>
            </w:r>
          </w:p>
        </w:tc>
        <w:tc>
          <w:tcPr>
            <w:tcW w:type="dxa" w:w="312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PASS</w:t>
            </w:r>
          </w:p>
        </w:tc>
      </w:tr>
      <w:tr>
        <w:tc>
          <w:tcPr>
            <w:tcW w:type="dxa" w:w="3120"/>
            <w:vAlign w:val="center"/>
          </w:tcPr>
          <w:p>
            <w:r/>
            <w:r>
              <w:rPr>
                <w:rFonts w:ascii="Arial" w:hAnsi="Arial"/>
                <w:sz w:val="20"/>
              </w:rPr>
              <w:t>Detailed analysis export tables</w:t>
            </w:r>
          </w:p>
        </w:tc>
        <w:tc>
          <w:tcPr>
            <w:tcW w:type="dxa" w:w="3120"/>
            <w:vAlign w:val="center"/>
          </w:tcPr>
          <w:p>
            <w:r/>
            <w:r>
              <w:rPr>
                <w:rFonts w:ascii="Arial" w:hAnsi="Arial"/>
                <w:sz w:val="20"/>
              </w:rPr>
              <w:t>8</w:t>
            </w:r>
          </w:p>
        </w:tc>
        <w:tc>
          <w:tcPr>
            <w:tcW w:type="dxa" w:w="3120"/>
            <w:vAlign w:val="center"/>
          </w:tcPr>
          <w:p>
            <w:r/>
            <w:r>
              <w:rPr>
                <w:rFonts w:ascii="Arial" w:hAnsi="Arial"/>
                <w:sz w:val="20"/>
              </w:rPr>
              <w:t>PASS</w:t>
            </w:r>
          </w:p>
        </w:tc>
      </w:tr>
      <w:tr>
        <w:tc>
          <w:tcPr>
            <w:tcW w:type="dxa" w:w="312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Lineage mappings</w:t>
            </w:r>
          </w:p>
        </w:tc>
        <w:tc>
          <w:tcPr>
            <w:tcW w:type="dxa" w:w="312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8</w:t>
            </w:r>
          </w:p>
        </w:tc>
        <w:tc>
          <w:tcPr>
            <w:tcW w:type="dxa" w:w="312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PASS</w:t>
            </w:r>
          </w:p>
        </w:tc>
      </w:tr>
      <w:tr>
        <w:tc>
          <w:tcPr>
            <w:tcW w:type="dxa" w:w="3120"/>
            <w:vAlign w:val="center"/>
          </w:tcPr>
          <w:p>
            <w:r/>
            <w:r>
              <w:rPr>
                <w:rFonts w:ascii="Arial" w:hAnsi="Arial"/>
                <w:sz w:val="20"/>
              </w:rPr>
              <w:t>Manual/missing source disclosure</w:t>
            </w:r>
          </w:p>
        </w:tc>
        <w:tc>
          <w:tcPr>
            <w:tcW w:type="dxa" w:w="3120"/>
            <w:vAlign w:val="center"/>
          </w:tcPr>
          <w:p>
            <w:r/>
            <w:r>
              <w:rPr>
                <w:rFonts w:ascii="Arial" w:hAnsi="Arial"/>
                <w:sz w:val="20"/>
              </w:rPr>
              <w:t>30</w:t>
            </w:r>
          </w:p>
        </w:tc>
        <w:tc>
          <w:tcPr>
            <w:tcW w:type="dxa" w:w="3120"/>
            <w:vAlign w:val="center"/>
          </w:tcPr>
          <w:p>
            <w:r/>
            <w:r>
              <w:rPr>
                <w:rFonts w:ascii="Arial" w:hAnsi="Arial"/>
                <w:sz w:val="20"/>
              </w:rPr>
              <w:t>PASS</w:t>
            </w:r>
          </w:p>
        </w:tc>
      </w:tr>
    </w:tbl>
    <w:p/>
    <w:p>
      <w:r>
        <w:rPr>
          <w:rFonts w:ascii="Arial" w:hAnsi="Arial"/>
          <w:b w:val="0"/>
          <w:i w:val="0"/>
        </w:rPr>
        <w:t>The report does not fabricate current-period values. Prior-period or manually staged values remain dated through their source inventory period, manifest timestamp, export as_of_date, or build timestamp.</w:t>
      </w:r>
    </w:p>
    <w:p>
      <w:pPr>
        <w:spacing w:before="280" w:after="120"/>
      </w:pPr>
      <w:r>
        <w:rPr>
          <w:rFonts w:ascii="Arial" w:hAnsi="Arial"/>
          <w:b/>
          <w:color w:val="1F4E79"/>
          <w:sz w:val="32"/>
        </w:rPr>
        <w:t>9. Macro Stress Inputs</w:t>
      </w:r>
    </w:p>
    <w:p>
      <w:r>
        <w:rPr>
          <w:rFonts w:ascii="Arial" w:hAnsi="Arial"/>
          <w:b w:val="0"/>
          <w:i w:val="0"/>
        </w:rPr>
        <w:t>A macro-driven stress layer turns macroeconomic scenario paths into PD / LGD / EAD multipliers per portfolio segment, then rolls facility-level stress up to a portfolio expected-loss total — answering 'if the economy turns, how much worse do losses get, and for which portfolios?'. Engine src/overlays/macro_stress_core.py; config config/macro_scenarios.yaml; contracts macro_scenario_paths.csv and portfolio_macro_sensitivity.csv. multiplier[s,p,k] = clamp(1 + intensity[p] * beta[s,p] * sum_d weight[s,p,d] * shock_norm[d,k]); base = 1.0, monotonic to severe.</w:t>
      </w:r>
    </w:p>
    <w:p>
      <w:r>
        <w:rPr>
          <w:rFonts w:ascii="Arial" w:hAnsi="Arial"/>
          <w:b w:val="0"/>
          <w:i/>
          <w:color w:val="7F7F7F"/>
          <w:sz w:val="20"/>
        </w:rPr>
        <w:t>Macro scenario paths - stressed level by scenario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337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Variable</w:t>
            </w:r>
          </w:p>
        </w:tc>
        <w:tc>
          <w:tcPr>
            <w:tcW w:type="dxa" w:w="1337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Unit</w:t>
            </w:r>
          </w:p>
        </w:tc>
        <w:tc>
          <w:tcPr>
            <w:tcW w:type="dxa" w:w="1337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Source</w:t>
            </w:r>
          </w:p>
        </w:tc>
        <w:tc>
          <w:tcPr>
            <w:tcW w:type="dxa" w:w="1337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base</w:t>
            </w:r>
          </w:p>
        </w:tc>
        <w:tc>
          <w:tcPr>
            <w:tcW w:type="dxa" w:w="1337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mild</w:t>
            </w:r>
          </w:p>
        </w:tc>
        <w:tc>
          <w:tcPr>
            <w:tcW w:type="dxa" w:w="1337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moderate</w:t>
            </w:r>
          </w:p>
        </w:tc>
        <w:tc>
          <w:tcPr>
            <w:tcW w:type="dxa" w:w="1337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severe</w:t>
            </w:r>
          </w:p>
        </w:tc>
      </w:tr>
      <w:tr>
        <w:tc>
          <w:tcPr>
            <w:tcW w:type="dxa" w:w="1337"/>
            <w:vAlign w:val="center"/>
          </w:tcPr>
          <w:p>
            <w:r/>
            <w:r>
              <w:rPr>
                <w:rFonts w:ascii="Arial" w:hAnsi="Arial"/>
                <w:sz w:val="20"/>
              </w:rPr>
              <w:t>Cash rate (%)</w:t>
            </w:r>
          </w:p>
        </w:tc>
        <w:tc>
          <w:tcPr>
            <w:tcW w:type="dxa" w:w="1337"/>
            <w:vAlign w:val="center"/>
          </w:tcPr>
          <w:p>
            <w:r/>
            <w:r>
              <w:rPr>
                <w:rFonts w:ascii="Arial" w:hAnsi="Arial"/>
                <w:sz w:val="20"/>
              </w:rPr>
              <w:t>%</w:t>
            </w:r>
          </w:p>
        </w:tc>
        <w:tc>
          <w:tcPr>
            <w:tcW w:type="dxa" w:w="1337"/>
            <w:vAlign w:val="center"/>
          </w:tcPr>
          <w:p>
            <w:r/>
            <w:r>
              <w:rPr>
                <w:rFonts w:ascii="Arial" w:hAnsi="Arial"/>
                <w:sz w:val="20"/>
              </w:rPr>
              <w:t>RBA F1 cash-rate table</w:t>
            </w:r>
          </w:p>
        </w:tc>
        <w:tc>
          <w:tcPr>
            <w:tcW w:type="dxa" w:w="1337"/>
            <w:vAlign w:val="center"/>
          </w:tcPr>
          <w:p>
            <w:r/>
            <w:r>
              <w:rPr>
                <w:rFonts w:ascii="Arial" w:hAnsi="Arial"/>
                <w:sz w:val="20"/>
              </w:rPr>
              <w:t>4.35</w:t>
            </w:r>
          </w:p>
        </w:tc>
        <w:tc>
          <w:tcPr>
            <w:tcW w:type="dxa" w:w="1337"/>
            <w:vAlign w:val="center"/>
          </w:tcPr>
          <w:p>
            <w:r/>
            <w:r>
              <w:rPr>
                <w:rFonts w:ascii="Arial" w:hAnsi="Arial"/>
                <w:sz w:val="20"/>
              </w:rPr>
              <w:t>4.6</w:t>
            </w:r>
          </w:p>
        </w:tc>
        <w:tc>
          <w:tcPr>
            <w:tcW w:type="dxa" w:w="1337"/>
            <w:vAlign w:val="center"/>
          </w:tcPr>
          <w:p>
            <w:r/>
            <w:r>
              <w:rPr>
                <w:rFonts w:ascii="Arial" w:hAnsi="Arial"/>
                <w:sz w:val="20"/>
              </w:rPr>
              <w:t>4.85</w:t>
            </w:r>
          </w:p>
        </w:tc>
        <w:tc>
          <w:tcPr>
            <w:tcW w:type="dxa" w:w="1337"/>
            <w:vAlign w:val="center"/>
          </w:tcPr>
          <w:p>
            <w:r/>
            <w:r>
              <w:rPr>
                <w:rFonts w:ascii="Arial" w:hAnsi="Arial"/>
                <w:sz w:val="20"/>
              </w:rPr>
              <w:t>5.1</w:t>
            </w:r>
          </w:p>
        </w:tc>
      </w:tr>
      <w:tr>
        <w:tc>
          <w:tcPr>
            <w:tcW w:type="dxa" w:w="1337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Commercial-property prices (% change)</w:t>
            </w:r>
          </w:p>
        </w:tc>
        <w:tc>
          <w:tcPr>
            <w:tcW w:type="dxa" w:w="1337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% change</w:t>
            </w:r>
          </w:p>
        </w:tc>
        <w:tc>
          <w:tcPr>
            <w:tcW w:type="dxa" w:w="1337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assumption</w:t>
            </w:r>
          </w:p>
        </w:tc>
        <w:tc>
          <w:tcPr>
            <w:tcW w:type="dxa" w:w="1337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0.0</w:t>
            </w:r>
          </w:p>
        </w:tc>
        <w:tc>
          <w:tcPr>
            <w:tcW w:type="dxa" w:w="1337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-7.0</w:t>
            </w:r>
          </w:p>
        </w:tc>
        <w:tc>
          <w:tcPr>
            <w:tcW w:type="dxa" w:w="1337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-15.0</w:t>
            </w:r>
          </w:p>
        </w:tc>
        <w:tc>
          <w:tcPr>
            <w:tcW w:type="dxa" w:w="1337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-28.0</w:t>
            </w:r>
          </w:p>
        </w:tc>
      </w:tr>
      <w:tr>
        <w:tc>
          <w:tcPr>
            <w:tcW w:type="dxa" w:w="1337"/>
            <w:vAlign w:val="center"/>
          </w:tcPr>
          <w:p>
            <w:r/>
            <w:r>
              <w:rPr>
                <w:rFonts w:ascii="Arial" w:hAnsi="Arial"/>
                <w:sz w:val="20"/>
              </w:rPr>
              <w:t>CRE cap rates (%)</w:t>
            </w:r>
          </w:p>
        </w:tc>
        <w:tc>
          <w:tcPr>
            <w:tcW w:type="dxa" w:w="1337"/>
            <w:vAlign w:val="center"/>
          </w:tcPr>
          <w:p>
            <w:r/>
            <w:r>
              <w:rPr>
                <w:rFonts w:ascii="Arial" w:hAnsi="Arial"/>
                <w:sz w:val="20"/>
              </w:rPr>
              <w:t>%</w:t>
            </w:r>
          </w:p>
        </w:tc>
        <w:tc>
          <w:tcPr>
            <w:tcW w:type="dxa" w:w="1337"/>
            <w:vAlign w:val="center"/>
          </w:tcPr>
          <w:p>
            <w:r/>
            <w:r>
              <w:rPr>
                <w:rFonts w:ascii="Arial" w:hAnsi="Arial"/>
                <w:sz w:val="20"/>
              </w:rPr>
              <w:t>assumption</w:t>
            </w:r>
          </w:p>
        </w:tc>
        <w:tc>
          <w:tcPr>
            <w:tcW w:type="dxa" w:w="1337"/>
            <w:vAlign w:val="center"/>
          </w:tcPr>
          <w:p>
            <w:r/>
            <w:r>
              <w:rPr>
                <w:rFonts w:ascii="Arial" w:hAnsi="Arial"/>
                <w:sz w:val="20"/>
              </w:rPr>
              <w:t>6.0</w:t>
            </w:r>
          </w:p>
        </w:tc>
        <w:tc>
          <w:tcPr>
            <w:tcW w:type="dxa" w:w="1337"/>
            <w:vAlign w:val="center"/>
          </w:tcPr>
          <w:p>
            <w:r/>
            <w:r>
              <w:rPr>
                <w:rFonts w:ascii="Arial" w:hAnsi="Arial"/>
                <w:sz w:val="20"/>
              </w:rPr>
              <w:t>6.4</w:t>
            </w:r>
          </w:p>
        </w:tc>
        <w:tc>
          <w:tcPr>
            <w:tcW w:type="dxa" w:w="1337"/>
            <w:vAlign w:val="center"/>
          </w:tcPr>
          <w:p>
            <w:r/>
            <w:r>
              <w:rPr>
                <w:rFonts w:ascii="Arial" w:hAnsi="Arial"/>
                <w:sz w:val="20"/>
              </w:rPr>
              <w:t>6.9</w:t>
            </w:r>
          </w:p>
        </w:tc>
        <w:tc>
          <w:tcPr>
            <w:tcW w:type="dxa" w:w="1337"/>
            <w:vAlign w:val="center"/>
          </w:tcPr>
          <w:p>
            <w:r/>
            <w:r>
              <w:rPr>
                <w:rFonts w:ascii="Arial" w:hAnsi="Arial"/>
                <w:sz w:val="20"/>
              </w:rPr>
              <w:t>7.6</w:t>
            </w:r>
          </w:p>
        </w:tc>
      </w:tr>
      <w:tr>
        <w:tc>
          <w:tcPr>
            <w:tcW w:type="dxa" w:w="1337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CRE rents (% change)</w:t>
            </w:r>
          </w:p>
        </w:tc>
        <w:tc>
          <w:tcPr>
            <w:tcW w:type="dxa" w:w="1337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% change</w:t>
            </w:r>
          </w:p>
        </w:tc>
        <w:tc>
          <w:tcPr>
            <w:tcW w:type="dxa" w:w="1337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assumption</w:t>
            </w:r>
          </w:p>
        </w:tc>
        <w:tc>
          <w:tcPr>
            <w:tcW w:type="dxa" w:w="1337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0.0</w:t>
            </w:r>
          </w:p>
        </w:tc>
        <w:tc>
          <w:tcPr>
            <w:tcW w:type="dxa" w:w="1337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-4.0</w:t>
            </w:r>
          </w:p>
        </w:tc>
        <w:tc>
          <w:tcPr>
            <w:tcW w:type="dxa" w:w="1337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-9.0</w:t>
            </w:r>
          </w:p>
        </w:tc>
        <w:tc>
          <w:tcPr>
            <w:tcW w:type="dxa" w:w="1337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-16.0</w:t>
            </w:r>
          </w:p>
        </w:tc>
      </w:tr>
      <w:tr>
        <w:tc>
          <w:tcPr>
            <w:tcW w:type="dxa" w:w="1337"/>
            <w:vAlign w:val="center"/>
          </w:tcPr>
          <w:p>
            <w:r/>
            <w:r>
              <w:rPr>
                <w:rFonts w:ascii="Arial" w:hAnsi="Arial"/>
                <w:sz w:val="20"/>
              </w:rPr>
              <w:t>Exchange rate (TWI, % change)</w:t>
            </w:r>
          </w:p>
        </w:tc>
        <w:tc>
          <w:tcPr>
            <w:tcW w:type="dxa" w:w="1337"/>
            <w:vAlign w:val="center"/>
          </w:tcPr>
          <w:p>
            <w:r/>
            <w:r>
              <w:rPr>
                <w:rFonts w:ascii="Arial" w:hAnsi="Arial"/>
                <w:sz w:val="20"/>
              </w:rPr>
              <w:t>% change</w:t>
            </w:r>
          </w:p>
        </w:tc>
        <w:tc>
          <w:tcPr>
            <w:tcW w:type="dxa" w:w="1337"/>
            <w:vAlign w:val="center"/>
          </w:tcPr>
          <w:p>
            <w:r/>
            <w:r>
              <w:rPr>
                <w:rFonts w:ascii="Arial" w:hAnsi="Arial"/>
                <w:sz w:val="20"/>
              </w:rPr>
              <w:t>RBA F11 exchange rates</w:t>
            </w:r>
          </w:p>
        </w:tc>
        <w:tc>
          <w:tcPr>
            <w:tcW w:type="dxa" w:w="1337"/>
            <w:vAlign w:val="center"/>
          </w:tcPr>
          <w:p>
            <w:r/>
            <w:r>
              <w:rPr>
                <w:rFonts w:ascii="Arial" w:hAnsi="Arial"/>
                <w:sz w:val="20"/>
              </w:rPr>
              <w:t>0.0</w:t>
            </w:r>
          </w:p>
        </w:tc>
        <w:tc>
          <w:tcPr>
            <w:tcW w:type="dxa" w:w="1337"/>
            <w:vAlign w:val="center"/>
          </w:tcPr>
          <w:p>
            <w:r/>
            <w:r>
              <w:rPr>
                <w:rFonts w:ascii="Arial" w:hAnsi="Arial"/>
                <w:sz w:val="20"/>
              </w:rPr>
              <w:t>-5.0</w:t>
            </w:r>
          </w:p>
        </w:tc>
        <w:tc>
          <w:tcPr>
            <w:tcW w:type="dxa" w:w="1337"/>
            <w:vAlign w:val="center"/>
          </w:tcPr>
          <w:p>
            <w:r/>
            <w:r>
              <w:rPr>
                <w:rFonts w:ascii="Arial" w:hAnsi="Arial"/>
                <w:sz w:val="20"/>
              </w:rPr>
              <w:t>-10.0</w:t>
            </w:r>
          </w:p>
        </w:tc>
        <w:tc>
          <w:tcPr>
            <w:tcW w:type="dxa" w:w="1337"/>
            <w:vAlign w:val="center"/>
          </w:tcPr>
          <w:p>
            <w:r/>
            <w:r>
              <w:rPr>
                <w:rFonts w:ascii="Arial" w:hAnsi="Arial"/>
                <w:sz w:val="20"/>
              </w:rPr>
              <w:t>-15.0</w:t>
            </w:r>
          </w:p>
        </w:tc>
      </w:tr>
      <w:tr>
        <w:tc>
          <w:tcPr>
            <w:tcW w:type="dxa" w:w="1337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GDP growth (real, YoY %)</w:t>
            </w:r>
          </w:p>
        </w:tc>
        <w:tc>
          <w:tcPr>
            <w:tcW w:type="dxa" w:w="1337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% yoy</w:t>
            </w:r>
          </w:p>
        </w:tc>
        <w:tc>
          <w:tcPr>
            <w:tcW w:type="dxa" w:w="1337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ABS 5206 National Accounts (Mar 2026, real SA, through-the-year)</w:t>
            </w:r>
          </w:p>
        </w:tc>
        <w:tc>
          <w:tcPr>
            <w:tcW w:type="dxa" w:w="1337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2.5</w:t>
            </w:r>
          </w:p>
        </w:tc>
        <w:tc>
          <w:tcPr>
            <w:tcW w:type="dxa" w:w="1337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0.7</w:t>
            </w:r>
          </w:p>
        </w:tc>
        <w:tc>
          <w:tcPr>
            <w:tcW w:type="dxa" w:w="1337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-0.8</w:t>
            </w:r>
          </w:p>
        </w:tc>
        <w:tc>
          <w:tcPr>
            <w:tcW w:type="dxa" w:w="1337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-2.8</w:t>
            </w:r>
          </w:p>
        </w:tc>
      </w:tr>
      <w:tr>
        <w:tc>
          <w:tcPr>
            <w:tcW w:type="dxa" w:w="1337"/>
            <w:vAlign w:val="center"/>
          </w:tcPr>
          <w:p>
            <w:r/>
            <w:r>
              <w:rPr>
                <w:rFonts w:ascii="Arial" w:hAnsi="Arial"/>
                <w:sz w:val="20"/>
              </w:rPr>
              <w:t>House-price growth (YoY %)</w:t>
            </w:r>
          </w:p>
        </w:tc>
        <w:tc>
          <w:tcPr>
            <w:tcW w:type="dxa" w:w="1337"/>
            <w:vAlign w:val="center"/>
          </w:tcPr>
          <w:p>
            <w:r/>
            <w:r>
              <w:rPr>
                <w:rFonts w:ascii="Arial" w:hAnsi="Arial"/>
                <w:sz w:val="20"/>
              </w:rPr>
              <w:t>% yoy</w:t>
            </w:r>
          </w:p>
        </w:tc>
        <w:tc>
          <w:tcPr>
            <w:tcW w:type="dxa" w:w="1337"/>
            <w:vAlign w:val="center"/>
          </w:tcPr>
          <w:p>
            <w:r/>
            <w:r>
              <w:rPr>
                <w:rFonts w:ascii="Arial" w:hAnsi="Arial"/>
                <w:sz w:val="20"/>
              </w:rPr>
              <w:t>stated (ABS 6416 RPPI discontinued after Dec-2021; no current free public index)</w:t>
            </w:r>
          </w:p>
        </w:tc>
        <w:tc>
          <w:tcPr>
            <w:tcW w:type="dxa" w:w="1337"/>
            <w:vAlign w:val="center"/>
          </w:tcPr>
          <w:p>
            <w:r/>
            <w:r>
              <w:rPr>
                <w:rFonts w:ascii="Arial" w:hAnsi="Arial"/>
                <w:sz w:val="20"/>
              </w:rPr>
              <w:t>4.0</w:t>
            </w:r>
          </w:p>
        </w:tc>
        <w:tc>
          <w:tcPr>
            <w:tcW w:type="dxa" w:w="1337"/>
            <w:vAlign w:val="center"/>
          </w:tcPr>
          <w:p>
            <w:r/>
            <w:r>
              <w:rPr>
                <w:rFonts w:ascii="Arial" w:hAnsi="Arial"/>
                <w:sz w:val="20"/>
              </w:rPr>
              <w:t>-4.0</w:t>
            </w:r>
          </w:p>
        </w:tc>
        <w:tc>
          <w:tcPr>
            <w:tcW w:type="dxa" w:w="1337"/>
            <w:vAlign w:val="center"/>
          </w:tcPr>
          <w:p>
            <w:r/>
            <w:r>
              <w:rPr>
                <w:rFonts w:ascii="Arial" w:hAnsi="Arial"/>
                <w:sz w:val="20"/>
              </w:rPr>
              <w:t>-11.0</w:t>
            </w:r>
          </w:p>
        </w:tc>
        <w:tc>
          <w:tcPr>
            <w:tcW w:type="dxa" w:w="1337"/>
            <w:vAlign w:val="center"/>
          </w:tcPr>
          <w:p>
            <w:r/>
            <w:r>
              <w:rPr>
                <w:rFonts w:ascii="Arial" w:hAnsi="Arial"/>
                <w:sz w:val="20"/>
              </w:rPr>
              <w:t>-21.0</w:t>
            </w:r>
          </w:p>
        </w:tc>
      </w:tr>
      <w:tr>
        <w:tc>
          <w:tcPr>
            <w:tcW w:type="dxa" w:w="1337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Industry / sector output (YoY %)</w:t>
            </w:r>
          </w:p>
        </w:tc>
        <w:tc>
          <w:tcPr>
            <w:tcW w:type="dxa" w:w="1337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% yoy</w:t>
            </w:r>
          </w:p>
        </w:tc>
        <w:tc>
          <w:tcPr>
            <w:tcW w:type="dxa" w:w="1337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ABS 8155 Australian Industry + 5676 Business Indicators</w:t>
            </w:r>
          </w:p>
        </w:tc>
        <w:tc>
          <w:tcPr>
            <w:tcW w:type="dxa" w:w="1337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2.0</w:t>
            </w:r>
          </w:p>
        </w:tc>
        <w:tc>
          <w:tcPr>
            <w:tcW w:type="dxa" w:w="1337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0.0</w:t>
            </w:r>
          </w:p>
        </w:tc>
        <w:tc>
          <w:tcPr>
            <w:tcW w:type="dxa" w:w="1337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-2.0</w:t>
            </w:r>
          </w:p>
        </w:tc>
        <w:tc>
          <w:tcPr>
            <w:tcW w:type="dxa" w:w="1337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-5.0</w:t>
            </w:r>
          </w:p>
        </w:tc>
      </w:tr>
      <w:tr>
        <w:tc>
          <w:tcPr>
            <w:tcW w:type="dxa" w:w="1337"/>
            <w:vAlign w:val="center"/>
          </w:tcPr>
          <w:p>
            <w:r/>
            <w:r>
              <w:rPr>
                <w:rFonts w:ascii="Arial" w:hAnsi="Arial"/>
                <w:sz w:val="20"/>
              </w:rPr>
              <w:t>Inflation (CPI, YoY %)</w:t>
            </w:r>
          </w:p>
        </w:tc>
        <w:tc>
          <w:tcPr>
            <w:tcW w:type="dxa" w:w="1337"/>
            <w:vAlign w:val="center"/>
          </w:tcPr>
          <w:p>
            <w:r/>
            <w:r>
              <w:rPr>
                <w:rFonts w:ascii="Arial" w:hAnsi="Arial"/>
                <w:sz w:val="20"/>
              </w:rPr>
              <w:t>% yoy</w:t>
            </w:r>
          </w:p>
        </w:tc>
        <w:tc>
          <w:tcPr>
            <w:tcW w:type="dxa" w:w="1337"/>
            <w:vAlign w:val="center"/>
          </w:tcPr>
          <w:p>
            <w:r/>
            <w:r>
              <w:rPr>
                <w:rFonts w:ascii="Arial" w:hAnsi="Arial"/>
                <w:sz w:val="20"/>
              </w:rPr>
              <w:t>ABS 6401 CPI (Mar 2026 quarter, all groups, through-the-year)</w:t>
            </w:r>
          </w:p>
        </w:tc>
        <w:tc>
          <w:tcPr>
            <w:tcW w:type="dxa" w:w="1337"/>
            <w:vAlign w:val="center"/>
          </w:tcPr>
          <w:p>
            <w:r/>
            <w:r>
              <w:rPr>
                <w:rFonts w:ascii="Arial" w:hAnsi="Arial"/>
                <w:sz w:val="20"/>
              </w:rPr>
              <w:t>2.4</w:t>
            </w:r>
          </w:p>
        </w:tc>
        <w:tc>
          <w:tcPr>
            <w:tcW w:type="dxa" w:w="1337"/>
            <w:vAlign w:val="center"/>
          </w:tcPr>
          <w:p>
            <w:r/>
            <w:r>
              <w:rPr>
                <w:rFonts w:ascii="Arial" w:hAnsi="Arial"/>
                <w:sz w:val="20"/>
              </w:rPr>
              <w:t>3.2</w:t>
            </w:r>
          </w:p>
        </w:tc>
        <w:tc>
          <w:tcPr>
            <w:tcW w:type="dxa" w:w="1337"/>
            <w:vAlign w:val="center"/>
          </w:tcPr>
          <w:p>
            <w:r/>
            <w:r>
              <w:rPr>
                <w:rFonts w:ascii="Arial" w:hAnsi="Arial"/>
                <w:sz w:val="20"/>
              </w:rPr>
              <w:t>3.9</w:t>
            </w:r>
          </w:p>
        </w:tc>
        <w:tc>
          <w:tcPr>
            <w:tcW w:type="dxa" w:w="1337"/>
            <w:vAlign w:val="center"/>
          </w:tcPr>
          <w:p>
            <w:r/>
            <w:r>
              <w:rPr>
                <w:rFonts w:ascii="Arial" w:hAnsi="Arial"/>
                <w:sz w:val="20"/>
              </w:rPr>
              <w:t>4.9</w:t>
            </w:r>
          </w:p>
        </w:tc>
      </w:tr>
      <w:tr>
        <w:tc>
          <w:tcPr>
            <w:tcW w:type="dxa" w:w="1337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Unemployment rate (%)</w:t>
            </w:r>
          </w:p>
        </w:tc>
        <w:tc>
          <w:tcPr>
            <w:tcW w:type="dxa" w:w="1337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%</w:t>
            </w:r>
          </w:p>
        </w:tc>
        <w:tc>
          <w:tcPr>
            <w:tcW w:type="dxa" w:w="1337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ABS 6202 Labour Force (Mar 2026, seasonally adjusted)</w:t>
            </w:r>
          </w:p>
        </w:tc>
        <w:tc>
          <w:tcPr>
            <w:tcW w:type="dxa" w:w="1337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4.3</w:t>
            </w:r>
          </w:p>
        </w:tc>
        <w:tc>
          <w:tcPr>
            <w:tcW w:type="dxa" w:w="1337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5.5</w:t>
            </w:r>
          </w:p>
        </w:tc>
        <w:tc>
          <w:tcPr>
            <w:tcW w:type="dxa" w:w="1337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6.8</w:t>
            </w:r>
          </w:p>
        </w:tc>
        <w:tc>
          <w:tcPr>
            <w:tcW w:type="dxa" w:w="1337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8.3</w:t>
            </w:r>
          </w:p>
        </w:tc>
      </w:tr>
      <w:tr>
        <w:tc>
          <w:tcPr>
            <w:tcW w:type="dxa" w:w="1337"/>
            <w:vAlign w:val="center"/>
          </w:tcPr>
          <w:p>
            <w:r/>
            <w:r>
              <w:rPr>
                <w:rFonts w:ascii="Arial" w:hAnsi="Arial"/>
                <w:sz w:val="20"/>
              </w:rPr>
              <w:t>Vacancy rate (office, %)</w:t>
            </w:r>
          </w:p>
        </w:tc>
        <w:tc>
          <w:tcPr>
            <w:tcW w:type="dxa" w:w="1337"/>
            <w:vAlign w:val="center"/>
          </w:tcPr>
          <w:p>
            <w:r/>
            <w:r>
              <w:rPr>
                <w:rFonts w:ascii="Arial" w:hAnsi="Arial"/>
                <w:sz w:val="20"/>
              </w:rPr>
              <w:t>%</w:t>
            </w:r>
          </w:p>
        </w:tc>
        <w:tc>
          <w:tcPr>
            <w:tcW w:type="dxa" w:w="1337"/>
            <w:vAlign w:val="center"/>
          </w:tcPr>
          <w:p>
            <w:r/>
            <w:r>
              <w:rPr>
                <w:rFonts w:ascii="Arial" w:hAnsi="Arial"/>
                <w:sz w:val="20"/>
              </w:rPr>
              <w:t>assumption</w:t>
            </w:r>
          </w:p>
        </w:tc>
        <w:tc>
          <w:tcPr>
            <w:tcW w:type="dxa" w:w="1337"/>
            <w:vAlign w:val="center"/>
          </w:tcPr>
          <w:p>
            <w:r/>
            <w:r>
              <w:rPr>
                <w:rFonts w:ascii="Arial" w:hAnsi="Arial"/>
                <w:sz w:val="20"/>
              </w:rPr>
              <w:t>12.0</w:t>
            </w:r>
          </w:p>
        </w:tc>
        <w:tc>
          <w:tcPr>
            <w:tcW w:type="dxa" w:w="1337"/>
            <w:vAlign w:val="center"/>
          </w:tcPr>
          <w:p>
            <w:r/>
            <w:r>
              <w:rPr>
                <w:rFonts w:ascii="Arial" w:hAnsi="Arial"/>
                <w:sz w:val="20"/>
              </w:rPr>
              <w:t>14.0</w:t>
            </w:r>
          </w:p>
        </w:tc>
        <w:tc>
          <w:tcPr>
            <w:tcW w:type="dxa" w:w="1337"/>
            <w:vAlign w:val="center"/>
          </w:tcPr>
          <w:p>
            <w:r/>
            <w:r>
              <w:rPr>
                <w:rFonts w:ascii="Arial" w:hAnsi="Arial"/>
                <w:sz w:val="20"/>
              </w:rPr>
              <w:t>16.0</w:t>
            </w:r>
          </w:p>
        </w:tc>
        <w:tc>
          <w:tcPr>
            <w:tcW w:type="dxa" w:w="1337"/>
            <w:vAlign w:val="center"/>
          </w:tcPr>
          <w:p>
            <w:r/>
            <w:r>
              <w:rPr>
                <w:rFonts w:ascii="Arial" w:hAnsi="Arial"/>
                <w:sz w:val="20"/>
              </w:rPr>
              <w:t>19.0</w:t>
            </w:r>
          </w:p>
        </w:tc>
      </w:tr>
      <w:tr>
        <w:tc>
          <w:tcPr>
            <w:tcW w:type="dxa" w:w="1337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Wage growth (WPI, YoY %)</w:t>
            </w:r>
          </w:p>
        </w:tc>
        <w:tc>
          <w:tcPr>
            <w:tcW w:type="dxa" w:w="1337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% yoy</w:t>
            </w:r>
          </w:p>
        </w:tc>
        <w:tc>
          <w:tcPr>
            <w:tcW w:type="dxa" w:w="1337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ABS 6345 Wage Price Index (Mar 2026 quarter, through-the-year)</w:t>
            </w:r>
          </w:p>
        </w:tc>
        <w:tc>
          <w:tcPr>
            <w:tcW w:type="dxa" w:w="1337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3.3</w:t>
            </w:r>
          </w:p>
        </w:tc>
        <w:tc>
          <w:tcPr>
            <w:tcW w:type="dxa" w:w="1337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2.8</w:t>
            </w:r>
          </w:p>
        </w:tc>
        <w:tc>
          <w:tcPr>
            <w:tcW w:type="dxa" w:w="1337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2.3</w:t>
            </w:r>
          </w:p>
        </w:tc>
        <w:tc>
          <w:tcPr>
            <w:tcW w:type="dxa" w:w="1337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1.5</w:t>
            </w:r>
          </w:p>
        </w:tc>
      </w:tr>
    </w:tbl>
    <w:p/>
    <w:p>
      <w:r>
        <w:rPr>
          <w:rFonts w:ascii="Arial" w:hAnsi="Arial"/>
          <w:b w:val="0"/>
          <w:i/>
          <w:color w:val="7F7F7F"/>
          <w:sz w:val="20"/>
        </w:rPr>
        <w:t>Which macro drivers move which portfolio (illustrative)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Portfolio</w:t>
            </w:r>
          </w:p>
        </w:tc>
        <w:tc>
          <w:tcPr>
            <w:tcW w:type="dxa" w:w="468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Material macro drivers</w:t>
            </w:r>
          </w:p>
        </w:tc>
      </w:tr>
      <w:tr>
        <w:tc>
          <w:tcPr>
            <w:tcW w:type="dxa" w:w="4680"/>
            <w:vAlign w:val="center"/>
          </w:tcPr>
          <w:p>
            <w:r/>
            <w:r>
              <w:rPr>
                <w:rFonts w:ascii="Arial" w:hAnsi="Arial"/>
                <w:sz w:val="20"/>
              </w:rPr>
              <w:t>Residential mortgages</w:t>
            </w:r>
          </w:p>
        </w:tc>
        <w:tc>
          <w:tcPr>
            <w:tcW w:type="dxa" w:w="4680"/>
            <w:vAlign w:val="center"/>
          </w:tcPr>
          <w:p>
            <w:r/>
            <w:r>
              <w:rPr>
                <w:rFonts w:ascii="Arial" w:hAnsi="Arial"/>
                <w:sz w:val="20"/>
              </w:rPr>
              <w:t>unemployment, cash rate, wage growth, house prices</w:t>
            </w:r>
          </w:p>
        </w:tc>
      </w:tr>
      <w:tr>
        <w:tc>
          <w:tcPr>
            <w:tcW w:type="dxa" w:w="468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Credit cards</w:t>
            </w:r>
          </w:p>
        </w:tc>
        <w:tc>
          <w:tcPr>
            <w:tcW w:type="dxa" w:w="468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unemployment, wage growth, inflation</w:t>
            </w:r>
          </w:p>
        </w:tc>
      </w:tr>
      <w:tr>
        <w:tc>
          <w:tcPr>
            <w:tcW w:type="dxa" w:w="4680"/>
            <w:vAlign w:val="center"/>
          </w:tcPr>
          <w:p>
            <w:r/>
            <w:r>
              <w:rPr>
                <w:rFonts w:ascii="Arial" w:hAnsi="Arial"/>
                <w:sz w:val="20"/>
              </w:rPr>
              <w:t>SME lending</w:t>
            </w:r>
          </w:p>
        </w:tc>
        <w:tc>
          <w:tcPr>
            <w:tcW w:type="dxa" w:w="4680"/>
            <w:vAlign w:val="center"/>
          </w:tcPr>
          <w:p>
            <w:r/>
            <w:r>
              <w:rPr>
                <w:rFonts w:ascii="Arial" w:hAnsi="Arial"/>
                <w:sz w:val="20"/>
              </w:rPr>
              <w:t>GDP, unemployment, cash rate, sector output</w:t>
            </w:r>
          </w:p>
        </w:tc>
      </w:tr>
      <w:tr>
        <w:tc>
          <w:tcPr>
            <w:tcW w:type="dxa" w:w="468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Corporate lending</w:t>
            </w:r>
          </w:p>
        </w:tc>
        <w:tc>
          <w:tcPr>
            <w:tcW w:type="dxa" w:w="468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GDP, sector output, cash rate, exchange rate</w:t>
            </w:r>
          </w:p>
        </w:tc>
      </w:tr>
      <w:tr>
        <w:tc>
          <w:tcPr>
            <w:tcW w:type="dxa" w:w="4680"/>
            <w:vAlign w:val="center"/>
          </w:tcPr>
          <w:p>
            <w:r/>
            <w:r>
              <w:rPr>
                <w:rFonts w:ascii="Arial" w:hAnsi="Arial"/>
                <w:sz w:val="20"/>
              </w:rPr>
              <w:t>Commercial property</w:t>
            </w:r>
          </w:p>
        </w:tc>
        <w:tc>
          <w:tcPr>
            <w:tcW w:type="dxa" w:w="4680"/>
            <w:vAlign w:val="center"/>
          </w:tcPr>
          <w:p>
            <w:r/>
            <w:r>
              <w:rPr>
                <w:rFonts w:ascii="Arial" w:hAnsi="Arial"/>
                <w:sz w:val="20"/>
              </w:rPr>
              <w:t>property prices, vacancy, rents, cap rates, cash rate</w:t>
            </w:r>
          </w:p>
        </w:tc>
      </w:tr>
      <w:tr>
        <w:tc>
          <w:tcPr>
            <w:tcW w:type="dxa" w:w="468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Development finance</w:t>
            </w:r>
          </w:p>
        </w:tc>
        <w:tc>
          <w:tcPr>
            <w:tcW w:type="dxa" w:w="468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property prices, GDP, vacancy, cash rate</w:t>
            </w:r>
          </w:p>
        </w:tc>
      </w:tr>
    </w:tbl>
    <w:p/>
    <w:p>
      <w:r>
        <w:rPr>
          <w:rFonts w:ascii="Arial" w:hAnsi="Arial"/>
          <w:b w:val="0"/>
          <w:i/>
          <w:color w:val="7F7F7F"/>
          <w:sz w:val="20"/>
        </w:rPr>
        <w:t>Macro-derived segment multipliers (PD / LGD / EAD)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Segment</w:t>
            </w:r>
          </w:p>
        </w:tc>
        <w:tc>
          <w:tcPr>
            <w:tcW w:type="dxa" w:w="1872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Scenario</w:t>
            </w:r>
          </w:p>
        </w:tc>
        <w:tc>
          <w:tcPr>
            <w:tcW w:type="dxa" w:w="1872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PD x</w:t>
            </w:r>
          </w:p>
        </w:tc>
        <w:tc>
          <w:tcPr>
            <w:tcW w:type="dxa" w:w="1872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LGD x</w:t>
            </w:r>
          </w:p>
        </w:tc>
        <w:tc>
          <w:tcPr>
            <w:tcW w:type="dxa" w:w="1872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EAD x</w:t>
            </w:r>
          </w:p>
        </w:tc>
      </w:tr>
      <w:tr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residential_mortgages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base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</w:tr>
      <w:tr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residential_mortgages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mild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1.4129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1.1523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1.0649</w:t>
            </w:r>
          </w:p>
        </w:tc>
      </w:tr>
      <w:tr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residential_mortgages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moderate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1.8357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1.2936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1.1291</w:t>
            </w:r>
          </w:p>
        </w:tc>
      </w:tr>
      <w:tr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residential_mortgages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severe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2.35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1.48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1.2</w:t>
            </w:r>
          </w:p>
        </w:tc>
      </w:tr>
      <w:tr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credit_cards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base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</w:tr>
      <w:tr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credit_cards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mild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1.4906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1.1267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1.0786</w:t>
            </w:r>
          </w:p>
        </w:tc>
      </w:tr>
      <w:tr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credit_cards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moderate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1.9886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1.2535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1.1533</w:t>
            </w:r>
          </w:p>
        </w:tc>
      </w:tr>
      <w:tr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credit_cards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severe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2.65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1.42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1.24</w:t>
            </w:r>
          </w:p>
        </w:tc>
      </w:tr>
      <w:tr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sme_lending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base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</w:tr>
      <w:tr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sme_lending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mild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1.5241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1.1521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1.0906</w:t>
            </w:r>
          </w:p>
        </w:tc>
      </w:tr>
      <w:tr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sme_lending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moderate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2.0259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1.3053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1.1757</w:t>
            </w:r>
          </w:p>
        </w:tc>
      </w:tr>
      <w:tr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sme_lending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severe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2.65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1.54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1.28</w:t>
            </w:r>
          </w:p>
        </w:tc>
      </w:tr>
      <w:tr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corporate_lending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base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</w:tr>
      <w:tr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corporate_lending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mild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1.4823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1.1549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1.0913</w:t>
            </w:r>
          </w:p>
        </w:tc>
      </w:tr>
      <w:tr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corporate_lending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moderate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1.9307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1.3156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1.177</w:t>
            </w:r>
          </w:p>
        </w:tc>
      </w:tr>
      <w:tr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corporate_lending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severe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2.5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1.54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1.28</w:t>
            </w:r>
          </w:p>
        </w:tc>
      </w:tr>
      <w:tr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commercial_property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base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</w:tr>
      <w:tr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commercial_property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mild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1.5409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1.18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1.0968</w:t>
            </w:r>
          </w:p>
        </w:tc>
      </w:tr>
      <w:tr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commercial_property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moderate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2.127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1.3973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1.1958</w:t>
            </w:r>
          </w:p>
        </w:tc>
      </w:tr>
      <w:tr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commercial_property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severe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2.95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1.72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1.32</w:t>
            </w:r>
          </w:p>
        </w:tc>
      </w:tr>
      <w:tr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development_finance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base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</w:tr>
      <w:tr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development_finance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mild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1.6664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1.195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1.1116</w:t>
            </w:r>
          </w:p>
        </w:tc>
      </w:tr>
      <w:tr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development_finance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moderate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2.3292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1.4273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1.2219</w:t>
            </w:r>
          </w:p>
        </w:tc>
      </w:tr>
      <w:tr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development_finance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severe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3.25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1.78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1.36</w:t>
            </w:r>
          </w:p>
        </w:tc>
      </w:tr>
    </w:tbl>
    <w:p/>
    <w:p>
      <w:r>
        <w:rPr>
          <w:rFonts w:ascii="Arial" w:hAnsi="Arial"/>
          <w:b w:val="0"/>
          <w:i/>
          <w:color w:val="7F7F7F"/>
          <w:sz w:val="20"/>
        </w:rPr>
        <w:t>Demonstration - facility roll-up to portfolio EL (illustrative demo book)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Scenario</w:t>
            </w:r>
          </w:p>
        </w:tc>
        <w:tc>
          <w:tcPr>
            <w:tcW w:type="dxa" w:w="1872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Facilities</w:t>
            </w:r>
          </w:p>
        </w:tc>
        <w:tc>
          <w:tcPr>
            <w:tcW w:type="dxa" w:w="1872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Base EL ($)</w:t>
            </w:r>
          </w:p>
        </w:tc>
        <w:tc>
          <w:tcPr>
            <w:tcW w:type="dxa" w:w="1872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Stressed EL ($)</w:t>
            </w:r>
          </w:p>
        </w:tc>
        <w:tc>
          <w:tcPr>
            <w:tcW w:type="dxa" w:w="1872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EL uplift x</w:t>
            </w:r>
          </w:p>
        </w:tc>
      </w:tr>
      <w:tr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base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6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79293.72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79293.72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</w:tr>
      <w:tr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mild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6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79293.72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153321.21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1.934</w:t>
            </w:r>
          </w:p>
        </w:tc>
      </w:tr>
      <w:tr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moderate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6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79293.72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256331.65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3.233</w:t>
            </w:r>
          </w:p>
        </w:tc>
      </w:tr>
      <w:tr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severe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6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79293.72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447755.57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5.647</w:t>
            </w:r>
          </w:p>
        </w:tc>
      </w:tr>
    </w:tbl>
    <w:p/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4B183"/>
            <w:vAlign w:val="top"/>
            <w:tcBorders>
              <w:top w:val="single" w:sz="8" w:color="F4B183"/>
              <w:left w:val="single" w:sz="8" w:color="F4B183"/>
              <w:bottom w:val="single" w:sz="8" w:color="F4B183"/>
              <w:right w:val="single" w:sz="8" w:color="F4B183"/>
            </w:tcBorders>
          </w:tcPr>
          <w:p>
            <w:r/>
            <w:r>
              <w:rPr>
                <w:rFonts w:ascii="Arial" w:hAnsi="Arial"/>
                <w:b/>
                <w:sz w:val="22"/>
              </w:rPr>
              <w:t>Macro stress - scope and governance</w:t>
            </w:r>
          </w:p>
          <w:p>
            <w:r>
              <w:rPr>
                <w:rFonts w:ascii="Arial" w:hAnsi="Arial"/>
                <w:sz w:val="20"/>
              </w:rPr>
              <w:t>Illustrative scenario design — not calibrated regulatory stress. Base levels are current values from the named ABS/RBA series; the four CRE variables (commercial-property prices, vacancy, rents, cap rates) and all elasticities are labelled assumptions. The portfolio roll-up is exposure-weighted with no diversification benefit. Reverse stress: the moderate scenario (EL uplift 3.23x) first breaches a 2.0x illustrative appetite ceiling. A bank normally builds separate models per material portfolio or a pooled model with portfolio/sector effects; this layer supplies the macro-credit linkage either consumes.</w:t>
            </w:r>
          </w:p>
        </w:tc>
      </w:tr>
    </w:tbl>
    <w:p/>
    <w:p>
      <w:pPr>
        <w:spacing w:before="280" w:after="120"/>
      </w:pPr>
      <w:r>
        <w:rPr>
          <w:rFonts w:ascii="Arial" w:hAnsi="Arial"/>
          <w:b/>
          <w:color w:val="1F4E79"/>
          <w:sz w:val="32"/>
        </w:rPr>
        <w:t>Appendix A — Audit log (this session)</w:t>
      </w:r>
    </w:p>
    <w:p>
      <w:r>
        <w:rPr>
          <w:rFonts w:ascii="Arial" w:hAnsi="Arial"/>
          <w:b/>
          <w:i w:val="0"/>
        </w:rPr>
        <w:t>Date: 2026-06-16</w:t>
      </w:r>
    </w:p>
    <w:p>
      <w:r>
        <w:rPr>
          <w:rFonts w:ascii="Arial" w:hAnsi="Arial"/>
          <w:b w:val="0"/>
          <w:i w:val="0"/>
        </w:rPr>
        <w:t>Scope: Phase 1 baseline audit, Phase 2 anomaly scan, Phase 3 test-coverage audit + contract tests, Phase 4a markdown report build, Phase 4b DOCX + HTML renderers.</w:t>
      </w:r>
    </w:p>
    <w:p>
      <w:pPr>
        <w:spacing w:before="200" w:after="80"/>
      </w:pPr>
      <w:r>
        <w:rPr>
          <w:rFonts w:ascii="Arial" w:hAnsi="Arial"/>
          <w:b/>
          <w:color w:val="2E75B6"/>
          <w:sz w:val="26"/>
        </w:rPr>
        <w:t>Phase 1 — Baseline</w:t>
      </w:r>
    </w:p>
    <w:p>
      <w:r>
        <w:rPr>
          <w:rFonts w:ascii="Arial" w:hAnsi="Arial"/>
          <w:b w:val="0"/>
          <w:i w:val="0"/>
        </w:rPr>
        <w:t>• Test suite: 54 passed, 0 failed, 0 skipped, 0 warnings (pre-Phase-3).</w:t>
      </w:r>
    </w:p>
    <w:p>
      <w:r>
        <w:rPr>
          <w:rFonts w:ascii="Arial" w:hAnsi="Arial"/>
          <w:b w:val="0"/>
          <w:i w:val="0"/>
        </w:rPr>
        <w:t>• Pipeline scripts: all five completed cleanly after raw ABS/RBA data was copied from the main checkout into the worktree (git-ignored by design).</w:t>
      </w:r>
    </w:p>
    <w:p>
      <w:r>
        <w:rPr>
          <w:rFonts w:ascii="Arial" w:hAnsi="Arial"/>
          <w:b w:val="0"/>
          <w:i w:val="0"/>
        </w:rPr>
        <w:t>• Validator: 12/12 checks green.</w:t>
      </w:r>
    </w:p>
    <w:p>
      <w:r>
        <w:rPr>
          <w:rFonts w:ascii="Arial" w:hAnsi="Arial"/>
          <w:b w:val="0"/>
          <w:i w:val="0"/>
        </w:rPr>
        <w:t>• Exports: 6/6 present and non-empty. Dated exports within ~2 months of today; not stale.</w:t>
      </w:r>
    </w:p>
    <w:p>
      <w:pPr>
        <w:spacing w:before="200" w:after="80"/>
      </w:pPr>
      <w:r>
        <w:rPr>
          <w:rFonts w:ascii="Arial" w:hAnsi="Arial"/>
          <w:b/>
          <w:color w:val="2E75B6"/>
          <w:sz w:val="26"/>
        </w:rPr>
        <w:t>Phase 2 — Anomaly scan</w:t>
      </w:r>
    </w:p>
    <w:p>
      <w:r>
        <w:rPr>
          <w:rFonts w:ascii="Arial" w:hAnsi="Arial"/>
          <w:b w:val="0"/>
          <w:i w:val="0"/>
        </w:rPr>
        <w:t>• HIGH findings: 0. MEDIUM findings: 0. LOW findings: 2 (informational, null-pattern diagnostics).</w:t>
      </w:r>
    </w:p>
    <w:p>
      <w:r>
        <w:rPr>
          <w:rFonts w:ascii="Arial" w:hAnsi="Arial"/>
          <w:b w:val="0"/>
          <w:i w:val="0"/>
        </w:rPr>
        <w:t>• 21 nulls in business_cycle_panel confirmed as documented-by-design. Every null-bearing row is labelled 'Fallback' in inventory_days_est_source; every non-null row labelled 'ABS quarterly'. Zero exceptions.</w:t>
      </w:r>
    </w:p>
    <w:p>
      <w:r>
        <w:rPr>
          <w:rFonts w:ascii="Arial" w:hAnsi="Arial"/>
          <w:b w:val="0"/>
          <w:i w:val="0"/>
        </w:rPr>
        <w:t>• Core scoring columns (classification_risk_score, macro_risk_score, industry_base_risk_score, industry_base_risk_level) have 0 nulls.</w:t>
      </w:r>
    </w:p>
    <w:p>
      <w:r>
        <w:rPr>
          <w:rFonts w:ascii="Arial" w:hAnsi="Arial"/>
          <w:b w:val="0"/>
          <w:i w:val="0"/>
        </w:rPr>
        <w:t>• Scoring functions in src/utils.py map null inputs to a neutral factor score (3) — null-tolerant by design.</w:t>
      </w:r>
    </w:p>
    <w:p>
      <w:pPr>
        <w:spacing w:before="200" w:after="80"/>
      </w:pPr>
      <w:r>
        <w:rPr>
          <w:rFonts w:ascii="Arial" w:hAnsi="Arial"/>
          <w:b/>
          <w:color w:val="2E75B6"/>
          <w:sz w:val="26"/>
        </w:rPr>
        <w:t>Phase 3 — Test coverage</w:t>
      </w:r>
    </w:p>
    <w:p>
      <w:r>
        <w:rPr>
          <w:rFonts w:ascii="Arial" w:hAnsi="Arial"/>
          <w:b w:val="0"/>
          <w:i w:val="0"/>
        </w:rPr>
        <w:t>• Baseline: 15 of 23 source modules had direct test imports; 8 untested.</w:t>
      </w:r>
    </w:p>
    <w:p>
      <w:r>
        <w:rPr>
          <w:rFonts w:ascii="Arial" w:hAnsi="Arial"/>
          <w:b w:val="0"/>
          <w:i w:val="0"/>
        </w:rPr>
        <w:t>• Added tests/test_export_contracts.py (6 test functions expanding to 18 parametrized cases) covering the canonical contract boundary.</w:t>
      </w:r>
    </w:p>
    <w:p>
      <w:r>
        <w:rPr>
          <w:rFonts w:ascii="Arial" w:hAnsi="Arial"/>
          <w:b w:val="0"/>
          <w:i w:val="0"/>
        </w:rPr>
        <w:t>• Final count: 77 tests passing (72 after Phase 3 + 5 renderer tests in Phase 4b).</w:t>
      </w:r>
    </w:p>
    <w:p>
      <w:r>
        <w:rPr>
          <w:rFonts w:ascii="Arial" w:hAnsi="Arial"/>
          <w:b w:val="0"/>
          <w:i w:val="0"/>
        </w:rPr>
        <w:t>• Deferred Tier-2 builder tests as duplication of contract-test coverage.</w:t>
      </w:r>
    </w:p>
    <w:p>
      <w:pPr>
        <w:spacing w:before="200" w:after="80"/>
      </w:pPr>
      <w:r>
        <w:rPr>
          <w:rFonts w:ascii="Arial" w:hAnsi="Arial"/>
          <w:b/>
          <w:color w:val="2E75B6"/>
          <w:sz w:val="26"/>
        </w:rPr>
        <w:t>Phase 4 — Board report</w:t>
      </w:r>
    </w:p>
    <w:p>
      <w:r>
        <w:rPr>
          <w:rFonts w:ascii="Arial" w:hAnsi="Arial"/>
          <w:b w:val="0"/>
          <w:i w:val="0"/>
        </w:rPr>
        <w:t>• Phase 4a: markdown renderer + CLI; two files per run (Board + Technical).</w:t>
      </w:r>
    </w:p>
    <w:p>
      <w:r>
        <w:rPr>
          <w:rFonts w:ascii="Arial" w:hAnsi="Arial"/>
          <w:b w:val="0"/>
          <w:i w:val="0"/>
        </w:rPr>
        <w:t>• Phase 4b: DOCX renderer (reports/render_docx.py), HTML renderer (reports/render_html.py), CLI extended with --format all to emit all six files.</w:t>
      </w:r>
    </w:p>
    <w:p>
      <w:r>
        <w:rPr>
          <w:rFonts w:ascii="Arial" w:hAnsi="Arial"/>
          <w:b w:val="0"/>
          <w:i w:val="0"/>
        </w:rPr>
        <w:t>• Content tweaks applied: Section 2 macro-commentary rewrite; Section 9 Board Construction callout expanded with Porter Davis / Probuild / Clough context; Section 1 'How to read this report' callout added.</w:t>
      </w:r>
    </w:p>
    <w:p>
      <w:pPr>
        <w:spacing w:before="200" w:after="80"/>
      </w:pPr>
      <w:r>
        <w:rPr>
          <w:rFonts w:ascii="Arial" w:hAnsi="Arial"/>
          <w:b/>
          <w:color w:val="2E75B6"/>
          <w:sz w:val="26"/>
        </w:rPr>
        <w:t>Methodology observations (not bugs)</w:t>
      </w:r>
    </w:p>
    <w:p>
      <w:r>
        <w:rPr>
          <w:rFonts w:ascii="Arial" w:hAnsi="Arial"/>
          <w:b w:val="0"/>
          <w:i w:val="0"/>
        </w:rPr>
        <w:t>• Construction base risk score (2.95, 'Moderate-high') — logged as an active methodology review item. See Section 9 of this report. Session: noted, not fixed.</w:t>
      </w:r>
    </w:p>
    <w:p>
      <w:pPr>
        <w:spacing w:before="200" w:after="80"/>
      </w:pPr>
      <w:r>
        <w:rPr>
          <w:rFonts w:ascii="Arial" w:hAnsi="Arial"/>
          <w:b/>
          <w:color w:val="2E75B6"/>
          <w:sz w:val="26"/>
        </w:rPr>
        <w:t>Dev-ergonomics notes</w:t>
      </w:r>
    </w:p>
    <w:p>
      <w:r>
        <w:rPr>
          <w:rFonts w:ascii="Arial" w:hAnsi="Arial"/>
          <w:b w:val="0"/>
          <w:i w:val="0"/>
        </w:rPr>
        <w:t>• Fresh git worktrees do not carry the git-ignored raw ABS/RBA staging directories. Copy them from a primary checkout, or add a bootstrap_worktree.py helper. Not urgent; logged for future consideration.</w:t>
      </w:r>
    </w:p>
    <w:p>
      <w:r>
        <w:rPr>
          <w:rFonts w:ascii="Arial" w:hAnsi="Arial"/>
          <w:b w:val="0"/>
          <w:i/>
          <w:color w:val="7F7F7F"/>
          <w:sz w:val="18"/>
        </w:rPr>
        <w:t>END OF REPORT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Arial" w:hAnsi="Arial"/>
        <w:color w:val="7F7F7F"/>
        <w:sz w:val="18"/>
      </w:rP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/>
    <w:r>
      <w:rPr>
        <w:rFonts w:ascii="Arial" w:hAnsi="Arial"/>
        <w:color w:val="7F7F7F"/>
        <w:sz w:val="18"/>
      </w:rPr>
      <w:t>Industry Analysis Report  |  Q1 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 w:eastAsia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