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Board Summary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2026-06-12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2026-03-16.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a summary view for non-technical reviewers. Every table in this document traces back to the canonical CSV contracts in outputs/contracts/. For full per-column detail, methodology references, and the audit-log appendix, see the Technical variant.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reads the credit-risk temperature of the Australian economy from public data, so a lender can see which industries and property segments are getting riskier before it shows up in arrears or losses. It covers 18 industries (ANZSIC divisions) and 5 commercial-property segments for Q1 2026, and turns them into ready-to-use PD and LGD stress inputs.</w:t>
      </w:r>
    </w:p>
    <w:p>
      <w:r>
        <w:rPr>
          <w:rFonts w:ascii="Arial" w:hAnsi="Arial"/>
          <w:b w:val="0"/>
          <w:i w:val="0"/>
        </w:rPr>
        <w:t>Headline picture: the cash rate is 3.85% (-0.25 points over the past year) and the arrears backdrop is low and improving, so the macro regime is set to 'base'. Against that backdrop, 4 of 18 industries score Elevated on the 1-5 risk scale, and 0 of 5 property segments are in downturn. The downturn-overlay table translates this into stress multipliers — up to 2.00x on PD in a severe scenario — that a pricing or expected-loss model can apply directly.</w:t>
      </w:r>
    </w:p>
    <w:p>
      <w:r>
        <w:rPr>
          <w:rFonts w:ascii="Arial" w:hAnsi="Arial"/>
          <w:b w:val="0"/>
          <w:i w:val="0"/>
        </w:rPr>
        <w:t>Macro and downturn overlays are dated 2026-03-16; property-cycle data is dated 2026-02-01. The headline numbers are in Section 2; every figure traces back to a named public source in Sections 3-5.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These are the calibrated outputs and operating numbers reviewers usually need first.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One row is shown for every item in the canonical source registry. Missing and manual sources are visible by design.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2026-06-11T12:01:13+00:00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2026-06-11T12:01:14+00:00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2026-06-11T12:01:14+00:00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2026-04-04T00:14:08+00:00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298051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Every canonical CSV export in outputs/contracts/ appears exactly once with its inputs, builder, row count, and validation status.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2026-06-12T09:37:59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The tables below include the actual analytical rows behind the report, not only file pointers.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 and scenario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-0.25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mild downturn for conservative portfolio calibration.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2026-03-16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neutral_easing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This appendix-style section maps analytical tables back to source inventory entries and transformation scripts.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This section lists registered sources that are manual, missing, outdated, gated, or otherwise not automatically captured.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Completeness checks cover source inventory, transformations, detail rows, lineage, gaps, and missing-data handling.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No missing source is silently dropped. Sources without current data show as missing or manually staged in the inventory and reappear in the out-of-scope section with the required action.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