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Technical Detail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2026-06-12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2026-03-16.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the full-detail variant for MRC, audit, and model-risk review. It includes per-row technical commentary, source URLs, the full Construction methodology review item, and the audit log as an appendix.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contains source inventory, transformations, analytical output rows, lineage, known gaps, and validation status in the same document. It covers 18 industries, 5 property segments, all 30 registered public sources, and all 8 canonical exports. Source registry basis: PUBLIC_SOURCE_URLS plus scraper-produced RBA publication manifest keys; manifest-backed vintages come from data/raw/public/_manifest.json when present.</w:t>
      </w:r>
    </w:p>
    <w:p>
      <w:r>
        <w:rPr>
          <w:rFonts w:ascii="Arial" w:hAnsi="Arial"/>
          <w:b w:val="0"/>
          <w:i w:val="0"/>
        </w:rPr>
        <w:t>Headline picture: cash rate 3.85% (-0.25pp YoY), arrears Low / Improving, macro_regime_flag='base' (cash_rate_regime='neutral_easing'). 4 industries are Elevated; 0 property segments are in downturn; severe PD multiplier 2.00x.</w:t>
      </w:r>
    </w:p>
    <w:p>
      <w:r>
        <w:rPr>
          <w:rFonts w:ascii="Arial" w:hAnsi="Arial"/>
          <w:b w:val="0"/>
          <w:i w:val="0"/>
        </w:rPr>
        <w:t>Data freshness: macro/downturn overlays 2026-03-16; property-cycle 2026-02-01; generated 2026-06-12.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Each headline includes a trace pointer to the export or source chain that produced it.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Canonical registry for this project: src.config.PUBLIC_SOURCE_URLS plus scraper-produced RBA publication manifest keys.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2026-06-11T12:01:13+00:00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2026-06-11T12:01:14+00:00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2026-06-11T12:01:14+00:00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298051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Validation status is derived from export presence and non-empty row count; schema-level tests remain in the pytest suite.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Wide exports are column-compacted for readability but keep every source row in the report table.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Contract role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Join grain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 snapshot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table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 and scenario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Single as-of-date regime row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ANZSIC-division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diagnostics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segment-by-region diagnostics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Per-building-type non-residential detail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neutral_easing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A reviewer can resolve a number by table row, transformation row, then source inventory row within three hops.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These rows are the operator priority list for the next refresh cycle.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The integration test tests/integration/test_board_report_completeness.py is the executable contract for this section.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The report does not fabricate current-period values. Prior-period or manually staged values remain dated through their source inventory period, manifest timestamp, export as_of_date, or build timestamp.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Appendix A — Audit log (this session)</w:t>
      </w:r>
    </w:p>
    <w:p>
      <w:r>
        <w:rPr>
          <w:rFonts w:ascii="Arial" w:hAnsi="Arial"/>
          <w:b/>
          <w:i w:val="0"/>
        </w:rPr>
        <w:t>Date: 2026-06-12</w:t>
      </w:r>
    </w:p>
    <w:p>
      <w:r>
        <w:rPr>
          <w:rFonts w:ascii="Arial" w:hAnsi="Arial"/>
          <w:b w:val="0"/>
          <w:i w:val="0"/>
        </w:rPr>
        <w:t>Scope: Phase 1 baseline audit, Phase 2 anomaly scan, Phase 3 test-coverage audit + contract tests, Phase 4a markdown report build, Phase 4b DOCX + HTML renderers.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1 — Baseline</w:t>
      </w:r>
    </w:p>
    <w:p>
      <w:r>
        <w:rPr>
          <w:rFonts w:ascii="Arial" w:hAnsi="Arial"/>
          <w:b w:val="0"/>
          <w:i w:val="0"/>
        </w:rPr>
        <w:t>• Test suite: 54 passed, 0 failed, 0 skipped, 0 warnings (pre-Phase-3).</w:t>
      </w:r>
    </w:p>
    <w:p>
      <w:r>
        <w:rPr>
          <w:rFonts w:ascii="Arial" w:hAnsi="Arial"/>
          <w:b w:val="0"/>
          <w:i w:val="0"/>
        </w:rPr>
        <w:t>• Pipeline scripts: all five completed cleanly after raw ABS/RBA data was copied from the main checkout into the worktree (git-ignored by design).</w:t>
      </w:r>
    </w:p>
    <w:p>
      <w:r>
        <w:rPr>
          <w:rFonts w:ascii="Arial" w:hAnsi="Arial"/>
          <w:b w:val="0"/>
          <w:i w:val="0"/>
        </w:rPr>
        <w:t>• Validator: 12/12 checks green.</w:t>
      </w:r>
    </w:p>
    <w:p>
      <w:r>
        <w:rPr>
          <w:rFonts w:ascii="Arial" w:hAnsi="Arial"/>
          <w:b w:val="0"/>
          <w:i w:val="0"/>
        </w:rPr>
        <w:t>• Exports: 6/6 present and non-empty. Dated exports within ~2 months of today; not stale.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2 — Anomaly scan</w:t>
      </w:r>
    </w:p>
    <w:p>
      <w:r>
        <w:rPr>
          <w:rFonts w:ascii="Arial" w:hAnsi="Arial"/>
          <w:b w:val="0"/>
          <w:i w:val="0"/>
        </w:rPr>
        <w:t>• HIGH findings: 0. MEDIUM findings: 0. LOW findings: 2 (informational, null-pattern diagnostics).</w:t>
      </w:r>
    </w:p>
    <w:p>
      <w:r>
        <w:rPr>
          <w:rFonts w:ascii="Arial" w:hAnsi="Arial"/>
          <w:b w:val="0"/>
          <w:i w:val="0"/>
        </w:rPr>
        <w:t>• 21 nulls in business_cycle_panel confirmed as documented-by-design. Every null-bearing row is labelled 'Fallback' in inventory_days_est_source; every non-null row labelled 'ABS quarterly'. Zero exceptions.</w:t>
      </w:r>
    </w:p>
    <w:p>
      <w:r>
        <w:rPr>
          <w:rFonts w:ascii="Arial" w:hAnsi="Arial"/>
          <w:b w:val="0"/>
          <w:i w:val="0"/>
        </w:rPr>
        <w:t>• Core scoring columns (classification_risk_score, macro_risk_score, industry_base_risk_score, industry_base_risk_level) have 0 nulls.</w:t>
      </w:r>
    </w:p>
    <w:p>
      <w:r>
        <w:rPr>
          <w:rFonts w:ascii="Arial" w:hAnsi="Arial"/>
          <w:b w:val="0"/>
          <w:i w:val="0"/>
        </w:rPr>
        <w:t>• Scoring functions in src/utils.py map null inputs to a neutral factor score (3) — null-tolerant by design.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3 — Test coverage</w:t>
      </w:r>
    </w:p>
    <w:p>
      <w:r>
        <w:rPr>
          <w:rFonts w:ascii="Arial" w:hAnsi="Arial"/>
          <w:b w:val="0"/>
          <w:i w:val="0"/>
        </w:rPr>
        <w:t>• Baseline: 15 of 23 source modules had direct test imports; 8 untested.</w:t>
      </w:r>
    </w:p>
    <w:p>
      <w:r>
        <w:rPr>
          <w:rFonts w:ascii="Arial" w:hAnsi="Arial"/>
          <w:b w:val="0"/>
          <w:i w:val="0"/>
        </w:rPr>
        <w:t>• Added tests/test_export_contracts.py (6 test functions expanding to 18 parametrized cases) covering the canonical contract boundary.</w:t>
      </w:r>
    </w:p>
    <w:p>
      <w:r>
        <w:rPr>
          <w:rFonts w:ascii="Arial" w:hAnsi="Arial"/>
          <w:b w:val="0"/>
          <w:i w:val="0"/>
        </w:rPr>
        <w:t>• Final count: 77 tests passing (72 after Phase 3 + 5 renderer tests in Phase 4b).</w:t>
      </w:r>
    </w:p>
    <w:p>
      <w:r>
        <w:rPr>
          <w:rFonts w:ascii="Arial" w:hAnsi="Arial"/>
          <w:b w:val="0"/>
          <w:i w:val="0"/>
        </w:rPr>
        <w:t>• Deferred Tier-2 builder tests as duplication of contract-test coverage.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4 — Board report</w:t>
      </w:r>
    </w:p>
    <w:p>
      <w:r>
        <w:rPr>
          <w:rFonts w:ascii="Arial" w:hAnsi="Arial"/>
          <w:b w:val="0"/>
          <w:i w:val="0"/>
        </w:rPr>
        <w:t>• Phase 4a: markdown renderer + CLI; two files per run (Board + Technical).</w:t>
      </w:r>
    </w:p>
    <w:p>
      <w:r>
        <w:rPr>
          <w:rFonts w:ascii="Arial" w:hAnsi="Arial"/>
          <w:b w:val="0"/>
          <w:i w:val="0"/>
        </w:rPr>
        <w:t>• Phase 4b: DOCX renderer (reports/render_docx.py), HTML renderer (reports/render_html.py), CLI extended with --format all to emit all six files.</w:t>
      </w:r>
    </w:p>
    <w:p>
      <w:r>
        <w:rPr>
          <w:rFonts w:ascii="Arial" w:hAnsi="Arial"/>
          <w:b w:val="0"/>
          <w:i w:val="0"/>
        </w:rPr>
        <w:t>• Content tweaks applied: Section 2 macro-commentary rewrite; Section 9 Board Construction callout expanded with Porter Davis / Probuild / Clough context; Section 1 'How to read this report' callout added.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Methodology observations (not bugs)</w:t>
      </w:r>
    </w:p>
    <w:p>
      <w:r>
        <w:rPr>
          <w:rFonts w:ascii="Arial" w:hAnsi="Arial"/>
          <w:b w:val="0"/>
          <w:i w:val="0"/>
        </w:rPr>
        <w:t>• Construction base risk score (2.68, 'Medium') — logged as an active methodology review item. See Section 9 of this report. Session: noted, not fixed.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Dev-ergonomics notes</w:t>
      </w:r>
    </w:p>
    <w:p>
      <w:r>
        <w:rPr>
          <w:rFonts w:ascii="Arial" w:hAnsi="Arial"/>
          <w:b w:val="0"/>
          <w:i w:val="0"/>
        </w:rPr>
        <w:t>• Fresh git worktrees do not carry the git-ignored raw ABS/RBA staging directories. Copy them from a primary checkout, or add a bootstrap_worktree.py helper. Not urgent; logged for future consideration.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