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2026-06-15.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4.35% (+0.50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2026-06-15;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2026-06-16T00:59:21+00:00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2026-06-16T00:59:21+00:00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2026-06-16T00:59:24+00:00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302215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