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Board Summary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2026-06-16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2026-06-12.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a summary view for non-technical reviewers. Every table in this document traces back to the canonical CSV contracts in outputs/contracts/. For full per-column detail, methodology references, and the audit-log appendix, see the Technical variant.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reads the credit-risk temperature of the Australian economy from public data, so a lender can see which industries and property segments are getting riskier before it shows up in arrears or losses. It covers 18 industries (ANZSIC divisions) and 5 commercial-property segments for Q1 2026, and turns them into ready-to-use PD and LGD stress inputs.</w:t>
      </w:r>
    </w:p>
    <w:p>
      <w:r>
        <w:rPr>
          <w:rFonts w:ascii="Arial" w:hAnsi="Arial"/>
          <w:b w:val="0"/>
          <w:i w:val="0"/>
        </w:rPr>
        <w:t>Headline picture: the cash rate is 4.35% (+0.50 points over the past year) and the arrears backdrop is low and improving, so the macro regime is set to 'base'. Against that backdrop, 4 of 18 industries score Elevated on the 1-5 risk scale, and 0 of 5 property segments are in downturn. The downturn-overlay table translates this into stress multipliers — up to 2.00x on PD in a severe scenario — that a pricing or expected-loss model can apply directly.</w:t>
      </w:r>
    </w:p>
    <w:p>
      <w:r>
        <w:rPr>
          <w:rFonts w:ascii="Arial" w:hAnsi="Arial"/>
          <w:b w:val="0"/>
          <w:i w:val="0"/>
        </w:rPr>
        <w:t>Macro and downturn overlays are dated 2026-06-12; property-cycle data is dated 2026-02-01. The headline numbers are in Section 2; every figure traces back to a named public source in Sections 3-5.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These are the calibrated outputs and operating numbers reviewers usually need first.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+0.50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One row is shown for every item in the canonical source registry. Missing and manual sources are visible by design.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2026-06-15T04:40:20+00:00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2026-06-15T04:40:23+00:00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2026-06-15T04:40:21+00:00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2026-06-15T04:40:21+00:00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2026-06-15T04:40:25+00:00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2026-06-15T04:40:25+00:00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2026-06-15T04:40:26+00:00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2026-06-15T04:40:24+00:00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302148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Every canonical CSV export in outputs/contracts/ appears exactly once with its inputs, builder, row count, and validation status.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The tables below include the actual analytical rows behind the report, not only file pointers.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haircuts, a per-scenario macro-path note (mild = Basel CRE36.51), and scenario notes (incl. the no-diversification assumption).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restrictive_rising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This appendix-style section maps analytical tables back to source inventory entries and transformation scripts.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This section lists registered sources that are manual, missing, outdated, gated, or otherwise not automatically captured.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Completeness checks cover source inventory, transformations, detail rows, lineage, gaps, and missing-data handling.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No missing source is silently dropped. Sources without current data show as missing or manually staged in the inventory and reappear in the out-of-scope section with the required action.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9. Macro Stress Inputs</w:t>
      </w:r>
    </w:p>
    <w:p>
      <w:r>
        <w:rPr>
          <w:rFonts w:ascii="Arial" w:hAnsi="Arial"/>
          <w:b w:val="0"/>
          <w:i w:val="0"/>
        </w:rPr>
        <w:t>A macro-driven stress layer turns macroeconomic scenario paths into PD / LGD / EAD multipliers per portfolio segment, then rolls facility-level stress up to a portfolio expected-loss total — answering 'if the economy turns, how much worse do losses get, and for which portfolios?'.</w:t>
      </w:r>
    </w:p>
    <w:p>
      <w:r>
        <w:rPr>
          <w:rFonts w:ascii="Arial" w:hAnsi="Arial"/>
          <w:b w:val="0"/>
          <w:i/>
          <w:color w:val="7F7F7F"/>
          <w:sz w:val="20"/>
        </w:rPr>
        <w:t>Macro scenario paths - stressed level by scenario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mild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moderate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severe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Commercial-property prices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-7.0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-28.0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CRE cap rates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7.6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 rents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-9.0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-16.0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Exchange rate (TWI, % change)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F11 exchange rates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 growth (real,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5206 National Accounts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-3.5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House-price growth (YoY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6416 Residential Property Price Index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-21.0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/ sector output (YoY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8155 Australian Industry + 5676 Business Indicators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Inflation (CPI, 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6401 CPI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4.7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5.7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 rate (%)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6202 Labour Force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8.1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Vacancy rate (office,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12.0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19.0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Wage growth (WPI,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6345 Wage Price Index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Which macro drivers move which portfolio (illustrative)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Portfolio</w:t>
            </w:r>
          </w:p>
        </w:tc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Material macro drivers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mortgages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cash rate, wage growth, house prices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 cards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wage growth, inflation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SME lending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unemployment, cash rate, sector output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 lending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sector output, cash rate, exchange rate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property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vacancy, rents, cap rates, cash rate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 finance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GDP, vacancy, cash rate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Macro-derived segment multipliers (PD / LGD / EAD)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EAD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1.4129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1.0649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1.8357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1.2936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1.1291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1.4906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1.1267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1.0786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1.9886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1.2535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1.5241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1.0906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2.0259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1.3053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1.1757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1.1549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1.0913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1.9307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1.3156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1.5409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1.0968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1.3973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1.1958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1.6664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1.1116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2.3292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1.2219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1.36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Demonstration - facility roll-up to portfolio EL (illustrative demo book)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Facilities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Stressed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EL uplift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153321.21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256331.65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447755.57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5.647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B183"/>
            <w:vAlign w:val="top"/>
            <w:tcBorders>
              <w:top w:val="single" w:sz="8" w:color="F4B183"/>
              <w:left w:val="single" w:sz="8" w:color="F4B183"/>
              <w:bottom w:val="single" w:sz="8" w:color="F4B183"/>
              <w:right w:val="single" w:sz="8" w:color="F4B183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Macro stress - scope and governance</w:t>
            </w:r>
          </w:p>
          <w:p>
            <w:r>
              <w:rPr>
                <w:rFonts w:ascii="Arial" w:hAnsi="Arial"/>
                <w:sz w:val="20"/>
              </w:rPr>
              <w:t>Illustrative scenario design — not calibrated regulatory stress. Base levels are current values from the named ABS/RBA series; the four CRE variables (commercial-property prices, vacancy, rents, cap rates) and all elasticities are labelled assumptions. The portfolio roll-up is exposure-weighted with no diversification benefit. Reverse stress: the moderate scenario (EL uplift 3.23x) first breaches a 2.0x illustrative appetite ceiling. A bank normally builds separate models per material portfolio or a pooled model with portfolio/sector effects; this layer supplies the macro-credit linkage either consumes.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