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Industry Analysis Report — Q1 2026</w:t>
      </w:r>
    </w:p>
    <w:p>
      <w:r>
        <w:rPr>
          <w:rFonts w:ascii="Arial" w:hAnsi="Arial"/>
          <w:b w:val="0"/>
          <w:i/>
          <w:color w:val="2E75B6"/>
          <w:sz w:val="24"/>
        </w:rPr>
        <w:t>Board Summary variant</w:t>
      </w:r>
    </w:p>
    <w:p>
      <w:r>
        <w:rPr>
          <w:rFonts w:ascii="Arial" w:hAnsi="Arial"/>
          <w:b w:val="0"/>
          <w:i w:val="0"/>
          <w:color w:val="7F7F7F"/>
          <w:sz w:val="20"/>
        </w:rPr>
        <w:t>Generated 2026-06-15</w:t>
      </w:r>
    </w:p>
    <w:p>
      <w:r>
        <w:rPr>
          <w:rFonts w:ascii="Arial" w:hAnsi="Arial"/>
          <w:b w:val="0"/>
          <w:i w:val="0"/>
          <w:color w:val="7F7F7F"/>
          <w:sz w:val="20"/>
        </w:rPr>
        <w:t>Macro and downturn overlays as of 2026-06-12. Property cycle data as of 2026-02-01.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EEBF7"/>
            <w:vAlign w:val="top"/>
            <w:tcBorders>
              <w:top w:val="single" w:sz="8" w:color="DEEBF7"/>
              <w:left w:val="single" w:sz="8" w:color="DEEBF7"/>
              <w:bottom w:val="single" w:sz="8" w:color="DEEBF7"/>
              <w:right w:val="single" w:sz="8" w:color="DEEBF7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Prepared for</w:t>
            </w:r>
          </w:p>
          <w:p>
            <w:r>
              <w:rPr>
                <w:rFonts w:ascii="Arial" w:hAnsi="Arial"/>
                <w:sz w:val="20"/>
              </w:rPr>
              <w:t>This is a summary view for non-technical reviewers. Every table in this document traces back to the canonical CSV contracts in outputs/contracts/. For full per-column detail, methodology references, and the audit-log appendix, see the Technical variant.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1. Executive Summary</w:t>
      </w:r>
    </w:p>
    <w:p>
      <w:r>
        <w:rPr>
          <w:rFonts w:ascii="Arial" w:hAnsi="Arial"/>
          <w:b w:val="0"/>
          <w:i w:val="0"/>
        </w:rPr>
        <w:t>This report reads the credit-risk temperature of the Australian economy from public data, so a lender can see which industries and property segments are getting riskier before it shows up in arrears or losses. It covers 18 industries (ANZSIC divisions) and 5 commercial-property segments for Q1 2026, and turns them into ready-to-use PD and LGD stress inputs.</w:t>
      </w:r>
    </w:p>
    <w:p>
      <w:r>
        <w:rPr>
          <w:rFonts w:ascii="Arial" w:hAnsi="Arial"/>
          <w:b w:val="0"/>
          <w:i w:val="0"/>
        </w:rPr>
        <w:t>Headline picture: the cash rate is 4.35% (+0.50 points over the past year) and the arrears backdrop is low and improving, so the macro regime is set to 'base'. Against that backdrop, 4 of 18 industries score Elevated on the 1-5 risk scale, and 0 of 5 property segments are in downturn. The downturn-overlay table translates this into stress multipliers — up to 2.00x on PD in a severe scenario — that a pricing or expected-loss model can apply directly.</w:t>
      </w:r>
    </w:p>
    <w:p>
      <w:r>
        <w:rPr>
          <w:rFonts w:ascii="Arial" w:hAnsi="Arial"/>
          <w:b w:val="0"/>
          <w:i w:val="0"/>
        </w:rPr>
        <w:t>Macro and downturn overlays are dated 2026-06-12; property-cycle data is dated 2026-02-01. The headline numbers are in Section 2; every figure traces back to a named public source in Sections 3-5.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2. Headline Numbers</w:t>
      </w:r>
    </w:p>
    <w:p>
      <w:r>
        <w:rPr>
          <w:rFonts w:ascii="Arial" w:hAnsi="Arial"/>
          <w:b w:val="0"/>
          <w:i w:val="0"/>
        </w:rPr>
        <w:t>These are the calibrated outputs and operating numbers reviewers usually need first.</w:t>
      </w:r>
    </w:p>
    <w:p>
      <w:r>
        <w:rPr>
          <w:rFonts w:ascii="Arial" w:hAnsi="Arial"/>
          <w:b w:val="0"/>
          <w:i/>
          <w:color w:val="7F7F7F"/>
          <w:sz w:val="20"/>
        </w:rPr>
        <w:t>Headline calibrated outputs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Vintage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Trace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Industries covered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segments covered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latest pct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1y change pctpts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+0.50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industry_risk_scores.csv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 industry count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 property segment count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 regime flag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 PD multiplier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Industry risk scores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Downturn multipliers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macro_path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environment, no recession overlay: GDP growth around trend, unemployment broadly stable, house prices at latest observed levels.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2.73 (real, ABS building approvals). No diversification benefit assumed (APG 113 para 92).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Basel CRE36.51 mandatory minimum — two consecutive quarters of zero GDP growth; unemployment +~1.0-1.5pp; house prices ~-5 to -10%.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mild recession = Basel CRE36.51 two-quarters-zero-growth minimum, for conservative portfolio calibration. No diversification benefit assumed (APG 113 para 92).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Deeper recession: multi-quarter contraction; unemployment +~2-3pp; house prices ~-10 to -15%.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 No diversification benefit assumed (APG 113 para 92).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GFC-like severe-but-plausible path: deep multi-quarter contraction; unemployment +~3-4pp; house prices ~-20 to -30%.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 No diversification benefit assumed (APG 113 para 92).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3. Data Sources Inventory</w:t>
      </w:r>
    </w:p>
    <w:p>
      <w:r>
        <w:rPr>
          <w:rFonts w:ascii="Arial" w:hAnsi="Arial"/>
          <w:b w:val="0"/>
          <w:i w:val="0"/>
        </w:rPr>
        <w:t>One row is shown for every item in the canonical source registry. Missing and manual sources are visible by design.</w:t>
      </w:r>
    </w:p>
    <w:p>
      <w:r>
        <w:rPr>
          <w:rFonts w:ascii="Arial" w:hAnsi="Arial"/>
          <w:b w:val="0"/>
          <w:i/>
          <w:color w:val="7F7F7F"/>
          <w:sz w:val="20"/>
        </w:rPr>
        <w:t>Data Sources Inventory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Publisher / origin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URL or landing page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type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Period or vintage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Retrieved / fetched timestamp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size or row count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Hash / version identifier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https://www.abs.gov.au/statistics/classifications/australian-and-new-zealand-standard-industrial-classification-anzsic/latest-release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https://www.abs.gov.au/statistics/classifications/australian-and-new-zealand-standard-industrial-classification-anzsic/2006-revision-2-0/numbering-system-and-titles/division-codes-and-titles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https://www.abs.gov.au/statistics/classifications/australian-and-new-zealand-standard-industrial-classification-anzsic/2006-revision-2-0/numbering-system-and-titles/division-subdivision-group-and-class-codes-and-titles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https://www.abs.gov.au/statistics/industry/industry-overview/australian-industry/2023-24/81550DO001_202324.xlsx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2026-06-15T04:40:20+00:00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597090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https://www.abs.gov.au/statistics/industry/building-and-construction/building-approvals-australia/feb-2026/87310051.xlsx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2026-06-15T04:40:23+00:00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185814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2026-06-15T04:40:21+00:00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51783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2026-06-15T04:40:21+00:00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56253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https://www.abs.gov.au/statistics/economy/price-indexes-and-inflation/consumer-price-index-australia/dec-2025/640107.xlsx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https://www.abs.gov.au/statistics/industry/building-and-construction/building-approvals-australia/feb-2026/875206.xlsx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https://www.abs.gov.au/statistics/industry/building-and-construction/building-approvals-australia/feb-2026/875211.xlsx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https://www.abs.gov.au/statistics/labour/employment-and-unemployment/labour-force-australia-detailed/feb-2026/6291004.xlsx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2026-06-15T04:40:22+00:00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160939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https://www.abs.gov.au/statistics/economy/finance/lending-indicators/feb-2026/560101.xlsx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https://www.abs.gov.au/statistics/economy/price-indexes-and-inflation/residential-property-price-indexes-eight-capital-cities/dec-2025/641602.xlsx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https://paymenttimes.gov.au/sites/ptrs.gov.au/files/2025-07/reg-update-july-2025.pdf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2026-06-15T04:40:25+00:00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2055606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https://paymenttimes.gov.au/sites/ptrs.gov.au/files/2026-01/regulators-update-202601.pdf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2026-06-15T04:40:25+00:00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3629142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https://paymenttimes.gov.au/sites/ptrs.gov.au/files/regulatory-resource/ptrs-guidance-materials-march2025.pdf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2026-06-15T04:40:26+00:00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947450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https://www.rba.gov.au/statistics/tables/csv/f1-data.csv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2026-06-15T04:40:24+00:00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302148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2026-04-28T08:01:43+00:00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5434746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66945f0e420217b86069e72880c20b4670f17a2ff52e6e0de9c9d13a174364d9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3272062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342ec105f1c623e507ef4e8434ade6f0788ef58ed26b2accaa8ec7df04acc13e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February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4201271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db42f94329b6c229844fb8da8cbc4308d707af57b3d5ba90d0aaa9bd7e21ca89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https://www.rba.gov.au/statistics/tables/xls/e02hist.xls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https://www.abs.gov.au/statistics/economy/finance/total-value-dwellings/dec-2025/643201.xlsx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4. Transformations Applied</w:t>
      </w:r>
    </w:p>
    <w:p>
      <w:r>
        <w:rPr>
          <w:rFonts w:ascii="Arial" w:hAnsi="Arial"/>
          <w:b w:val="0"/>
          <w:i w:val="0"/>
        </w:rPr>
        <w:t>Every canonical CSV export in outputs/contracts/ appears exactly once with its inputs, builder, row count, and validation status.</w:t>
      </w:r>
    </w:p>
    <w:p>
      <w:r>
        <w:rPr>
          <w:rFonts w:ascii="Arial" w:hAnsi="Arial"/>
          <w:b w:val="0"/>
          <w:i/>
          <w:color w:val="7F7F7F"/>
          <w:sz w:val="20"/>
        </w:rPr>
        <w:t>Transformations Applied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Output filename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Input source(s)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Row count of output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Last build timestamp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Validation status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2026-06-15T14:40:29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2026-06-15T14:40:29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2026-06-15T14:40:29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2026-06-15T14:40:29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2026-06-15T14:40:29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2026-06-15T14:40:29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2026-06-15T14:40:29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2026-06-15T14:40:29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5. Detailed Analysis</w:t>
      </w:r>
    </w:p>
    <w:p>
      <w:r>
        <w:rPr>
          <w:rFonts w:ascii="Arial" w:hAnsi="Arial"/>
          <w:b w:val="0"/>
          <w:i w:val="0"/>
        </w:rPr>
        <w:t>The tables below include the actual analytical rows behind the report, not only file pointers.</w:t>
      </w:r>
    </w:p>
    <w:p>
      <w:r>
        <w:rPr>
          <w:rFonts w:ascii="Arial" w:hAnsi="Arial"/>
          <w:b w:val="0"/>
          <w:i/>
          <w:color w:val="7F7F7F"/>
          <w:sz w:val="20"/>
        </w:rPr>
        <w:t>Canonical CSV exports: contents and downstream layers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CSV export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What it includes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Downstream layers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industry overlay: classification score, macro score, base risk score/level, and shared cash-rate backdrop fields.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PD overlays / scorecards; EL and pricing overlays; External sector benchmarks; Board reporting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property overlay: cycle stage, softness score/band, region risk, approvals change, and approvals-proxy activity signals.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and collateral overlays; Property-backed PD context; Pricing and policy overlays; Board reporting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multipliers for PD, LGD, and CCF plus property haircuts, a per-scenario macro-path note (mild = Basel CRE36.51), and scenario notes (incl. the no-diversification assumption).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PD scenario layer; LGD scenario layer; CCF / EAD scenario layer; Stress testing and pricing what-if views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Environment selector: cash-rate regime, arrears level/trend, macro regime flag, and source dataset.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regime conditioning; LGD / EL regime conditioning; Scenario-row selection; Portfolio and board reporting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Per-ANZSIC-division medians of the financial ratios APG 220 paragraph 64 calls out as standard credit-assessment benchmarks: EBITDA margin, gross operating profit-to-sales, wages-to-sales, inventory days, sales growth, employment growth, inventory-to-sales, and sales per employee.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Origination scorecard industry-relative ratios; PD model industry-comparison features; ECL borrower-vs-industry signals; External sector benchmarks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industry diagnostics: structural factors, public benchmark metrics, macro factor scores, demand proxies, inventory flags, and explainability fields behind the industry overlay.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explainability; External benchmark diagnostics; Challenger overlay analysis; Technical report detail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property diagnostics: approvals trend, cycle stage, softness band, region risk, as-of-date, and per-row source/proxy notes.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LGD explainability; Collateral benchmark diagnostics; Property stress interpretation; Technical report detail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One row per ABS non-residential building-approval category — the pre-aggregation input to the five-row property_market_overlays contract. Shows each category's softness, region risk, approvals change, and the property_segment_code it rolls up into.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overlay explainability; Reviewer drilldown into CRE / IND / RET / CON aggregation; Technical report detail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industry_risk_scores.csv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market_softness_level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placeholder — ABS Cat. 8752.0 residential dwelling-approvals file not yet staged; RES row uses a neutral composite pending that upgrade.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(office, health, education, accommodation)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Education buildings, Health buildings, Offices, 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/ Warehouse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Agricultural and aquacultural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Property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Retail and wholesale trade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 (non-residential development)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Agricultural and aquacultural buildings, Education buildings, Health buildings, Offices, Retail and wholesale trade buildings, Short term accommodation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downturn_overlay_table.csv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macro_path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environment, no recession overlay: GDP growth around trend, unemployment broadly stable, house prices at latest observed levels.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2.73 (real, ABS building approvals). No diversification benefit assumed (APG 113 para 92).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Basel CRE36.51 mandatory minimum — two consecutive quarters of zero GDP growth; unemployment +~1.0-1.5pp; house prices ~-5 to -10%.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mild recession = Basel CRE36.51 two-quarters-zero-growth minimum, for conservative portfolio calibration. No diversification benefit assumed (APG 113 para 92).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Deeper recession: multi-quarter contraction; unemployment +~2-3pp; house prices ~-10 to -15%.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 No diversification benefit assumed (APG 113 para 92).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GFC-like severe-but-plausible path: deep multi-quarter contraction; unemployment +~3-4pp; house prices ~-20 to -30%.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 No diversification benefit assumed (APG 113 para 92).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macro_regime_flags.csv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cash_rate_regime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arrears_environment_level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arrears_trend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macro_regime_flag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source_dataset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restrictive_rising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Improving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 (real) + qualitative arrears baseline (assumption, RBA FSR Mar-2026)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industry_financial_benchmarks.csv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median_ebitda_margin_pct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median_gross_operating_profit_to_sales_ratio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median_wages_to_sales_pct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median_inventory_days_est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median_sales_growth_pct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median_employment_yoy_growth_pct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14.58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-5.11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47.33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0.48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-6.26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-0.93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9.93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12.29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10.54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6.77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-8.74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0.72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19.69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-4.77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0.37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35.33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9.27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47.45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6.17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11.69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-1.17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10.67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5.63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16.65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5.28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7.12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business_cycle_panel.csv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sector_key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internal_grouping_example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sales_m_latest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employment_000_latest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Hospitality and leisure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152965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1217.9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144266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1006.4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Primary production and agribusiness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119772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411.0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49985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277.3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Building, civil and trade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624590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1290.7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62221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515.8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 gas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Utilities and infrastructure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166688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142.5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and care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224001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1796.9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Media, telco and information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117894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188.3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and 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514199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901.7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 and resources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492161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234.7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100042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583.2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353044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1317.4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106.8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Real estate and rental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185285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420.9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Consumer retail and discretionary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643421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1509.6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Freight, logistics and storage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244980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670.6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and distribution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772255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604.2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commencements_signal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completions_signal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property_market_overlays_by_building_type.csv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aggregate_role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6. Lineage / Traceability</w:t>
      </w:r>
    </w:p>
    <w:p>
      <w:r>
        <w:rPr>
          <w:rFonts w:ascii="Arial" w:hAnsi="Arial"/>
          <w:b w:val="0"/>
          <w:i w:val="0"/>
        </w:rPr>
        <w:t>This appendix-style section maps analytical tables back to source inventory entries and transformation scripts.</w:t>
      </w:r>
    </w:p>
    <w:p>
      <w:r>
        <w:rPr>
          <w:rFonts w:ascii="Arial" w:hAnsi="Arial"/>
          <w:b w:val="0"/>
          <w:i/>
          <w:color w:val="7F7F7F"/>
          <w:sz w:val="20"/>
        </w:rPr>
        <w:t>Lineage / Traceability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Analytical table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Number fields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row reference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Version / vintage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Reference hops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7. What's Not In This Report</w:t>
      </w:r>
    </w:p>
    <w:p>
      <w:r>
        <w:rPr>
          <w:rFonts w:ascii="Arial" w:hAnsi="Arial"/>
          <w:b w:val="0"/>
          <w:i w:val="0"/>
        </w:rPr>
        <w:t>This section lists registered sources that are manual, missing, outdated, gated, or otherwise not automatically captured.</w:t>
      </w:r>
    </w:p>
    <w:p>
      <w:r>
        <w:rPr>
          <w:rFonts w:ascii="Arial" w:hAnsi="Arial"/>
          <w:b w:val="0"/>
          <w:i/>
          <w:color w:val="7F7F7F"/>
          <w:sz w:val="20"/>
        </w:rPr>
        <w:t>Data not yet captured / out of scope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Reason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Required action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Target / next date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8. Validation and Caveats</w:t>
      </w:r>
    </w:p>
    <w:p>
      <w:r>
        <w:rPr>
          <w:rFonts w:ascii="Arial" w:hAnsi="Arial"/>
          <w:b w:val="0"/>
          <w:i w:val="0"/>
        </w:rPr>
        <w:t>Completeness checks cover source inventory, transformations, detail rows, lineage, gaps, and missing-data handling.</w:t>
      </w:r>
    </w:p>
    <w:p>
      <w:r>
        <w:rPr>
          <w:rFonts w:ascii="Arial" w:hAnsi="Arial"/>
          <w:b w:val="0"/>
          <w:i/>
          <w:color w:val="7F7F7F"/>
          <w:sz w:val="20"/>
        </w:rPr>
        <w:t>Contract validation summary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Check category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Source registry inventory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30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Canonical export transformations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Detailed analysis export tables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Lineage mappings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Manual/missing source disclosure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27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</w:tbl>
    <w:p/>
    <w:p>
      <w:r>
        <w:rPr>
          <w:rFonts w:ascii="Arial" w:hAnsi="Arial"/>
          <w:b w:val="0"/>
          <w:i w:val="0"/>
        </w:rPr>
        <w:t>No missing source is silently dropped. Sources without current data show as missing or manually staged in the inventory and reappear in the out-of-scope section with the required action.</w:t>
      </w:r>
    </w:p>
    <w:p>
      <w:r>
        <w:rPr>
          <w:rFonts w:ascii="Arial" w:hAnsi="Arial"/>
          <w:b w:val="0"/>
          <w:i/>
          <w:color w:val="7F7F7F"/>
          <w:sz w:val="18"/>
        </w:rPr>
        <w:t>END OF REPORT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color w:val="7F7F7F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Arial" w:hAnsi="Arial"/>
        <w:color w:val="7F7F7F"/>
        <w:sz w:val="18"/>
      </w:rPr>
      <w:t>Industry Analysis Report  |  Q1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