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Industry Analysis Report — Q1 2026</w:t>
      </w:r>
    </w:p>
    <w:p>
      <w:r>
        <w:rPr>
          <w:rFonts w:ascii="Arial" w:hAnsi="Arial"/>
          <w:b w:val="0"/>
          <w:i/>
          <w:color w:val="2E75B6"/>
          <w:sz w:val="24"/>
        </w:rPr>
        <w:t>Technical Detail variant</w:t>
      </w:r>
    </w:p>
    <w:p>
      <w:r>
        <w:rPr>
          <w:rFonts w:ascii="Arial" w:hAnsi="Arial"/>
          <w:b w:val="0"/>
          <w:i w:val="0"/>
          <w:color w:val="7F7F7F"/>
          <w:sz w:val="20"/>
        </w:rPr>
        <w:t>Generated 2026-06-15</w:t>
      </w:r>
    </w:p>
    <w:p>
      <w:r>
        <w:rPr>
          <w:rFonts w:ascii="Arial" w:hAnsi="Arial"/>
          <w:b w:val="0"/>
          <w:i w:val="0"/>
          <w:color w:val="7F7F7F"/>
          <w:sz w:val="20"/>
        </w:rPr>
        <w:t>Macro and downturn overlays as of 2026-06-12. Property cycle data as of 2026-02-01.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EEBF7"/>
            <w:vAlign w:val="top"/>
            <w:tcBorders>
              <w:top w:val="single" w:sz="8" w:color="DEEBF7"/>
              <w:left w:val="single" w:sz="8" w:color="DEEBF7"/>
              <w:bottom w:val="single" w:sz="8" w:color="DEEBF7"/>
              <w:right w:val="single" w:sz="8" w:color="DEEBF7"/>
            </w:tcBorders>
          </w:tcPr>
          <w:p>
            <w:r/>
            <w:r>
              <w:rPr>
                <w:rFonts w:ascii="Arial" w:hAnsi="Arial"/>
                <w:b/>
                <w:sz w:val="22"/>
              </w:rPr>
              <w:t>Prepared for</w:t>
            </w:r>
          </w:p>
          <w:p>
            <w:r>
              <w:rPr>
                <w:rFonts w:ascii="Arial" w:hAnsi="Arial"/>
                <w:sz w:val="20"/>
              </w:rPr>
              <w:t>This is the full-detail variant for MRC, audit, and model-risk review. It includes per-row technical commentary, source URLs, the full Construction methodology review item, and the audit log as an appendix.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1. Executive Summary</w:t>
      </w:r>
    </w:p>
    <w:p>
      <w:r>
        <w:rPr>
          <w:rFonts w:ascii="Arial" w:hAnsi="Arial"/>
          <w:b w:val="0"/>
          <w:i w:val="0"/>
        </w:rPr>
        <w:t>This report contains source inventory, transformations, analytical output rows, lineage, known gaps, and validation status in the same document. It covers 18 industries, 5 property segments, all 30 registered public sources, and all 8 canonical exports. Source registry basis: PUBLIC_SOURCE_URLS plus scraper-produced RBA publication manifest keys; manifest-backed vintages come from data/raw/public/_manifest.json when present.</w:t>
      </w:r>
    </w:p>
    <w:p>
      <w:r>
        <w:rPr>
          <w:rFonts w:ascii="Arial" w:hAnsi="Arial"/>
          <w:b w:val="0"/>
          <w:i w:val="0"/>
        </w:rPr>
        <w:t>Headline picture: cash rate 4.35% (+0.50pp YoY), arrears Low / Improving, macro_regime_flag='base' (cash_rate_regime='restrictive_rising'). 4 industries are Elevated; 0 property segments are in downturn; severe PD multiplier 2.00x.</w:t>
      </w:r>
    </w:p>
    <w:p>
      <w:r>
        <w:rPr>
          <w:rFonts w:ascii="Arial" w:hAnsi="Arial"/>
          <w:b w:val="0"/>
          <w:i w:val="0"/>
        </w:rPr>
        <w:t>Data freshness: macro/downturn overlays 2026-06-12; property-cycle 2026-02-01; generated 2026-06-15.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2. Headline Numbers</w:t>
      </w:r>
    </w:p>
    <w:p>
      <w:r>
        <w:rPr>
          <w:rFonts w:ascii="Arial" w:hAnsi="Arial"/>
          <w:b w:val="0"/>
          <w:i w:val="0"/>
        </w:rPr>
        <w:t>Each headline includes a trace pointer to the export or source chain that produced it.</w:t>
      </w:r>
    </w:p>
    <w:p>
      <w:r>
        <w:rPr>
          <w:rFonts w:ascii="Arial" w:hAnsi="Arial"/>
          <w:b w:val="0"/>
          <w:i/>
          <w:color w:val="7F7F7F"/>
          <w:sz w:val="20"/>
        </w:rPr>
        <w:t>Headline calibrated outputs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Vintage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Trace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Industries covered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segments covered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latest pct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 -&gt; macro_regime_flags.csv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1y change pctpts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+0.50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 -&gt; industry_risk_scores.csv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 industry count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 property segment count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 regime flag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 PD multiplier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Industry risk scores - full current output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industry_base_risk_level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cash_rate_latest_pct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cash_rate_change_1y_pctpts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3.71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3.36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3.02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Downturn multipliers - full current output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lgd_multiplier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ccf_multiplier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property_value_haircut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macro_path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environment, no recession overlay: GDP growth around trend, unemployment broadly stable, house prices at latest observed levels.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 (base scenario). Anchored to a low / improving arrears backdrop (qualitative assumption from RBA FSR) and an average property-cycle softness score of 2.73 (real, ABS building approvals). No diversification benefit assumed (APG 113 para 92).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Basel CRE36.51 mandatory minimum — two consecutive quarters of zero GDP growth; unemployment +~1.0-1.5pp; house prices ~-5 to -10%.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mild recession = Basel CRE36.51 two-quarters-zero-growth minimum, for conservative portfolio calibration. No diversification benefit assumed (APG 113 para 92).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Deeper recession: multi-quarter contraction; unemployment +~2-3pp; house prices ~-10 to -15%.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moderate downturn for stressed pricing and EL scenario analysis. No diversification benefit assumed (APG 113 para 92).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GFC-like severe-but-plausible path: deep multi-quarter contraction; unemployment +~3-4pp; house prices ~-20 to -30%.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severe downturn; not a calibrated regulatory stress parameter. No diversification benefit assumed (APG 113 para 92).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3. Data Sources Inventory</w:t>
      </w:r>
    </w:p>
    <w:p>
      <w:r>
        <w:rPr>
          <w:rFonts w:ascii="Arial" w:hAnsi="Arial"/>
          <w:b w:val="0"/>
          <w:i w:val="0"/>
        </w:rPr>
        <w:t>Canonical registry for this project: src.config.PUBLIC_SOURCE_URLS plus scraper-produced RBA publication manifest keys.</w:t>
      </w:r>
    </w:p>
    <w:p>
      <w:r>
        <w:rPr>
          <w:rFonts w:ascii="Arial" w:hAnsi="Arial"/>
          <w:b w:val="0"/>
          <w:i/>
          <w:color w:val="7F7F7F"/>
          <w:sz w:val="20"/>
        </w:rPr>
        <w:t>Data Sources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 key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Publisher / origin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URL or landing page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type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Period or vintage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Retrieved / fetched timestamp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size or row count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Hash / version identifier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anzsic_classification_page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https://www.abs.gov.au/statistics/classifications/australian-and-new-zealand-standard-industrial-classification-anzsic/latest-release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anzsic_division_codes_page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https://www.abs.gov.au/statistics/classifications/australian-and-new-zealand-standard-industrial-classification-anzsic/2006-revision-2-0/numbering-system-and-titles/division-codes-and-titles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anzsic_division_subdivision_class_page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https://www.abs.gov.au/statistics/classifications/australian-and-new-zealand-standard-industrial-classification-anzsic/2006-revision-2-0/numbering-system-and-titles/division-subdivision-group-and-class-codes-and-titles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https://www.abs.gov.au/statistics/industry/industry-overview/australian-industry/2023-24/81550DO001_202324.xlsx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2026-06-15T04:40:20+00:00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597090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https://www.abs.gov.au/statistics/industry/building-and-construction/building-approvals-australia/feb-2026/87310051.xlsx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2026-06-15T04:40:23+00:00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185814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business_indicators_consumer_sales_xlsx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https://www.abs.gov.au/statistics/economy/business-indicators/business-indicators-australia/dec-2025/56760024.xlsx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business_indicators_inventory_ratio_xlsx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https://www.abs.gov.au/statistics/economy/business-indicators/business-indicators-australia/dec-2025/56760023.xlsx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2026-06-15T04:40:21+00:00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51783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business_indicators_profit_ratio_xlsx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https://www.abs.gov.au/statistics/economy/business-indicators/business-indicators-australia/dec-2025/56760022.xlsx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2026-06-15T04:40:21+00:00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56253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cpi_all_groups_xlsx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https://www.abs.gov.au/statistics/economy/price-indexes-and-inflation/consumer-price-index-australia/dec-2025/640101.xlsx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cpi_subgroups_xlsx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https://www.abs.gov.au/statistics/economy/price-indexes-and-inflation/consumer-price-index-australia/dec-2025/640107.xlsx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dwelling_approvals_xlsx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https://www.abs.gov.au/statistics/industry/building-and-construction/building-approvals-australia/feb-2026/875206.xlsx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dwelling_value_xlsx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https://www.abs.gov.au/statistics/industry/building-and-construction/building-approvals-australia/feb-2026/875211.xlsx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labour_force_industry_xlsx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https://www.abs.gov.au/statistics/labour/employment-and-unemployment/labour-force-australia-detailed/feb-2026/6291004.xlsx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2026-06-15T04:40:22+00:00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160939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lending_indicators_xlsx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https://www.abs.gov.au/statistics/economy/finance/lending-indicators/feb-2026/560101.xlsx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ppi_construction_xlsx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https://www.abs.gov.au/statistics/economy/price-indexes-and-inflation/producer-price-indexes-australia/dec-2025/642713.xlsx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ppi_manufacturing_xlsx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https://www.abs.gov.au/statistics/economy/price-indexes-and-inflation/producer-price-indexes-australia/dec-2025/642712.xlsx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property_price_capitals_xlsx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https://www.abs.gov.au/statistics/economy/price-indexes-and-inflation/residential-property-price-indexes-eight-capital-cities/dec-2025/641602.xlsx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property_price_index_xlsx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https://www.abs.gov.au/statistics/economy/price-indexes-and-inflation/residential-property-price-indexes-eight-capital-cities/dec-2025/641601.xlsx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ptrs_cycle_8_pdf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Payment Times Reporting Scheme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https://paymenttimes.gov.au/sites/ptrs.gov.au/files/2025-07/reg-update-july-2025.pdf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2026-06-15T04:40:25+00:00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2055606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ptrs_cycle_9_pdf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Payment Times Reporting Scheme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https://paymenttimes.gov.au/sites/ptrs.gov.au/files/2026-01/regulators-update-202601.pdf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2026-06-15T04:40:25+00:00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3629142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ptrs_guidance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Payment Times Reporting Scheme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https://paymenttimes.gov.au/sites/ptrs.gov.au/files/regulatory-resource/ptrs-guidance-materials-march2025.pdf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2026-06-15T04:40:26+00:00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947450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https://www.rba.gov.au/statistics/tables/csv/f1-data.csv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CSV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2026-06-15T04:40:24+00:00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302148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rba_chart_pack_page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https://www.rba.gov.au/chart-pack/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rba_chart_pack_pdf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https://www.rba.gov.au/chart-pack/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March 2026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2026-04-28T08:01:43+00:00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5434746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auto-downloaded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66945f0e420217b86069e72880c20b4670f17a2ff52e6e0de9c9d13a174364d9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rba_fsr_page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https://www.rba.gov.au/publications/fsr/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rba_fsr_pdf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https://www.rba.gov.au/publications/fsr/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March 2026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2026-04-28T08:01:42+00:00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3272062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auto-downloaded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342ec105f1c623e507ef4e8434ade6f0788ef58ed26b2accaa8ec7df04acc13e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rba_smp_page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https://www.rba.gov.au/publications/smp/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rba_smp_pdf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https://www.rba.gov.au/publications/smp/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February 2026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2026-04-28T08:01:42+00:00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4201271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auto-downloaded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db42f94329b6c229844fb8da8cbc4308d707af57b3d5ba90d0aaa9bd7e21ca89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rba_table_e2_xls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https://www.rba.gov.au/statistics/tables/xls/e02hist.xls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total_value_dwellings_xlsx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https://www.abs.gov.au/statistics/economy/finance/total-value-dwellings/dec-2025/643201.xlsx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4. Transformations Applied</w:t>
      </w:r>
    </w:p>
    <w:p>
      <w:r>
        <w:rPr>
          <w:rFonts w:ascii="Arial" w:hAnsi="Arial"/>
          <w:b w:val="0"/>
          <w:i w:val="0"/>
        </w:rPr>
        <w:t>Validation status is derived from export presence and non-empty row count; schema-level tests remain in the pytest suite.</w:t>
      </w:r>
    </w:p>
    <w:p>
      <w:r>
        <w:rPr>
          <w:rFonts w:ascii="Arial" w:hAnsi="Arial"/>
          <w:b w:val="0"/>
          <w:i/>
          <w:color w:val="7F7F7F"/>
          <w:sz w:val="20"/>
        </w:rPr>
        <w:t>Transformations Applied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Output filename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Input source(s)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Transformation script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Row count of output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Last build timestamp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Validation status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labour_force_industry_xlsx; rba_cash_rate_csv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src/overlays/build_industry_risk_scores.py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property_cycle_panel; scenario multipliers (assumption); qualitative arrears baseline (assumption, RBA FSR Mar-2026)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src/overlays/build_downturn_overlay_tables.py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rba_cash_rate_csv; qualitative arrears baseline (assumption, RBA FSR Mar-2026)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src/panels/build_macro_regime_flags.py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industry_financial_benchmarks.csv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labour_force_industry_xlsx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src/panels/build_industry_financial_benchmarks.py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business_cycle_panel.csv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business_indicators_consumer_sales_xlsx; labour_force_industry_xlsx; rba_cash_rate_csv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src/panels/build_business_cycle_panel.py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src/panels/build_property_cycle_panel.py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property_market_overlays_by_building_type.csv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2026-06-15T14:40:29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5. Detailed Analysis</w:t>
      </w:r>
    </w:p>
    <w:p>
      <w:r>
        <w:rPr>
          <w:rFonts w:ascii="Arial" w:hAnsi="Arial"/>
          <w:b w:val="0"/>
          <w:i w:val="0"/>
        </w:rPr>
        <w:t>Wide exports are column-compacted for readability but keep every source row in the report table.</w:t>
      </w:r>
    </w:p>
    <w:p>
      <w:r>
        <w:rPr>
          <w:rFonts w:ascii="Arial" w:hAnsi="Arial"/>
          <w:b w:val="0"/>
          <w:i/>
          <w:color w:val="7F7F7F"/>
          <w:sz w:val="20"/>
        </w:rPr>
        <w:t>Canonical CSV exports: contents and downstream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CSV export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Contract role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Join grain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includes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Downstream layers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Core downstream contract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 snapshot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Compact industry overlay: classification score, macro score, base risk score/level, and shared cash-rate backdrop fields.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PD overlays / scorecards; EL and pricing overlays; External sector benchmarks; Board reporting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Core downstream contract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segment snapshot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Compact property overlay: cycle stage, softness score/band, region risk, approvals change, and approvals-proxy activity signals.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LGD and collateral overlays; Property-backed PD context; Pricing and policy overlays; Board reporting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Core downstream contract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Scenario table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Scenario multipliers for PD, LGD, and CCF plus property haircuts, a per-scenario macro-path note (mild = Basel CRE36.51), and scenario notes (incl. the no-diversification assumption).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PD scenario layer; LGD scenario layer; CCF / EAD scenario layer; Stress testing and pricing what-if views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Core downstream contract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Single as-of-date regime row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Environment selector: cash-rate regime, arrears level/trend, macro regime flag, and source dataset.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 regime conditioning; LGD / EL regime conditioning; Scenario-row selection; Portfolio and board reporting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industry_financial_benchmarks.csv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Core downstream contract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ANZSIC-division snapshot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Per-ANZSIC-division medians of the financial ratios APG 220 paragraph 64 calls out as standard credit-assessment benchmarks: EBITDA margin, gross operating profit-to-sales, wages-to-sales, inventory days, sales growth, employment growth, inventory-to-sales, and sales per employee.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Origination scorecard industry-relative ratios; PD model industry-comparison features; ECL borrower-vs-industry signals; External sector benchmarks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business_cycle_panel.csv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Optional explainability panel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 diagnostics panel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Wide industry diagnostics: structural factors, public benchmark metrics, macro factor scores, demand proxies, inventory flags, and explainability fields behind the industry overlay.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 explainability; External benchmark diagnostics; Challenger overlay analysis; Technical report detail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property_cycle_panel.csv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Optional explainability panel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segment-by-region diagnostics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Wide property diagnostics: approvals trend, cycle stage, softness band, region risk, as-of-date, and per-row source/proxy notes.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LGD explainability; Collateral benchmark diagnostics; Property stress interpretation; Technical report detail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property_market_overlays_by_building_type.csv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Optional explainability panel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Per-building-type non-residential detail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One row per ABS non-residential building-approval category — the pre-aggregation input to the five-row property_market_overlays contract. Shows each category's softness, region risk, approvals change, and the property_segment_code it rolls up into.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overlay explainability; Reviewer drilldown into CRE / IND / RET / CON aggregation; Technical report detail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industry_risk_scores.csv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industry_base_risk_level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cash_rate_latest_pct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cash_rate_change_1y_pctpts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3.71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3.36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3.02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property_market_overlays.csv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cycle_stage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source_note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market_softness_level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 placeholder — ABS Cat. 8752.0 residential dwelling-approvals file not yet staged; RES row uses a neutral composite pending that upgrade.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(office, health, education, accommodation)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3.06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Aged care facilities, Education buildings, Health buildings, Offices, Short term accommodation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/ Warehouse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Agricultural and aquacultural buildings, Warehouses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Property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Retail and wholesale trade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 (non-residential development)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2.92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Aged care facilities, Agricultural and aquacultural buildings, Education buildings, Health buildings, Offices, Retail and wholesale trade buildings, Short term accommodation buildings, Warehouses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downturn_overlay_table.csv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lgd_multiplier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ccf_multiplier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property_value_haircut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macro_path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environment, no recession overlay: GDP growth around trend, unemployment broadly stable, house prices at latest observed levels.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 (base scenario). Anchored to a low / improving arrears backdrop (qualitative assumption from RBA FSR) and an average property-cycle softness score of 2.73 (real, ABS building approvals). No diversification benefit assumed (APG 113 para 92).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Basel CRE36.51 mandatory minimum — two consecutive quarters of zero GDP growth; unemployment +~1.0-1.5pp; house prices ~-5 to -10%.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mild recession = Basel CRE36.51 two-quarters-zero-growth minimum, for conservative portfolio calibration. No diversification benefit assumed (APG 113 para 92).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Deeper recession: multi-quarter contraction; unemployment +~2-3pp; house prices ~-10 to -15%.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moderate downturn for stressed pricing and EL scenario analysis. No diversification benefit assumed (APG 113 para 92).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GFC-like severe-but-plausible path: deep multi-quarter contraction; unemployment +~3-4pp; house prices ~-20 to -30%.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severe downturn; not a calibrated regulatory stress parameter. No diversification benefit assumed (APG 113 para 92).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macro_regime_flags.csv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cash_rate_regime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arrears_environment_level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arrears_trend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macro_regime_flag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source_dataset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restrictive_rising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Improving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 cash-rate table (real) + qualitative arrears baseline (assumption, RBA FSR Mar-2026)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industry_financial_benchmarks.csv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median_ebitda_margin_pct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source_note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median_gross_operating_profit_to_sales_ratio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median_wages_to_sales_pct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median_inventory_days_est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median_sales_growth_pct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median_employment_yoy_growth_pct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14.58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9.75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31.7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-11.05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-5.11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47.33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0.48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43.9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-6.26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-5.09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9.15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14.3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52.7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1.34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-0.93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9.93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12.29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15.04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10.54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1.47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6.77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46.1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-8.74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7.8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10.28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30.4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4.82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-0.46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25.54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0.72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17.72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0.21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19.69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25.4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20.02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0.19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20.01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-4.77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40.88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0.37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7.72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-15.06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12.99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0.13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35.33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8.68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9.27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47.45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6.17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3.07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42.36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11.69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-1.17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11.73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50.88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10.67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5.63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16.65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43.29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3.74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13.45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22.55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15.0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-5.79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5.28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0.14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31.62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7.12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business_cycle_panel.csv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industry_base_risk_level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sector_key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internal_grouping_example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sales_m_latest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employment_000_latest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Hospitality and leisure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152965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1217.9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144266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1006.4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3.71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Primary production and agribusiness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119772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411.0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3.02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49985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277.3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Building, civil and trade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624590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1290.7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62221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515.8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 gas water and waste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Utilities and infrastructure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166688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142.5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and care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224001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1796.9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Media, telco and information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117894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188.3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and manufacturing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514199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901.7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3.39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 and resources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492161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234.7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100042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583.2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 scientific and technical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 and technical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353044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1317.4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15351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106.8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Real estate and rental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185285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420.9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Consumer retail and discretionary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643421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1509.6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Freight, logistics and storage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244980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670.6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and distribution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772255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604.2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property_cycle_panel.csv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cycle_stage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source_note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approvals_change_pct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commencements_signal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completions_signal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Offices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-35.72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-21.37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and wholesale trade buildings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68.47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Short term accommodation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113.7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Aged care facilities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2.91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219.88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Agricultural and aquacultural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58.37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 Non-residential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71.46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Buildings - Total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55.53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Buildings - Total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165.42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Warehouses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69.32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2026-02-01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buildings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355.03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property_market_overlays_by_building_type.csv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cycle_stage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aggregate_role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approvals_change_pct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Offices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-35.72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-21.37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and wholesale trade buildings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68.47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Short term accommodation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supportive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113.7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Aged care facilities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2.91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219.88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Agricultural and aquacultural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58.37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 Non-residential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 (reviewer reference only)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71.46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Buildings - Total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 (reviewer reference only)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55.53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Buildings - Total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 (reviewer reference only)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supportive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165.42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Warehouses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69.32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buildings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supportive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355.03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6. Lineage / Traceability</w:t>
      </w:r>
    </w:p>
    <w:p>
      <w:r>
        <w:rPr>
          <w:rFonts w:ascii="Arial" w:hAnsi="Arial"/>
          <w:b w:val="0"/>
          <w:i w:val="0"/>
        </w:rPr>
        <w:t>A reviewer can resolve a number by table row, transformation row, then source inventory row within three hops.</w:t>
      </w:r>
    </w:p>
    <w:p>
      <w:r>
        <w:rPr>
          <w:rFonts w:ascii="Arial" w:hAnsi="Arial"/>
          <w:b w:val="0"/>
          <w:i/>
          <w:color w:val="7F7F7F"/>
          <w:sz w:val="20"/>
        </w:rPr>
        <w:t>Lineage / Traceability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Analytical table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Number fields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 row reference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Transformation script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 / vintage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Reference hops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labour_force_industry_xlsx; rba_cash_rate_csv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src/overlays/build_industry_risk_scores.py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property_cycle_panel; scenario multipliers (assumption); qualitative arrears baseline (assumption, RBA FSR Mar-2026)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src/overlays/build_downturn_overlay_tables.py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rba_cash_rate_csv; qualitative arrears baseline (assumption, RBA FSR Mar-2026)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src/panels/build_macro_regime_flags.py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industry_financial_benchmarks.csv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labour_force_industry_xlsx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src/panels/build_industry_financial_benchmarks.py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business_cycle_panel.csv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business_indicators_consumer_sales_xlsx; labour_force_industry_xlsx; rba_cash_rate_csv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src/panels/build_business_cycle_panel.py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src/panels/build_property_cycle_panel.py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property_market_overlays_by_building_type.csv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7. What's Not In This Report</w:t>
      </w:r>
    </w:p>
    <w:p>
      <w:r>
        <w:rPr>
          <w:rFonts w:ascii="Arial" w:hAnsi="Arial"/>
          <w:b w:val="0"/>
          <w:i w:val="0"/>
        </w:rPr>
        <w:t>These rows are the operator priority list for the next refresh cycle.</w:t>
      </w:r>
    </w:p>
    <w:p>
      <w:r>
        <w:rPr>
          <w:rFonts w:ascii="Arial" w:hAnsi="Arial"/>
          <w:b w:val="0"/>
          <w:i/>
          <w:color w:val="7F7F7F"/>
          <w:sz w:val="20"/>
        </w:rPr>
        <w:t>Data not yet captured / 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 key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 action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 / next date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anzsic_classification_page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anzsic_division_codes_page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anzsic_division_subdivision_class_page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business_indicators_consumer_sales_xlsx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business_indicators_inventory_ratio_xlsx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business_indicators_profit_ratio_xlsx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cpi_all_groups_xlsx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cpi_subgroups_xlsx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dwelling_approvals_xlsx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dwelling_value_xlsx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labour_force_industry_xlsx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lending_indicators_xlsx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ppi_construction_xlsx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ppi_manufacturing_xlsx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property_price_capitals_xlsx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property_price_index_xlsx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ptrs_cycle_8_pdf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ptrs_cycle_9_pdf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ptrs_guidance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rba_chart_pack_page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rba_fsr_page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rba_smp_page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rba_table_e2_xls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total_value_dwellings_xlsx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8. Validation and Caveats</w:t>
      </w:r>
    </w:p>
    <w:p>
      <w:r>
        <w:rPr>
          <w:rFonts w:ascii="Arial" w:hAnsi="Arial"/>
          <w:b w:val="0"/>
          <w:i w:val="0"/>
        </w:rPr>
        <w:t>The integration test tests/integration/test_board_report_completeness.py is the executable contract for this section.</w:t>
      </w:r>
    </w:p>
    <w:p>
      <w:r>
        <w:rPr>
          <w:rFonts w:ascii="Arial" w:hAnsi="Arial"/>
          <w:b w:val="0"/>
          <w:i/>
          <w:color w:val="7F7F7F"/>
          <w:sz w:val="20"/>
        </w:rPr>
        <w:t>Contract validation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Check category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Items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Source registry inventory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Canonical export transformations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Detailed analysis export tables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Lineage mappings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Manual/missing source disclosure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27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</w:tbl>
    <w:p/>
    <w:p>
      <w:r>
        <w:rPr>
          <w:rFonts w:ascii="Arial" w:hAnsi="Arial"/>
          <w:b w:val="0"/>
          <w:i w:val="0"/>
        </w:rPr>
        <w:t>The report does not fabricate current-period values. Prior-period or manually staged values remain dated through their source inventory period, manifest timestamp, export as_of_date, or build timestamp.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Appendix A — Audit log (this session)</w:t>
      </w:r>
    </w:p>
    <w:p>
      <w:r>
        <w:rPr>
          <w:rFonts w:ascii="Arial" w:hAnsi="Arial"/>
          <w:b/>
          <w:i w:val="0"/>
        </w:rPr>
        <w:t>Date: 2026-06-15</w:t>
      </w:r>
    </w:p>
    <w:p>
      <w:r>
        <w:rPr>
          <w:rFonts w:ascii="Arial" w:hAnsi="Arial"/>
          <w:b w:val="0"/>
          <w:i w:val="0"/>
        </w:rPr>
        <w:t>Scope: Phase 1 baseline audit, Phase 2 anomaly scan, Phase 3 test-coverage audit + contract tests, Phase 4a markdown report build, Phase 4b DOCX + HTML renderers.</w:t>
      </w:r>
    </w:p>
    <w:p>
      <w:pPr>
        <w:spacing w:before="200" w:after="80"/>
      </w:pPr>
      <w:r>
        <w:rPr>
          <w:rFonts w:ascii="Arial" w:hAnsi="Arial"/>
          <w:b/>
          <w:color w:val="2E75B6"/>
          <w:sz w:val="26"/>
        </w:rPr>
        <w:t>Phase 1 — Baseline</w:t>
      </w:r>
    </w:p>
    <w:p>
      <w:r>
        <w:rPr>
          <w:rFonts w:ascii="Arial" w:hAnsi="Arial"/>
          <w:b w:val="0"/>
          <w:i w:val="0"/>
        </w:rPr>
        <w:t>• Test suite: 54 passed, 0 failed, 0 skipped, 0 warnings (pre-Phase-3).</w:t>
      </w:r>
    </w:p>
    <w:p>
      <w:r>
        <w:rPr>
          <w:rFonts w:ascii="Arial" w:hAnsi="Arial"/>
          <w:b w:val="0"/>
          <w:i w:val="0"/>
        </w:rPr>
        <w:t>• Pipeline scripts: all five completed cleanly after raw ABS/RBA data was copied from the main checkout into the worktree (git-ignored by design).</w:t>
      </w:r>
    </w:p>
    <w:p>
      <w:r>
        <w:rPr>
          <w:rFonts w:ascii="Arial" w:hAnsi="Arial"/>
          <w:b w:val="0"/>
          <w:i w:val="0"/>
        </w:rPr>
        <w:t>• Validator: 12/12 checks green.</w:t>
      </w:r>
    </w:p>
    <w:p>
      <w:r>
        <w:rPr>
          <w:rFonts w:ascii="Arial" w:hAnsi="Arial"/>
          <w:b w:val="0"/>
          <w:i w:val="0"/>
        </w:rPr>
        <w:t>• Exports: 6/6 present and non-empty. Dated exports within ~2 months of today; not stale.</w:t>
      </w:r>
    </w:p>
    <w:p>
      <w:pPr>
        <w:spacing w:before="200" w:after="80"/>
      </w:pPr>
      <w:r>
        <w:rPr>
          <w:rFonts w:ascii="Arial" w:hAnsi="Arial"/>
          <w:b/>
          <w:color w:val="2E75B6"/>
          <w:sz w:val="26"/>
        </w:rPr>
        <w:t>Phase 2 — Anomaly scan</w:t>
      </w:r>
    </w:p>
    <w:p>
      <w:r>
        <w:rPr>
          <w:rFonts w:ascii="Arial" w:hAnsi="Arial"/>
          <w:b w:val="0"/>
          <w:i w:val="0"/>
        </w:rPr>
        <w:t>• HIGH findings: 0. MEDIUM findings: 0. LOW findings: 2 (informational, null-pattern diagnostics).</w:t>
      </w:r>
    </w:p>
    <w:p>
      <w:r>
        <w:rPr>
          <w:rFonts w:ascii="Arial" w:hAnsi="Arial"/>
          <w:b w:val="0"/>
          <w:i w:val="0"/>
        </w:rPr>
        <w:t>• 21 nulls in business_cycle_panel confirmed as documented-by-design. Every null-bearing row is labelled 'Fallback' in inventory_days_est_source; every non-null row labelled 'ABS quarterly'. Zero exceptions.</w:t>
      </w:r>
    </w:p>
    <w:p>
      <w:r>
        <w:rPr>
          <w:rFonts w:ascii="Arial" w:hAnsi="Arial"/>
          <w:b w:val="0"/>
          <w:i w:val="0"/>
        </w:rPr>
        <w:t>• Core scoring columns (classification_risk_score, macro_risk_score, industry_base_risk_score, industry_base_risk_level) have 0 nulls.</w:t>
      </w:r>
    </w:p>
    <w:p>
      <w:r>
        <w:rPr>
          <w:rFonts w:ascii="Arial" w:hAnsi="Arial"/>
          <w:b w:val="0"/>
          <w:i w:val="0"/>
        </w:rPr>
        <w:t>• Scoring functions in src/utils.py map null inputs to a neutral factor score (3) — null-tolerant by design.</w:t>
      </w:r>
    </w:p>
    <w:p>
      <w:pPr>
        <w:spacing w:before="200" w:after="80"/>
      </w:pPr>
      <w:r>
        <w:rPr>
          <w:rFonts w:ascii="Arial" w:hAnsi="Arial"/>
          <w:b/>
          <w:color w:val="2E75B6"/>
          <w:sz w:val="26"/>
        </w:rPr>
        <w:t>Phase 3 — Test coverage</w:t>
      </w:r>
    </w:p>
    <w:p>
      <w:r>
        <w:rPr>
          <w:rFonts w:ascii="Arial" w:hAnsi="Arial"/>
          <w:b w:val="0"/>
          <w:i w:val="0"/>
        </w:rPr>
        <w:t>• Baseline: 15 of 23 source modules had direct test imports; 8 untested.</w:t>
      </w:r>
    </w:p>
    <w:p>
      <w:r>
        <w:rPr>
          <w:rFonts w:ascii="Arial" w:hAnsi="Arial"/>
          <w:b w:val="0"/>
          <w:i w:val="0"/>
        </w:rPr>
        <w:t>• Added tests/test_export_contracts.py (6 test functions expanding to 18 parametrized cases) covering the canonical contract boundary.</w:t>
      </w:r>
    </w:p>
    <w:p>
      <w:r>
        <w:rPr>
          <w:rFonts w:ascii="Arial" w:hAnsi="Arial"/>
          <w:b w:val="0"/>
          <w:i w:val="0"/>
        </w:rPr>
        <w:t>• Final count: 77 tests passing (72 after Phase 3 + 5 renderer tests in Phase 4b).</w:t>
      </w:r>
    </w:p>
    <w:p>
      <w:r>
        <w:rPr>
          <w:rFonts w:ascii="Arial" w:hAnsi="Arial"/>
          <w:b w:val="0"/>
          <w:i w:val="0"/>
        </w:rPr>
        <w:t>• Deferred Tier-2 builder tests as duplication of contract-test coverage.</w:t>
      </w:r>
    </w:p>
    <w:p>
      <w:pPr>
        <w:spacing w:before="200" w:after="80"/>
      </w:pPr>
      <w:r>
        <w:rPr>
          <w:rFonts w:ascii="Arial" w:hAnsi="Arial"/>
          <w:b/>
          <w:color w:val="2E75B6"/>
          <w:sz w:val="26"/>
        </w:rPr>
        <w:t>Phase 4 — Board report</w:t>
      </w:r>
    </w:p>
    <w:p>
      <w:r>
        <w:rPr>
          <w:rFonts w:ascii="Arial" w:hAnsi="Arial"/>
          <w:b w:val="0"/>
          <w:i w:val="0"/>
        </w:rPr>
        <w:t>• Phase 4a: markdown renderer + CLI; two files per run (Board + Technical).</w:t>
      </w:r>
    </w:p>
    <w:p>
      <w:r>
        <w:rPr>
          <w:rFonts w:ascii="Arial" w:hAnsi="Arial"/>
          <w:b w:val="0"/>
          <w:i w:val="0"/>
        </w:rPr>
        <w:t>• Phase 4b: DOCX renderer (reports/render_docx.py), HTML renderer (reports/render_html.py), CLI extended with --format all to emit all six files.</w:t>
      </w:r>
    </w:p>
    <w:p>
      <w:r>
        <w:rPr>
          <w:rFonts w:ascii="Arial" w:hAnsi="Arial"/>
          <w:b w:val="0"/>
          <w:i w:val="0"/>
        </w:rPr>
        <w:t>• Content tweaks applied: Section 2 macro-commentary rewrite; Section 9 Board Construction callout expanded with Porter Davis / Probuild / Clough context; Section 1 'How to read this report' callout added.</w:t>
      </w:r>
    </w:p>
    <w:p>
      <w:pPr>
        <w:spacing w:before="200" w:after="80"/>
      </w:pPr>
      <w:r>
        <w:rPr>
          <w:rFonts w:ascii="Arial" w:hAnsi="Arial"/>
          <w:b/>
          <w:color w:val="2E75B6"/>
          <w:sz w:val="26"/>
        </w:rPr>
        <w:t>Methodology observations (not bugs)</w:t>
      </w:r>
    </w:p>
    <w:p>
      <w:r>
        <w:rPr>
          <w:rFonts w:ascii="Arial" w:hAnsi="Arial"/>
          <w:b w:val="0"/>
          <w:i w:val="0"/>
        </w:rPr>
        <w:t>• Construction base risk score (2.68, 'Medium') — logged as an active methodology review item. See Section 9 of this report. Session: noted, not fixed.</w:t>
      </w:r>
    </w:p>
    <w:p>
      <w:pPr>
        <w:spacing w:before="200" w:after="80"/>
      </w:pPr>
      <w:r>
        <w:rPr>
          <w:rFonts w:ascii="Arial" w:hAnsi="Arial"/>
          <w:b/>
          <w:color w:val="2E75B6"/>
          <w:sz w:val="26"/>
        </w:rPr>
        <w:t>Dev-ergonomics notes</w:t>
      </w:r>
    </w:p>
    <w:p>
      <w:r>
        <w:rPr>
          <w:rFonts w:ascii="Arial" w:hAnsi="Arial"/>
          <w:b w:val="0"/>
          <w:i w:val="0"/>
        </w:rPr>
        <w:t>• Fresh git worktrees do not carry the git-ignored raw ABS/RBA staging directories. Copy them from a primary checkout, or add a bootstrap_worktree.py helper. Not urgent; logged for future consideration.</w:t>
      </w:r>
    </w:p>
    <w:p>
      <w:r>
        <w:rPr>
          <w:rFonts w:ascii="Arial" w:hAnsi="Arial"/>
          <w:b w:val="0"/>
          <w:i/>
          <w:color w:val="7F7F7F"/>
          <w:sz w:val="18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7F7F7F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7F7F7F"/>
        <w:sz w:val="18"/>
      </w:rPr>
      <w:t>Industry Analysis Report  |  Q1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