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Industry Analysis Report — Q1 2026</w:t>
      </w:r>
    </w:p>
    <w:p>
      <w:r>
        <w:rPr>
          <w:rFonts w:ascii="Arial" w:hAnsi="Arial"/>
          <w:b w:val="0"/>
          <w:i/>
          <w:color w:val="2E75B6"/>
          <w:sz w:val="24"/>
        </w:rPr>
        <w:t>Board Summary variant</w:t>
      </w:r>
    </w:p>
    <w:p>
      <w:r>
        <w:rPr>
          <w:rFonts w:ascii="Arial" w:hAnsi="Arial"/>
          <w:b w:val="0"/>
          <w:i w:val="0"/>
          <w:color w:val="7F7F7F"/>
          <w:sz w:val="20"/>
        </w:rPr>
        <w:t>Generated 2026-04-23</w:t>
      </w:r>
    </w:p>
    <w:p>
      <w:r>
        <w:rPr>
          <w:rFonts w:ascii="Arial" w:hAnsi="Arial"/>
          <w:b w:val="0"/>
          <w:i w:val="0"/>
          <w:color w:val="7F7F7F"/>
          <w:sz w:val="20"/>
        </w:rPr>
        <w:t>Macro and downturn overlays as of 2026-03-16. Property cycle data as of 2026-02-01.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Prepared for</w:t>
            </w:r>
          </w:p>
          <w:p>
            <w:r>
              <w:rPr>
                <w:rFonts w:ascii="Arial" w:hAnsi="Arial"/>
                <w:sz w:val="20"/>
              </w:rPr>
              <w:t>This is a summary view for non-technical reviewers. Every table in this document traces back to the canonical parquet contracts in data/exports/. For full per-column detail, methodology references, and the audit-log appendix, see the Technical variant.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1. Executive Summary</w:t>
      </w:r>
    </w:p>
    <w:p>
      <w:r>
        <w:rPr>
          <w:rFonts w:ascii="Arial" w:hAnsi="Arial"/>
          <w:b w:val="0"/>
          <w:i w:val="0"/>
        </w:rPr>
        <w:t>This report summarises the current state of Australian industry and property market risk using public macro, industry, and property data. Overlays cover 9 industries and 11 property segments. Cash rate sits at 3.85%, 0.25pp lower than a year ago; arrears environment is Low and improving. 4 of 9 industries currently score Elevated on the base risk scale. 1 property segment is in downturn, 1 is slowing, and 3 are in growth.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How to read this report</w:t>
            </w:r>
          </w:p>
          <w:p>
            <w:r>
              <w:rPr>
                <w:rFonts w:ascii="Arial" w:hAnsi="Arial"/>
                <w:sz w:val="20"/>
              </w:rPr>
              <w:t>This report uses a 1–5 risk-score scale with four bands:</w:t>
            </w:r>
          </w:p>
          <w:p>
            <w:r>
              <w:rPr>
                <w:rFonts w:ascii="Arial" w:hAnsi="Arial"/>
                <w:sz w:val="20"/>
              </w:rPr>
              <w:t>- Low (&lt; 2.0) — defensive, structurally resilient</w:t>
            </w:r>
          </w:p>
          <w:p>
            <w:r>
              <w:rPr>
                <w:rFonts w:ascii="Arial" w:hAnsi="Arial"/>
                <w:sz w:val="20"/>
              </w:rPr>
              <w:t>- Medium (2.0 – 2.75) — neutral, typical business-cycle exposure</w:t>
            </w:r>
          </w:p>
          <w:p>
            <w:r>
              <w:rPr>
                <w:rFonts w:ascii="Arial" w:hAnsi="Arial"/>
                <w:sz w:val="20"/>
              </w:rPr>
              <w:t>- Elevated (2.75 – 3.5) — cyclical or rate-sensitive; monitor closely</w:t>
            </w:r>
          </w:p>
          <w:p>
            <w:r>
              <w:rPr>
                <w:rFonts w:ascii="Arial" w:hAnsi="Arial"/>
                <w:sz w:val="20"/>
              </w:rPr>
              <w:t>- High (&gt; 3.5) — stressed or structurally vulnerable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2. Macro Regime</w:t>
      </w:r>
    </w:p>
    <w:p>
      <w:r>
        <w:rPr>
          <w:rFonts w:ascii="Arial" w:hAnsi="Arial"/>
          <w:b w:val="0"/>
          <w:i w:val="0"/>
        </w:rPr>
        <w:t>Macro conditions shape how every industry and property segment is stressed. The cash rate is the dominant conditioning variable; the arrears backdrop confirms whether rate moves are already showing in borrower behaviour.</w:t>
      </w:r>
    </w:p>
    <w:p>
      <w:r>
        <w:rPr>
          <w:rFonts w:ascii="Arial" w:hAnsi="Arial"/>
          <w:b w:val="0"/>
          <w:i/>
          <w:color w:val="7F7F7F"/>
          <w:sz w:val="20"/>
        </w:rPr>
        <w:t>Macro regime snapshot as of 2026-03-16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(latest)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3.85%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1y change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-0.25pp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regime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neutral_easing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Arrears environment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Arrears trend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Improving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regime flag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</w:tr>
    </w:tbl>
    <w:p/>
    <w:p>
      <w:r>
        <w:rPr>
          <w:rFonts w:ascii="Arial" w:hAnsi="Arial"/>
          <w:b w:val="0"/>
          <w:i w:val="0"/>
        </w:rPr>
        <w:t>Combined with a low arrears backdrop, this suggests borrowers are absorbing rate pressure; credit models should weight structural over cyclical factors in current calibration. The downturn overlays currently apply the 'base' scenario (no uplift to PD/LGD/CCF).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3. Industry Risk Rankings</w:t>
      </w:r>
    </w:p>
    <w:p>
      <w:r>
        <w:rPr>
          <w:rFonts w:ascii="Arial" w:hAnsi="Arial"/>
          <w:b w:val="0"/>
          <w:i w:val="0"/>
        </w:rPr>
        <w:t>Industries are ranked by a combined base risk score that blends structural classification risk (cyclicality, concentration, capital intensity) with current macro sensitivity. The table below is ordered highest-risk first.</w:t>
      </w:r>
    </w:p>
    <w:p>
      <w:r>
        <w:rPr>
          <w:rFonts w:ascii="Arial" w:hAnsi="Arial"/>
          <w:b w:val="0"/>
          <w:i/>
          <w:color w:val="7F7F7F"/>
          <w:sz w:val="20"/>
        </w:rPr>
        <w:t>All 9 industries ranked by base risk score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 score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Level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3.50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2.22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2.18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B183"/>
            <w:vAlign w:val="top"/>
            <w:tcBorders>
              <w:top w:val="single" w:sz="8" w:color="F4B183"/>
              <w:left w:val="single" w:sz="8" w:color="F4B183"/>
              <w:bottom w:val="single" w:sz="8" w:color="F4B183"/>
              <w:right w:val="single" w:sz="8" w:color="F4B183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Construction ranking</w:t>
            </w:r>
          </w:p>
          <w:p>
            <w:r>
              <w:rPr>
                <w:rFonts w:ascii="Arial" w:hAnsi="Arial"/>
                <w:sz w:val="20"/>
              </w:rPr>
              <w:t>**Methodology note.** Construction base risk score (2.68, 'Medium') reflects structural classification risk only, not current insolvency pressure. See Section 9 for methodology context and the active review item.</w:t>
            </w:r>
          </w:p>
        </w:tc>
      </w:tr>
    </w:tbl>
    <w:p/>
    <w:p>
      <w:r>
        <w:rPr>
          <w:rFonts w:ascii="Arial" w:hAnsi="Arial"/>
          <w:b w:val="0"/>
          <w:i w:val="0"/>
        </w:rPr>
        <w:t>The top 4 industries all sit in the 'Elevated' band, driven by structural cyclicality and current rate sensitivity. Defensive sectors (Health Care; Professional, Scientific and Technical) sit at the lower end, as expected.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4. Top Risk Industries</w:t>
      </w:r>
    </w:p>
    <w:p>
      <w:r>
        <w:rPr>
          <w:rFonts w:ascii="Arial" w:hAnsi="Arial"/>
          <w:b w:val="0"/>
          <w:i w:val="0"/>
        </w:rPr>
        <w:t>These are the five industries with the highest combined base risk score in the current environment. Review these first when calibrating portfolio concentration limits or sector caps.</w:t>
      </w:r>
    </w:p>
    <w:p>
      <w:r>
        <w:rPr>
          <w:rFonts w:ascii="Arial" w:hAnsi="Arial"/>
          <w:b w:val="0"/>
          <w:i/>
          <w:color w:val="7F7F7F"/>
          <w:sz w:val="20"/>
        </w:rPr>
        <w:t>Top 5 industries by base risk score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 score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Level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3.50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3.50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5. Property Market Overlays</w:t>
      </w:r>
    </w:p>
    <w:p>
      <w:r>
        <w:rPr>
          <w:rFonts w:ascii="Arial" w:hAnsi="Arial"/>
          <w:b w:val="0"/>
          <w:i w:val="0"/>
        </w:rPr>
        <w:t>Property overlays track 11 commercial and non-residential segments through the cycle. Each segment is classified into one of four cycle stages (downturn, slowing, neutral, growth) using approvals momentum as the primary signal.</w:t>
      </w:r>
    </w:p>
    <w:p>
      <w:r>
        <w:rPr>
          <w:rFonts w:ascii="Arial" w:hAnsi="Arial"/>
          <w:b w:val="0"/>
          <w:i/>
          <w:color w:val="7F7F7F"/>
          <w:sz w:val="20"/>
        </w:rPr>
        <w:t>All 11 segments grouped by cycle stage (as of 2026-02-01)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Segment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Softness score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 band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4.30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2.40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</w:tr>
    </w:tbl>
    <w:p/>
    <w:p>
      <w:r>
        <w:rPr>
          <w:rFonts w:ascii="Arial" w:hAnsi="Arial"/>
          <w:b w:val="0"/>
          <w:i w:val="0"/>
        </w:rPr>
        <w:t>Segments are grouped with downturn first, then slowing, neutral, and growth. Offices is the only segment flagged in downturn; Health buildings, Commercial Buildings Total, and Short-term accommodation are the three segments in growth.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6. Property Cycle Interpretation</w:t>
      </w:r>
    </w:p>
    <w:p>
      <w:r>
        <w:rPr>
          <w:rFonts w:ascii="Arial" w:hAnsi="Arial"/>
          <w:b w:val="0"/>
          <w:i w:val="0"/>
        </w:rPr>
        <w:t>1 segment is currently in downturn (Offices). 1 is slowing (Education buildings). 6 segments sit in neutral, and 3 are in growth (Short term accommodation buildings, Commercial Buildings - Total, Health buildings). For property-backed lending, Offices warrants elevated caution; the growth-stage segments look supportive but should be read alongside the approvals-base-effect caveat below.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7. Downturn Scenarios</w:t>
      </w:r>
    </w:p>
    <w:p>
      <w:r>
        <w:rPr>
          <w:rFonts w:ascii="Arial" w:hAnsi="Arial"/>
          <w:b w:val="0"/>
          <w:i w:val="0"/>
        </w:rPr>
        <w:t>Downturn overlays provide illustrative multipliers for PD, LGD, and CCF, plus property value haircuts, under four scenarios. These support scenario analysis and conservative pricing; they are not calibrated regulatory stress parameters.</w:t>
      </w:r>
    </w:p>
    <w:p>
      <w:r>
        <w:rPr>
          <w:rFonts w:ascii="Arial" w:hAnsi="Arial"/>
          <w:b w:val="0"/>
          <w:i/>
          <w:color w:val="7F7F7F"/>
          <w:sz w:val="20"/>
        </w:rPr>
        <w:t>Illustrative downturn multipliers (as of 2026-03-16)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 ×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 ×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 ×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 haircut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0.00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1.20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1.50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0.10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1.30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1.20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0.20</w:t>
            </w:r>
          </w:p>
        </w:tc>
      </w:tr>
    </w:tbl>
    <w:p/>
    <w:p>
      <w:r>
        <w:rPr>
          <w:rFonts w:ascii="Arial" w:hAnsi="Arial"/>
          <w:b w:val="0"/>
          <w:i w:val="0"/>
        </w:rPr>
        <w:t>Apply multiplicatively to modelled PD/LGD/CCF; haircut applies to property valuations in collateral-backed lines. The severe scenario doubles PD; mild and moderate are graduated. Current environment selects the 'base' row (see Section 2).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8. Data Sources and Freshness</w:t>
      </w:r>
    </w:p>
    <w:p>
      <w:r>
        <w:rPr>
          <w:rFonts w:ascii="Arial" w:hAnsi="Arial"/>
          <w:b w:val="0"/>
          <w:i w:val="0"/>
        </w:rPr>
        <w:t>Each overlay is built from public data refreshed on a published cadence. The table below lists the primary source and last-refresh date for each contract.</w:t>
      </w:r>
    </w:p>
    <w:p>
      <w:r>
        <w:rPr>
          <w:rFonts w:ascii="Arial" w:hAnsi="Arial"/>
          <w:b w:val="0"/>
          <w:i/>
          <w:color w:val="7F7F7F"/>
          <w:sz w:val="20"/>
        </w:rPr>
        <w:t>Primary sources and refresh dates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Overlay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Primary source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Refreshed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ABS Economic Activity Survey + RBA F1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(non-residential)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Staged arrears context + property softness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 + arrears staging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ABS EAS + RBA F1 (panel assembly)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9. Validation and Caveats</w:t>
      </w:r>
    </w:p>
    <w:p>
      <w:r>
        <w:rPr>
          <w:rFonts w:ascii="Arial" w:hAnsi="Arial"/>
          <w:b w:val="0"/>
          <w:i w:val="0"/>
        </w:rPr>
        <w:t>Contract validation runs automatically before every downstream handoff. All 12 current checks passed on the latest pipeline run. This section also documents active methodology review items and known gaps.</w:t>
      </w:r>
    </w:p>
    <w:p>
      <w:r>
        <w:rPr>
          <w:rFonts w:ascii="Arial" w:hAnsi="Arial"/>
          <w:b w:val="0"/>
          <w:i/>
          <w:color w:val="7F7F7F"/>
          <w:sz w:val="20"/>
        </w:rPr>
        <w:t>Contract validation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Check category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contract presence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contract file on disk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panel presence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panel file on disk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</w:tbl>
    <w:p/>
    <w:p>
      <w:r>
        <w:rPr>
          <w:rFonts w:ascii="Arial" w:hAnsi="Arial"/>
          <w:b w:val="0"/>
          <w:i w:val="0"/>
        </w:rPr>
        <w:t>Two caveats to flag: (1) Construction's 'Medium' rating reflects structural factors only, not current insolvency pressure — see the callout below. (2) Property overlay commencements and completions are proxied from approvals in this cycle, not directly observed.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B183"/>
            <w:vAlign w:val="top"/>
            <w:tcBorders>
              <w:top w:val="single" w:sz="8" w:color="F4B183"/>
              <w:left w:val="single" w:sz="8" w:color="F4B183"/>
              <w:bottom w:val="single" w:sz="8" w:color="F4B183"/>
              <w:right w:val="single" w:sz="8" w:color="F4B183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Methodology review item: Construction ranking</w:t>
            </w:r>
          </w:p>
          <w:p>
            <w:r>
              <w:rPr>
                <w:rFonts w:ascii="Arial" w:hAnsi="Arial"/>
                <w:sz w:val="20"/>
              </w:rPr>
              <w:t>Construction scores 2.68 ('Medium'). Market narrative (builder insolvencies, subcontractor arrears, fixed-price-contract pressure) suggests this understates near-term credit risk. The Australian construction sector has seen three major builder collapses (Porter Davis, Probuild, Clough) over 2024-2026; this sector-specific stress isn't captured in structural risk scoring. Logged as an active methodology review item; this session did not apply a fix — the Technical variant of this report documents the full discussion and three review options.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10. Methodology References</w:t>
      </w:r>
    </w:p>
    <w:p>
      <w:r>
        <w:rPr>
          <w:rFonts w:ascii="Arial" w:hAnsi="Arial"/>
          <w:b w:val="0"/>
          <w:i w:val="0"/>
        </w:rPr>
        <w:t>Full methodology manuals are maintained in the repo `docs/` folder. These describe how each overlay is constructed from raw inputs.</w:t>
      </w:r>
    </w:p>
    <w:p>
      <w:r>
        <w:rPr>
          <w:rFonts w:ascii="Arial" w:hAnsi="Arial"/>
          <w:b w:val="0"/>
          <w:i/>
          <w:color w:val="7F7F7F"/>
          <w:sz w:val="20"/>
        </w:rPr>
        <w:t>Methodology documents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Document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Cash-flow lending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docs/methodology_cash_flow_lending.md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Property-backed lending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docs/methodology_property_backed_lending.md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Audit + polish log (this session)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outputs/industry_analysis_audit_log.md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Baseline state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outputs/baseline_state.md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7F7F7F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color w:val="7F7F7F"/>
        <w:sz w:val="18"/>
      </w:rPr>
      <w:t>Industry Analysis Report  |  Q1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