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企业套期保值政策（2026年度）</w:t>
      </w:r>
    </w:p>
    <w:p>
      <w:r>
        <w:t xml:space="preserve">一、品种与合约：本企业从事苹果贸易，期货品种为苹果（AP），合约乘数 10 吨/手。</w:t>
      </w:r>
    </w:p>
    <w:p>
      <w:r>
        <w:t xml:space="preserve">二、授权：套期保值授权比例 0.7，上限 0.8；所有保值须经业务负责人、独立风控、企业授权审批人三级复核。</w:t>
      </w:r>
    </w:p>
    <w:p>
      <w:r>
        <w:t xml:space="preserve">三、原则：以锁定经营毛利为目标，优先使用期货与保护性期权，禁止裸卖与投机。</w:t>
      </w:r>
    </w:p>
  </w:body>
</w:document>
</file>