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328ED">
      <w:pPr>
        <w:pStyle w:val="19"/>
        <w:numPr>
          <w:ilvl w:val="0"/>
          <w:numId w:val="0"/>
        </w:numPr>
        <w:rPr>
          <w:rFonts w:hint="eastAsia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eastAsia="zh-CN"/>
        </w:rPr>
        <w:t>审查报告</w:t>
      </w:r>
    </w:p>
    <w:p w14:paraId="63B5C09D">
      <w:pPr>
        <w:rPr>
          <w:rFonts w:hint="eastAsia" w:ascii="Times New Roman" w:hAnsi="Times New Roman" w:eastAsia="宋体" w:cs="Times New Roman"/>
          <w:iCs/>
          <w:sz w:val="22"/>
          <w:szCs w:val="22"/>
          <w:lang w:eastAsia="en-US"/>
        </w:r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8"/>
        <w:gridCol w:w="1249"/>
        <w:gridCol w:w="1124"/>
        <w:gridCol w:w="4005"/>
      </w:tblGrid>
      <w:tr w14:paraId="16863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</w:tcPr>
          <w:p w14:paraId="4EAB23B9">
            <w:pPr>
              <w:pStyle w:val="23"/>
              <w:spacing w:before="0" w:after="0" w:line="240" w:lineRule="auto"/>
              <w:ind w:firstLine="0"/>
              <w:jc w:val="center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 w:eastAsia="zh-CN"/>
              </w:rPr>
              <w:t>审查报告</w:t>
            </w:r>
          </w:p>
        </w:tc>
      </w:tr>
      <w:tr w14:paraId="2727C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vAlign w:val="center"/>
          </w:tcPr>
          <w:p w14:paraId="370A749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 w:eastAsia="zh-CN"/>
              </w:rPr>
              <w:t>一般信息</w:t>
            </w:r>
          </w:p>
        </w:tc>
      </w:tr>
      <w:tr w14:paraId="3EB3C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670" w:type="pct"/>
            <w:vAlign w:val="center"/>
          </w:tcPr>
          <w:p w14:paraId="3C243D9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数据集名称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555BD2D3">
            <w:pPr>
              <w:pStyle w:val="10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{{DATASET_NAME}}</w:t>
            </w:r>
          </w:p>
        </w:tc>
      </w:tr>
      <w:tr w14:paraId="7772B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1172AADD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数据集 UUID 和版本号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77118D9D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{{DATASET_UUID_VERSION}}</w:t>
            </w:r>
          </w:p>
        </w:tc>
      </w:tr>
      <w:tr w14:paraId="6A7F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07A79CF3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数据集位置 (例如：永久 URI、URL、联系点或数据库名称和版本等)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443CC5DB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  <w:t>{{DATASET_LOCATION}}</w:t>
            </w:r>
          </w:p>
        </w:tc>
      </w:tr>
      <w:tr w14:paraId="2315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3033F019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审查委托人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538EA9D3">
            <w:pPr>
              <w:pStyle w:val="23"/>
              <w:spacing w:before="0" w:after="0" w:line="240" w:lineRule="auto"/>
              <w:ind w:firstLine="0"/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天工 LCA 数据团队 / Tiangong LCA Data Working Group</w:t>
            </w:r>
          </w:p>
        </w:tc>
      </w:tr>
      <w:tr w14:paraId="3F802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735D6960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审查员（团队所有成员）姓名隶属单位联系方式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56BD840F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汪璇</w:t>
            </w:r>
          </w:p>
          <w:p w14:paraId="07990B04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天工联盟</w:t>
            </w:r>
          </w:p>
          <w:p w14:paraId="7BC7FCFC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13288180749@163.com</w:t>
            </w:r>
          </w:p>
        </w:tc>
      </w:tr>
      <w:tr w14:paraId="583E2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32BAD151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de-DE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适用的审查类型，及与EF要求的审查一致性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43FCE731">
            <w:pPr>
              <w:pStyle w:val="23"/>
              <w:spacing w:before="0" w:after="0" w:line="240" w:lineRule="auto"/>
              <w:ind w:firstLine="0"/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独立外部审查,一致</w:t>
            </w:r>
          </w:p>
        </w:tc>
      </w:tr>
      <w:tr w14:paraId="1ECE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63D1BABF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highlight w:val="yellow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审查方法及范围</w:t>
            </w:r>
          </w:p>
        </w:tc>
        <w:tc>
          <w:tcPr>
            <w:tcW w:w="3329" w:type="pct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FF6169C">
            <w:pPr>
              <w:pStyle w:val="23"/>
              <w:spacing w:before="0" w:after="0" w:line="240" w:lineRule="auto"/>
              <w:ind w:firstLine="0"/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2"/>
              </w:rPr>
              <w:t>{{REVIEW_METHOD_SCOPE}}</w:t>
            </w:r>
            <w:r>
              <w:rPr>
                <w:rFonts w:hint="eastAsia" w:cs="Times New Roman"/>
                <w:sz w:val="22"/>
                <w:szCs w:val="22"/>
                <w:lang w:val="en-US" w:eastAsia="zh-CN"/>
              </w:rPr>
              <w:t/>
            </w:r>
          </w:p>
        </w:tc>
      </w:tr>
      <w:tr w14:paraId="57048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70620EF1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审查完成日期</w:t>
            </w:r>
          </w:p>
        </w:tc>
        <w:tc>
          <w:tcPr>
            <w:tcW w:w="3329" w:type="pct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CE4224B">
            <w:pPr>
              <w:pStyle w:val="23"/>
              <w:spacing w:before="0" w:after="0" w:line="240" w:lineRule="auto"/>
              <w:ind w:firstLine="0"/>
              <w:rPr>
                <w:rFonts w:hint="default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{{REVIEW_COMPLETION_DATE}}</w:t>
            </w:r>
            <w:r>
              <w:rPr>
                <w:rFonts w:hint="eastAsia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/>
            </w: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/>
            </w: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/>
            </w:r>
          </w:p>
        </w:tc>
      </w:tr>
      <w:tr w14:paraId="4490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63250BB3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de-DE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审查依据/合规系统名称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1F3EBAC8">
            <w:pPr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iCs/>
                <w:color w:val="000000" w:themeColor="text1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  <w:bCs/>
                <w:i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LCA/碳足迹数据库构建导则，ILCD entry-level</w:t>
            </w:r>
          </w:p>
        </w:tc>
      </w:tr>
      <w:tr w14:paraId="3B6C5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shd w:val="clear" w:color="auto" w:fill="auto"/>
            <w:vAlign w:val="center"/>
          </w:tcPr>
          <w:p w14:paraId="6C4AB46B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de-DE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与 EF 参考包（版本）的兼容性</w:t>
            </w:r>
          </w:p>
        </w:tc>
        <w:tc>
          <w:tcPr>
            <w:tcW w:w="3329" w:type="pct"/>
            <w:gridSpan w:val="3"/>
            <w:shd w:val="clear" w:color="auto" w:fill="auto"/>
            <w:vAlign w:val="center"/>
          </w:tcPr>
          <w:p w14:paraId="08F85F4A">
            <w:pPr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i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与EF 3.1参考包兼容</w:t>
            </w:r>
          </w:p>
        </w:tc>
      </w:tr>
      <w:tr w14:paraId="7253F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vAlign w:val="center"/>
          </w:tcPr>
          <w:p w14:paraId="46FCFBC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  <w:t>总体合规评估</w:t>
            </w:r>
          </w:p>
        </w:tc>
      </w:tr>
      <w:tr w14:paraId="2F34E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1A998485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eastAsia="zh-CN"/>
              </w:rPr>
              <w:t>内容</w:t>
            </w:r>
          </w:p>
        </w:tc>
        <w:tc>
          <w:tcPr>
            <w:tcW w:w="652" w:type="pct"/>
            <w:tcBorders>
              <w:bottom w:val="single" w:color="auto" w:sz="4" w:space="0"/>
            </w:tcBorders>
            <w:vAlign w:val="center"/>
          </w:tcPr>
          <w:p w14:paraId="0E7DA42F">
            <w:pPr>
              <w:pStyle w:val="23"/>
              <w:spacing w:before="0" w:after="0" w:line="240" w:lineRule="auto"/>
              <w:ind w:firstLine="0"/>
              <w:jc w:val="center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</w:rPr>
              <w:t>是</w:t>
            </w:r>
          </w:p>
        </w:tc>
        <w:tc>
          <w:tcPr>
            <w:tcW w:w="587" w:type="pct"/>
            <w:tcBorders>
              <w:bottom w:val="single" w:color="auto" w:sz="4" w:space="0"/>
            </w:tcBorders>
            <w:vAlign w:val="center"/>
          </w:tcPr>
          <w:p w14:paraId="05104597">
            <w:pPr>
              <w:pStyle w:val="23"/>
              <w:spacing w:before="0" w:after="0" w:line="240" w:lineRule="auto"/>
              <w:ind w:firstLine="0"/>
              <w:jc w:val="center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</w:rPr>
              <w:t>否</w:t>
            </w:r>
          </w:p>
        </w:tc>
        <w:tc>
          <w:tcPr>
            <w:tcW w:w="2089" w:type="pct"/>
            <w:tcBorders>
              <w:bottom w:val="single" w:color="auto" w:sz="4" w:space="0"/>
            </w:tcBorders>
            <w:vAlign w:val="center"/>
          </w:tcPr>
          <w:p w14:paraId="5C4A7344">
            <w:pPr>
              <w:pStyle w:val="23"/>
              <w:spacing w:before="0" w:after="0" w:line="240" w:lineRule="auto"/>
              <w:ind w:firstLine="0"/>
              <w:jc w:val="center"/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</w:rPr>
              <w:t>备注</w:t>
            </w:r>
          </w:p>
        </w:tc>
      </w:tr>
      <w:tr w14:paraId="6FA89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shd w:val="clear" w:color="auto" w:fill="auto"/>
            <w:vAlign w:val="center"/>
          </w:tcPr>
          <w:p w14:paraId="1BA1CD47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</w:rPr>
              <w:t>与特定 EF 要求的一致性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294CE3FA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√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5D2B6BB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7FB8CD4A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</w:tr>
      <w:tr w14:paraId="0B73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shd w:val="clear" w:color="auto" w:fill="auto"/>
            <w:vAlign w:val="center"/>
          </w:tcPr>
          <w:p w14:paraId="32335C27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</w:rPr>
              <w:t>分配规则的明确性和一致性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77630D3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√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2DFF215E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2FAFEF16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</w:tr>
      <w:tr w14:paraId="7644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670" w:type="pct"/>
            <w:vAlign w:val="center"/>
          </w:tcPr>
          <w:p w14:paraId="7A62FD74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</w:rPr>
              <w:t>循环足迹公式（正确实施）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42A24A3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587" w:type="pct"/>
            <w:shd w:val="clear" w:color="auto" w:fill="auto"/>
            <w:vAlign w:val="center"/>
          </w:tcPr>
          <w:p w14:paraId="67062294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7169789B">
            <w:pPr>
              <w:pStyle w:val="23"/>
              <w:spacing w:before="0" w:after="0" w:line="240" w:lineRule="auto"/>
              <w:ind w:firstLine="0"/>
              <w:rPr>
                <w:rFonts w:hint="default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不适用</w:t>
            </w:r>
          </w:p>
        </w:tc>
      </w:tr>
      <w:tr w14:paraId="3BC2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46B79B15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宋体" w:cs="Times New Roman"/>
                <w:iCs/>
                <w:sz w:val="22"/>
                <w:szCs w:val="22"/>
              </w:rPr>
              <w:t>LCIA 结果一致性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0CC549D3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√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07ADEB4A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36281BDF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</w:tr>
      <w:tr w14:paraId="502AA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7185E6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Cs/>
                <w:sz w:val="22"/>
                <w:szCs w:val="22"/>
              </w:rPr>
              <w:t>命名法</w:t>
            </w:r>
          </w:p>
        </w:tc>
      </w:tr>
      <w:tr w14:paraId="52F95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8AC405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de-DE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应用命名法的正确性和一致性（使用特定的 EF 参考包；其他流、过程等的正确命名法）</w:t>
            </w:r>
          </w:p>
        </w:tc>
        <w:tc>
          <w:tcPr>
            <w:tcW w:w="33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EB66D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使用ILCD 数据格式</w:t>
            </w:r>
          </w:p>
        </w:tc>
      </w:tr>
      <w:tr w14:paraId="74E40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B16107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iCs/>
                <w:sz w:val="22"/>
                <w:szCs w:val="22"/>
                <w:lang w:val="en-US"/>
              </w:rPr>
              <w:t>文件记录</w:t>
            </w:r>
          </w:p>
        </w:tc>
      </w:tr>
      <w:tr w14:paraId="1B227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2B489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文件记录的适当性。参见文件“ILCD 填报表-中文版”和附加的“欧盟环境足迹（EF）合规数据集构建指南解读”文件</w:t>
            </w:r>
          </w:p>
        </w:tc>
        <w:tc>
          <w:tcPr>
            <w:tcW w:w="33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23EF8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正确且一致</w:t>
            </w:r>
          </w:p>
          <w:p w14:paraId="3E4720FD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Correctness and consistency。</w:t>
            </w:r>
          </w:p>
        </w:tc>
      </w:tr>
      <w:tr w14:paraId="60FE5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02E454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b/>
                <w:bCs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Cs/>
                <w:sz w:val="22"/>
                <w:szCs w:val="22"/>
                <w:lang w:val="en-US"/>
              </w:rPr>
              <w:t>文件格式的适当性/正确性（ILCD 格式）</w:t>
            </w:r>
          </w:p>
        </w:tc>
      </w:tr>
      <w:tr w14:paraId="2BAF9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shd w:val="clear" w:color="auto" w:fill="auto"/>
            <w:vAlign w:val="center"/>
          </w:tcPr>
          <w:p w14:paraId="18098C48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通过 ILCD 验证器的验证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41576745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√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512195FC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1083CF2C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</w:tr>
      <w:tr w14:paraId="52F83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vAlign w:val="center"/>
          </w:tcPr>
          <w:p w14:paraId="094DC71E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数据质量标准和评级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07DC78F5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  <w:t>√</w:t>
            </w:r>
          </w:p>
        </w:tc>
        <w:tc>
          <w:tcPr>
            <w:tcW w:w="587" w:type="pct"/>
            <w:shd w:val="clear" w:color="auto" w:fill="auto"/>
            <w:vAlign w:val="center"/>
          </w:tcPr>
          <w:p w14:paraId="3019052E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  <w:tc>
          <w:tcPr>
            <w:tcW w:w="2089" w:type="pct"/>
            <w:shd w:val="clear" w:color="auto" w:fill="auto"/>
            <w:vAlign w:val="center"/>
          </w:tcPr>
          <w:p w14:paraId="4AE875B3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</w:p>
        </w:tc>
      </w:tr>
      <w:tr w14:paraId="5B50F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6A74E">
            <w:pPr>
              <w:pStyle w:val="23"/>
              <w:spacing w:before="0" w:after="0" w:line="240" w:lineRule="auto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 w:eastAsia="zh-CN"/>
              </w:rPr>
              <w:t>截断法（Cut-off）</w:t>
            </w:r>
          </w:p>
        </w:tc>
        <w:tc>
          <w:tcPr>
            <w:tcW w:w="332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D1B66">
            <w:pPr>
              <w:pStyle w:val="23"/>
              <w:spacing w:before="0" w:after="0"/>
              <w:ind w:firstLine="0"/>
              <w:rPr>
                <w:rFonts w:hint="eastAsia" w:ascii="Times New Roman" w:hAnsi="Times New Roman" w:eastAsia="宋体" w:cs="Times New Roman"/>
                <w:i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宋体" w:cs="Times New Roman"/>
                <w:sz w:val="22"/>
                <w:szCs w:val="22"/>
              </w:rPr>
              <w:t>截断原则说明清晰合理。</w:t>
            </w:r>
          </w:p>
        </w:tc>
      </w:tr>
    </w:tbl>
    <w:p w14:paraId="4577B7A2">
      <w:pPr>
        <w:rPr>
          <w:rFonts w:hint="eastAsia" w:cs="Times New Roman"/>
          <w:b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 xml:space="preserve">补充信息 (如果需要) Additional Information (if needed): </w:t>
      </w:r>
      <w:r>
        <w:rPr>
          <w:rFonts w:hint="eastAsia" w:cs="Times New Roman"/>
          <w:b/>
          <w:iCs/>
          <w:sz w:val="22"/>
          <w:szCs w:val="22"/>
          <w:lang w:val="en-US" w:eastAsia="zh-CN"/>
        </w:rPr>
        <w:t>no</w:t>
      </w:r>
    </w:p>
    <w:p w14:paraId="4C5A722D">
      <w:pPr>
        <w:rPr>
          <w:rFonts w:hint="default" w:ascii="Times New Roman" w:hAnsi="Times New Roman" w:eastAsia="宋体" w:cs="Times New Roman"/>
          <w:b/>
          <w:iCs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>审查员参考或查阅的文件（未发表的文件也可参考）</w:t>
      </w:r>
      <w:r>
        <w:rPr>
          <w:rFonts w:hint="eastAsia" w:cs="Times New Roman"/>
          <w:b/>
          <w:iCs/>
          <w:sz w:val="22"/>
          <w:szCs w:val="22"/>
          <w:lang w:eastAsia="zh-CN"/>
        </w:rPr>
        <w:t>：</w:t>
      </w:r>
      <w:r>
        <w:rPr>
          <w:rFonts w:hint="eastAsia" w:cs="Times New Roman"/>
          <w:b/>
          <w:iCs/>
          <w:sz w:val="22"/>
          <w:szCs w:val="22"/>
          <w:lang w:val="en-US" w:eastAsia="zh-CN"/>
        </w:rPr>
        <w:t>no</w:t>
      </w:r>
    </w:p>
    <w:p w14:paraId="2CFCAA3B">
      <w:pP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>“审查人声明，他（他们）负责审查的数据集符合环境足迹的一般和特定符合性规则。”</w:t>
      </w:r>
    </w:p>
    <w:p w14:paraId="3830CA10">
      <w:pPr>
        <w:rPr>
          <w:rFonts w:hint="eastAsia" w:ascii="Times New Roman" w:hAnsi="Times New Roman" w:eastAsia="宋体" w:cs="Times New Roman"/>
          <w:iCs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>“The reviewer(s) declare on his (their) responsibility that the reviewed data set is compliant with the Environmental Footprint general and specific compliancy rules.”</w:t>
      </w:r>
    </w:p>
    <w:p w14:paraId="36A010B8">
      <w:pPr>
        <w:jc w:val="both"/>
        <w:rPr>
          <w:rFonts w:hint="default" w:ascii="Times New Roman" w:hAnsi="Times New Roman" w:eastAsia="宋体" w:cs="Times New Roman"/>
          <w:b/>
          <w:iCs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iCs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  <w:t>审查员（团队）签字：</w:t>
      </w:r>
      <w:r>
        <w:rPr>
          <w:rFonts w:hint="default" w:ascii="Times New Roman" w:hAnsi="Times New Roman" w:eastAsia="宋体" w:cs="Times New Roman"/>
          <w:b/>
          <w:iCs/>
          <w:color w:val="000000" w:themeColor="text1"/>
          <w:sz w:val="22"/>
          <w:szCs w:val="22"/>
          <w:u w:val="singl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990600" cy="462280"/>
            <wp:effectExtent l="0" t="0" r="0" b="4445"/>
            <wp:docPr id="1" name="图片 1" descr="汪璇电子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汪璇电子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8348">
      <w:pPr>
        <w:rPr>
          <w:rFonts w:hint="eastAsia" w:ascii="Times New Roman" w:hAnsi="Times New Roman" w:eastAsia="宋体" w:cs="Times New Roman"/>
          <w:iCs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</w:p>
    <w:p w14:paraId="4BED1E37">
      <w:pPr>
        <w:rPr>
          <w:rFonts w:hint="eastAsia" w:ascii="Times New Roman" w:hAnsi="Times New Roman" w:eastAsia="宋体" w:cs="Times New Roman"/>
          <w:iCs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>审查员姓名：汪璇</w:t>
      </w:r>
    </w:p>
    <w:p w14:paraId="7376C5C2">
      <w:pP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</w:pPr>
      <w:r>
        <w:rPr>
          <w:rFonts w:hint="eastAsia" w:ascii="Times New Roman" w:hAnsi="Times New Roman" w:eastAsia="宋体" w:cs="Times New Roman"/>
          <w:b/>
          <w:iCs/>
          <w:sz w:val="22"/>
          <w:szCs w:val="22"/>
          <w:lang w:eastAsia="zh-CN"/>
        </w:rPr>
        <w:t>…………………….</w:t>
      </w:r>
    </w:p>
    <w:p w14:paraId="22042D60">
      <w:pPr>
        <w:rPr>
          <w:rFonts w:hint="eastAsia" w:ascii="Times New Roman" w:hAnsi="Times New Roman" w:eastAsia="宋体" w:cs="Times New Roman"/>
          <w:iCs/>
          <w:color w:val="000000" w:themeColor="text1"/>
          <w:sz w:val="22"/>
          <w:szCs w:val="22"/>
          <w:lang w:eastAsia="zh-CN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CF7DB0"/>
    <w:multiLevelType w:val="multilevel"/>
    <w:tmpl w:val="2ACF7DB0"/>
    <w:lvl w:ilvl="0" w:tentative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19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21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20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22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799"/>
    <w:rsid w:val="000972D7"/>
    <w:rsid w:val="001068D8"/>
    <w:rsid w:val="00120313"/>
    <w:rsid w:val="00214B66"/>
    <w:rsid w:val="00274D9F"/>
    <w:rsid w:val="002A4444"/>
    <w:rsid w:val="00324211"/>
    <w:rsid w:val="004509FD"/>
    <w:rsid w:val="00463BE6"/>
    <w:rsid w:val="0069644D"/>
    <w:rsid w:val="00800CF7"/>
    <w:rsid w:val="00891A37"/>
    <w:rsid w:val="008C701B"/>
    <w:rsid w:val="008E4799"/>
    <w:rsid w:val="00910AC0"/>
    <w:rsid w:val="009A26C5"/>
    <w:rsid w:val="009C26C7"/>
    <w:rsid w:val="00A03558"/>
    <w:rsid w:val="00B11AA9"/>
    <w:rsid w:val="00B52288"/>
    <w:rsid w:val="00B579C9"/>
    <w:rsid w:val="00B7172E"/>
    <w:rsid w:val="00C818A2"/>
    <w:rsid w:val="00C870F4"/>
    <w:rsid w:val="00F04226"/>
    <w:rsid w:val="00F91BC3"/>
    <w:rsid w:val="00FC1354"/>
    <w:rsid w:val="01EE6939"/>
    <w:rsid w:val="05561E22"/>
    <w:rsid w:val="07886BEA"/>
    <w:rsid w:val="09585107"/>
    <w:rsid w:val="0BDF05C2"/>
    <w:rsid w:val="0C575F4D"/>
    <w:rsid w:val="0C6C62F9"/>
    <w:rsid w:val="0EE20AF5"/>
    <w:rsid w:val="10A9679C"/>
    <w:rsid w:val="14897146"/>
    <w:rsid w:val="17E56F60"/>
    <w:rsid w:val="18AD238B"/>
    <w:rsid w:val="1ADA6B24"/>
    <w:rsid w:val="1D147CC1"/>
    <w:rsid w:val="249C779D"/>
    <w:rsid w:val="2AB925A6"/>
    <w:rsid w:val="2D1E6D44"/>
    <w:rsid w:val="30260730"/>
    <w:rsid w:val="30BD0622"/>
    <w:rsid w:val="331108DD"/>
    <w:rsid w:val="36D030FB"/>
    <w:rsid w:val="3AC342F5"/>
    <w:rsid w:val="3B3E3C3F"/>
    <w:rsid w:val="3F692E88"/>
    <w:rsid w:val="41E916AA"/>
    <w:rsid w:val="43F07D06"/>
    <w:rsid w:val="460F7D00"/>
    <w:rsid w:val="475C48D4"/>
    <w:rsid w:val="4D166448"/>
    <w:rsid w:val="4D48081A"/>
    <w:rsid w:val="4F46682D"/>
    <w:rsid w:val="51BF7BAC"/>
    <w:rsid w:val="52DF571B"/>
    <w:rsid w:val="55E62245"/>
    <w:rsid w:val="57052952"/>
    <w:rsid w:val="57DF495C"/>
    <w:rsid w:val="587D473C"/>
    <w:rsid w:val="58CA5AEA"/>
    <w:rsid w:val="58D07FB1"/>
    <w:rsid w:val="618B3CA1"/>
    <w:rsid w:val="6AC14AB2"/>
    <w:rsid w:val="6CDF702A"/>
    <w:rsid w:val="6F437969"/>
    <w:rsid w:val="6FE86762"/>
    <w:rsid w:val="709B394E"/>
    <w:rsid w:val="714A69E2"/>
    <w:rsid w:val="74F72806"/>
    <w:rsid w:val="7A6B2F64"/>
    <w:rsid w:val="7D5B03E3"/>
    <w:rsid w:val="7DCA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spacing w:before="120" w:after="120" w:line="240" w:lineRule="auto"/>
      <w:jc w:val="both"/>
    </w:pPr>
    <w:rPr>
      <w:rFonts w:ascii="Times New Roman" w:hAnsi="Times New Roman" w:eastAsia="宋体" w:cs="Times New Roman"/>
      <w:sz w:val="22"/>
      <w:szCs w:val="22"/>
      <w:lang w:val="en-GB" w:eastAsia="en-GB" w:bidi="ar-SA"/>
    </w:rPr>
  </w:style>
  <w:style w:type="paragraph" w:styleId="2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2"/>
      <w:szCs w:val="22"/>
    </w:rPr>
  </w:style>
  <w:style w:type="paragraph" w:styleId="3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2"/>
      <w:szCs w:val="22"/>
    </w:rPr>
  </w:style>
  <w:style w:type="paragraph" w:styleId="4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2"/>
      <w:szCs w:val="2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pPr>
      <w:spacing w:before="0" w:after="200"/>
      <w:jc w:val="left"/>
    </w:pPr>
    <w:rPr>
      <w:rFonts w:asciiTheme="minorHAnsi" w:hAnsiTheme="minorHAnsi" w:eastAsiaTheme="minorHAnsi" w:cstheme="minorBidi"/>
      <w:i/>
      <w:iCs/>
      <w:color w:val="44546A" w:themeColor="text2"/>
      <w:sz w:val="22"/>
      <w:szCs w:val="22"/>
      <w:lang w:val="de-DE" w:eastAsia="en-US"/>
      <w14:textFill>
        <w14:solidFill>
          <w14:schemeClr w14:val="tx2"/>
        </w14:solidFill>
      </w14:textFill>
    </w:rPr>
  </w:style>
  <w:style w:type="paragraph" w:styleId="6">
    <w:name w:val="annotation text"/>
    <w:basedOn w:val="1"/>
    <w:link w:val="30"/>
    <w:unhideWhenUsed/>
    <w:qFormat/>
    <w:uiPriority w:val="99"/>
    <w:pPr>
      <w:jc w:val="left"/>
    </w:pPr>
  </w:style>
  <w:style w:type="paragraph" w:styleId="7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22"/>
      <w:szCs w:val="22"/>
    </w:rPr>
  </w:style>
  <w:style w:type="paragraph" w:styleId="8">
    <w:name w:val="head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22"/>
      <w:szCs w:val="22"/>
    </w:rPr>
  </w:style>
  <w:style w:type="paragraph" w:styleId="9">
    <w:name w:val="footnote text"/>
    <w:basedOn w:val="1"/>
    <w:link w:val="18"/>
    <w:unhideWhenUsed/>
    <w:qFormat/>
    <w:uiPriority w:val="0"/>
    <w:pPr>
      <w:spacing w:before="0" w:after="0"/>
      <w:ind w:left="357" w:hanging="357"/>
    </w:pPr>
    <w:rPr>
      <w:rFonts w:ascii="Times New Roman" w:hAnsi="Times New Roman" w:eastAsia="宋体" w:cs="Times New Roman"/>
      <w:sz w:val="22"/>
      <w:szCs w:val="22"/>
      <w:lang w:eastAsia="en-US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2"/>
      <w:szCs w:val="22"/>
      <w:lang w:val="en-US" w:eastAsia="zh-CN" w:bidi="ar"/>
    </w:rPr>
  </w:style>
  <w:style w:type="paragraph" w:styleId="11">
    <w:name w:val="annotation subject"/>
    <w:basedOn w:val="6"/>
    <w:next w:val="6"/>
    <w:link w:val="31"/>
    <w:semiHidden/>
    <w:unhideWhenUsed/>
    <w:qFormat/>
    <w:uiPriority w:val="99"/>
    <w:rPr>
      <w:rFonts w:ascii="Times New Roman" w:hAnsi="Times New Roman" w:eastAsia="宋体" w:cs="Times New Roman"/>
      <w:b/>
      <w:bCs/>
      <w:sz w:val="22"/>
      <w:szCs w:val="22"/>
    </w:rPr>
  </w:style>
  <w:style w:type="character" w:styleId="14">
    <w:name w:val="FollowedHyperlink"/>
    <w:basedOn w:val="13"/>
    <w:semiHidden/>
    <w:unhideWhenUsed/>
    <w:qFormat/>
    <w:uiPriority w:val="99"/>
    <w:rPr>
      <w:rFonts w:ascii="Times New Roman" w:hAnsi="Times New Roman" w:eastAsia="宋体" w:cs="Times New Roman"/>
      <w:color w:val="954F72" w:themeColor="followedHyperlink"/>
      <w:sz w:val="22"/>
      <w:szCs w:val="22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unhideWhenUsed/>
    <w:qFormat/>
    <w:uiPriority w:val="99"/>
    <w:rPr>
      <w:rFonts w:ascii="Times New Roman" w:hAnsi="Times New Roman" w:eastAsia="宋体" w:cs="Times New Roman"/>
      <w:color w:val="0000FF"/>
      <w:sz w:val="22"/>
      <w:szCs w:val="22"/>
      <w:u w:val="single"/>
    </w:rPr>
  </w:style>
  <w:style w:type="character" w:styleId="16">
    <w:name w:val="annotation reference"/>
    <w:basedOn w:val="13"/>
    <w:semiHidden/>
    <w:unhideWhenUsed/>
    <w:qFormat/>
    <w:uiPriority w:val="99"/>
    <w:rPr>
      <w:rFonts w:ascii="Times New Roman" w:hAnsi="Times New Roman" w:eastAsia="宋体" w:cs="Times New Roman"/>
      <w:sz w:val="22"/>
      <w:szCs w:val="22"/>
    </w:rPr>
  </w:style>
  <w:style w:type="character" w:styleId="17">
    <w:name w:val="footnote reference"/>
    <w:unhideWhenUsed/>
    <w:qFormat/>
    <w:uiPriority w:val="0"/>
    <w:rPr>
      <w:rFonts w:ascii="Times New Roman" w:hAnsi="Times New Roman" w:eastAsia="宋体" w:cs="Times New Roman"/>
      <w:sz w:val="22"/>
      <w:szCs w:val="22"/>
      <w:vertAlign w:val="superscript"/>
      <w:lang w:val="en-GB"/>
    </w:rPr>
  </w:style>
  <w:style w:type="character" w:customStyle="1" w:styleId="18">
    <w:name w:val="脚注文本 字符"/>
    <w:basedOn w:val="13"/>
    <w:link w:val="9"/>
    <w:qFormat/>
    <w:uiPriority w:val="0"/>
    <w:rPr>
      <w:rFonts w:ascii="Times New Roman" w:hAnsi="Times New Roman" w:eastAsia="宋体" w:cs="Times New Roman"/>
      <w:sz w:val="22"/>
      <w:szCs w:val="22"/>
      <w:lang w:val="en-GB"/>
    </w:rPr>
  </w:style>
  <w:style w:type="paragraph" w:customStyle="1" w:styleId="19">
    <w:name w:val="JRC_Level-2_title"/>
    <w:basedOn w:val="2"/>
    <w:next w:val="1"/>
    <w:qFormat/>
    <w:uiPriority w:val="0"/>
    <w:pPr>
      <w:numPr>
        <w:ilvl w:val="1"/>
        <w:numId w:val="1"/>
      </w:numPr>
      <w:tabs>
        <w:tab w:val="left" w:pos="360"/>
      </w:tabs>
      <w:spacing w:before="240" w:after="120"/>
      <w:ind w:left="0" w:firstLine="0"/>
    </w:pPr>
    <w:rPr>
      <w:rFonts w:ascii="Times New Roman" w:hAnsi="Times New Roman" w:eastAsia="宋体" w:cs="Times New Roman"/>
      <w:b/>
      <w:bCs/>
      <w:iCs/>
      <w:color w:val="auto"/>
      <w:sz w:val="22"/>
      <w:szCs w:val="22"/>
      <w:lang w:eastAsia="en-US"/>
    </w:rPr>
  </w:style>
  <w:style w:type="paragraph" w:customStyle="1" w:styleId="20">
    <w:name w:val="JRC_Level-4_title"/>
    <w:basedOn w:val="1"/>
    <w:next w:val="1"/>
    <w:qFormat/>
    <w:uiPriority w:val="0"/>
    <w:pPr>
      <w:keepNext/>
      <w:numPr>
        <w:ilvl w:val="3"/>
        <w:numId w:val="1"/>
      </w:numPr>
      <w:spacing w:before="240"/>
      <w:jc w:val="left"/>
    </w:pPr>
    <w:rPr>
      <w:rFonts w:ascii="Times New Roman" w:hAnsi="Times New Roman" w:eastAsia="宋体" w:cs="Times New Roman"/>
      <w:b/>
      <w:i/>
      <w:sz w:val="22"/>
      <w:szCs w:val="22"/>
    </w:rPr>
  </w:style>
  <w:style w:type="paragraph" w:customStyle="1" w:styleId="21">
    <w:name w:val="JRC_Level-3_title"/>
    <w:basedOn w:val="3"/>
    <w:next w:val="1"/>
    <w:qFormat/>
    <w:uiPriority w:val="0"/>
    <w:pPr>
      <w:numPr>
        <w:ilvl w:val="2"/>
        <w:numId w:val="1"/>
      </w:numPr>
      <w:tabs>
        <w:tab w:val="left" w:pos="360"/>
      </w:tabs>
      <w:spacing w:before="240" w:after="120"/>
      <w:ind w:left="0" w:firstLine="0"/>
    </w:pPr>
    <w:rPr>
      <w:rFonts w:ascii="Times New Roman" w:hAnsi="Times New Roman" w:eastAsia="宋体" w:cs="Times New Roman"/>
      <w:b/>
      <w:bCs/>
      <w:color w:val="auto"/>
      <w:sz w:val="22"/>
      <w:szCs w:val="22"/>
      <w:lang w:eastAsia="en-US"/>
    </w:rPr>
  </w:style>
  <w:style w:type="paragraph" w:customStyle="1" w:styleId="22">
    <w:name w:val="JRC_Level-5_title"/>
    <w:basedOn w:val="1"/>
    <w:next w:val="1"/>
    <w:qFormat/>
    <w:uiPriority w:val="0"/>
    <w:pPr>
      <w:keepNext/>
      <w:numPr>
        <w:ilvl w:val="4"/>
        <w:numId w:val="1"/>
      </w:numPr>
      <w:spacing w:before="200" w:after="0"/>
      <w:jc w:val="left"/>
      <w:outlineLvl w:val="4"/>
    </w:pPr>
  </w:style>
  <w:style w:type="paragraph" w:customStyle="1" w:styleId="23">
    <w:name w:val="Textbody_EP-LCA"/>
    <w:basedOn w:val="1"/>
    <w:link w:val="24"/>
    <w:qFormat/>
    <w:uiPriority w:val="0"/>
    <w:pPr>
      <w:autoSpaceDE w:val="0"/>
      <w:autoSpaceDN w:val="0"/>
      <w:spacing w:before="60" w:after="60" w:line="264" w:lineRule="auto"/>
      <w:ind w:firstLine="284"/>
    </w:pPr>
    <w:rPr>
      <w:rFonts w:ascii="Times New Roman" w:hAnsi="Times New Roman" w:eastAsia="宋体" w:cs="Times New Roman"/>
      <w:sz w:val="22"/>
      <w:szCs w:val="22"/>
      <w:lang w:eastAsia="de-DE"/>
    </w:rPr>
  </w:style>
  <w:style w:type="character" w:customStyle="1" w:styleId="24">
    <w:name w:val="Textbody_EP-LCA Char Char"/>
    <w:link w:val="23"/>
    <w:qFormat/>
    <w:locked/>
    <w:uiPriority w:val="0"/>
    <w:rPr>
      <w:rFonts w:ascii="Times New Roman" w:hAnsi="Times New Roman" w:eastAsia="宋体" w:cs="Times New Roman"/>
      <w:sz w:val="22"/>
      <w:szCs w:val="22"/>
      <w:lang w:val="en-GB" w:eastAsia="de-DE"/>
    </w:rPr>
  </w:style>
  <w:style w:type="character" w:customStyle="1" w:styleId="25">
    <w:name w:val="标题 2 字符"/>
    <w:basedOn w:val="13"/>
    <w:link w:val="2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2"/>
      <w:szCs w:val="22"/>
      <w:lang w:val="en-GB" w:eastAsia="en-GB"/>
    </w:rPr>
  </w:style>
  <w:style w:type="character" w:customStyle="1" w:styleId="26">
    <w:name w:val="标题 3 字符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2"/>
      <w:szCs w:val="22"/>
      <w:lang w:val="en-GB" w:eastAsia="en-GB"/>
    </w:rPr>
  </w:style>
  <w:style w:type="character" w:customStyle="1" w:styleId="27">
    <w:name w:val="标题 4 字符"/>
    <w:basedOn w:val="13"/>
    <w:link w:val="4"/>
    <w:semiHidden/>
    <w:qFormat/>
    <w:uiPriority w:val="9"/>
    <w:rPr>
      <w:rFonts w:asciiTheme="majorHAnsi" w:hAnsiTheme="majorHAnsi" w:eastAsiaTheme="majorEastAsia" w:cstheme="majorBidi"/>
      <w:b/>
      <w:bCs/>
      <w:sz w:val="22"/>
      <w:szCs w:val="22"/>
      <w:lang w:val="en-GB" w:eastAsia="en-GB"/>
    </w:rPr>
  </w:style>
  <w:style w:type="character" w:customStyle="1" w:styleId="28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22"/>
      <w:szCs w:val="22"/>
      <w:lang w:val="en-GB" w:eastAsia="en-GB"/>
    </w:rPr>
  </w:style>
  <w:style w:type="character" w:customStyle="1" w:styleId="29">
    <w:name w:val="页脚 字符"/>
    <w:basedOn w:val="13"/>
    <w:link w:val="7"/>
    <w:qFormat/>
    <w:uiPriority w:val="99"/>
    <w:rPr>
      <w:rFonts w:ascii="Times New Roman" w:hAnsi="Times New Roman" w:eastAsia="宋体" w:cs="Times New Roman"/>
      <w:sz w:val="22"/>
      <w:szCs w:val="22"/>
      <w:lang w:val="en-GB" w:eastAsia="en-GB"/>
    </w:rPr>
  </w:style>
  <w:style w:type="character" w:customStyle="1" w:styleId="30">
    <w:name w:val="批注文字 字符"/>
    <w:basedOn w:val="13"/>
    <w:link w:val="6"/>
    <w:qFormat/>
    <w:uiPriority w:val="99"/>
    <w:rPr>
      <w:rFonts w:ascii="Times New Roman" w:hAnsi="Times New Roman" w:eastAsia="宋体" w:cs="Times New Roman"/>
      <w:sz w:val="22"/>
      <w:szCs w:val="22"/>
      <w:lang w:val="en-GB" w:eastAsia="en-GB"/>
    </w:rPr>
  </w:style>
  <w:style w:type="character" w:customStyle="1" w:styleId="31">
    <w:name w:val="批注主题 字符"/>
    <w:basedOn w:val="30"/>
    <w:link w:val="11"/>
    <w:semiHidden/>
    <w:qFormat/>
    <w:uiPriority w:val="99"/>
    <w:rPr>
      <w:rFonts w:ascii="Times New Roman" w:hAnsi="Times New Roman" w:eastAsia="宋体" w:cs="Times New Roman"/>
      <w:b/>
      <w:bCs/>
      <w:sz w:val="22"/>
      <w:szCs w:val="22"/>
      <w:lang w:val="en-GB" w:eastAsia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IES - JRC</Company>
  <Pages>2</Pages>
  <Words>619</Words>
  <Characters>1127</Characters>
  <Lines>4</Lines>
  <Paragraphs>1</Paragraphs>
  <TotalTime>172</TotalTime>
  <ScaleCrop>false</ScaleCrop>
  <LinksUpToDate>false</LinksUpToDate>
  <CharactersWithSpaces>1190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2026-05-22T06:05:00Z</dcterms:created>
  <dc:creator>Codex</dc:creator>
  <cp:lastModifiedBy>Xuan Wang</cp:lastModifiedBy>
  <dcterms:modified xsi:type="dcterms:W3CDTF">2026-05-28T04:38:07Z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eyJoZGlkIjoiMGIyOTYxY2VkNTQ5MjE2OTdhOGViOTk5YTNiZDU4NjIiLCJ1c2VySWQiOiI0MzMwODk1NjMifQ==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C0259ACC87F0481A830AB21DE38A45C0_13</vt:lpwstr>
  </property>
</Properties>
</file>