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0CF85B91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266D21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06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51CE906F" w14:textId="4747225F" w:rsidR="00D15CB0" w:rsidRPr="00D87A46" w:rsidRDefault="00600EB5" w:rsidP="00D15CB0">
            <w:pPr>
              <w:widowControl w:val="0"/>
              <w:autoSpaceDE w:val="0"/>
              <w:rPr>
                <w:bCs/>
              </w:rPr>
            </w:pPr>
            <w:r w:rsidRPr="00600EB5">
              <w:rPr>
                <w:bCs/>
              </w:rPr>
              <w:t>Does the system properly document followup tests/procedures with proper coding?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29F6BF36" w14:textId="0C118FD9" w:rsidR="00600EB5" w:rsidRDefault="00600EB5" w:rsidP="00600EB5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information. It </w:t>
      </w:r>
      <w:r w:rsidRPr="00AE606E">
        <w:t>can't return duplicate service provider id</w:t>
      </w:r>
      <w:r>
        <w:t xml:space="preserve"> because we define the PID as unique. We need to delete the unique line before we test.</w:t>
      </w:r>
    </w:p>
    <w:p w14:paraId="18C83D4B" w14:textId="182A0DE7" w:rsidR="009C2E33" w:rsidRDefault="009C2E33" w:rsidP="00600EB5"/>
    <w:p w14:paraId="2064175C" w14:textId="51F1BC54" w:rsidR="009C2E33" w:rsidRDefault="009C2E33" w:rsidP="00600EB5">
      <w:r>
        <w:t>File</w:t>
      </w:r>
      <w:r w:rsidR="002B5E34">
        <w:t>name</w:t>
      </w:r>
      <w:r>
        <w:t>: test6.sql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020"/>
      </w:tblGrid>
      <w:tr w:rsidR="009C2E33" w:rsidRPr="009C2E33" w14:paraId="29E51CD0" w14:textId="77777777" w:rsidTr="009C2E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2BF4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C2E33" w:rsidRPr="009C2E33" w14:paraId="7E585750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23FD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853D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C2E33" w:rsidRPr="009C2E33" w14:paraId="334540C3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9678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3D8D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Follow_up_order;</w:t>
            </w:r>
          </w:p>
        </w:tc>
      </w:tr>
      <w:tr w:rsidR="009C2E33" w:rsidRPr="009C2E33" w14:paraId="1F9C415C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3A1B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D94D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Follow_up_order(ICD_10_PCS, PID, Name, location, Telephone_number)</w:t>
            </w:r>
          </w:p>
        </w:tc>
      </w:tr>
      <w:tr w:rsidR="009C2E33" w:rsidRPr="009C2E33" w14:paraId="4A798B36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1D7E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5806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'047K0ZZ'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"Smell Test"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"Mayo Clinic"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2E33" w:rsidRPr="009C2E33" w14:paraId="162D6272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76D4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5F2E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6A737D"/>
                <w:sz w:val="18"/>
                <w:szCs w:val="18"/>
              </w:rPr>
              <w:t>-- Error Code: 1062. Duplicate entry '1' for key 'PID'</w:t>
            </w:r>
          </w:p>
        </w:tc>
      </w:tr>
      <w:tr w:rsidR="009C2E33" w:rsidRPr="009C2E33" w14:paraId="47E70826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7745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7352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Follow_up_order(ICD_10_PCS, PID, Name, location, Telephone_number)</w:t>
            </w:r>
          </w:p>
        </w:tc>
      </w:tr>
      <w:tr w:rsidR="009C2E33" w:rsidRPr="009C2E33" w14:paraId="156A7287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8149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7B14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'048K0ZZ'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"Echocardiography"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"Hennepin Health Center"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2E33" w:rsidRPr="009C2E33" w14:paraId="1CFDFF79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6ABA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3890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37FDC1BB" w14:textId="77777777" w:rsidR="009C2E33" w:rsidRPr="009C2E33" w:rsidRDefault="009C2E33" w:rsidP="009C2E33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C2E33" w:rsidRPr="009C2E33" w14:paraId="6A8B22C4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84F2" w14:textId="77777777" w:rsidR="009C2E33" w:rsidRPr="009C2E33" w:rsidRDefault="009C2E33" w:rsidP="009C2E33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1667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Follow_up_order(ICD_10_PCS, PID, Name, location, Telephone_number)</w:t>
            </w:r>
          </w:p>
        </w:tc>
      </w:tr>
      <w:tr w:rsidR="009C2E33" w:rsidRPr="009C2E33" w14:paraId="47CA9D4B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9FA1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C8F0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'049K0ZZ'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"Colonoscopy"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32F62"/>
                <w:sz w:val="18"/>
                <w:szCs w:val="18"/>
              </w:rPr>
              <w:t>"Hennepin Health Center"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123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2E33" w:rsidRPr="009C2E33" w14:paraId="2B021CC5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14B2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D153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C2E33" w:rsidRPr="009C2E33" w14:paraId="21331798" w14:textId="77777777" w:rsidTr="009C2E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6D36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7A92" w14:textId="77777777" w:rsidR="009C2E33" w:rsidRPr="009C2E33" w:rsidRDefault="009C2E33" w:rsidP="009C2E3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9C2E33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C2E33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9C2E33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4FEC26A9" w14:textId="77777777" w:rsidR="009C2E33" w:rsidRPr="006F5E42" w:rsidRDefault="009C2E33" w:rsidP="00600EB5"/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0E55DB93" w:rsidR="005D5048" w:rsidRDefault="002B5E34">
      <w:r>
        <w:t>Reflect data:</w:t>
      </w:r>
    </w:p>
    <w:p w14:paraId="0ED5618F" w14:textId="77777777" w:rsidR="002B5E34" w:rsidRPr="002B5E34" w:rsidRDefault="002B5E34"/>
    <w:p w14:paraId="3ED3C41D" w14:textId="77777777" w:rsidR="005D5048" w:rsidRDefault="005D5048">
      <w:pPr>
        <w:rPr>
          <w:b/>
        </w:rPr>
      </w:pPr>
    </w:p>
    <w:p w14:paraId="5D176A92" w14:textId="0058FEFF" w:rsidR="005D5048" w:rsidRDefault="002B5E34">
      <w:pPr>
        <w:rPr>
          <w:b/>
        </w:rPr>
      </w:pPr>
      <w:r>
        <w:rPr>
          <w:b/>
          <w:noProof/>
        </w:rPr>
        <w:drawing>
          <wp:inline distT="0" distB="0" distL="0" distR="0" wp14:anchorId="713B2CBD" wp14:editId="04152E07">
            <wp:extent cx="79375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p w14:paraId="5C8D734B" w14:textId="7E7B1E42" w:rsidR="009F5AB9" w:rsidRDefault="002B5E34" w:rsidP="00600EB5">
      <w:pPr>
        <w:pStyle w:val="BodyText"/>
      </w:pPr>
      <w:r>
        <w:rPr>
          <w:rStyle w:val="StrongEmphasis"/>
          <w:b w:val="0"/>
        </w:rPr>
        <w:t>none</w:t>
      </w: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266D21"/>
    <w:rsid w:val="002B5E34"/>
    <w:rsid w:val="00327F1A"/>
    <w:rsid w:val="00365ABC"/>
    <w:rsid w:val="0047401A"/>
    <w:rsid w:val="004907D4"/>
    <w:rsid w:val="004D17AD"/>
    <w:rsid w:val="004D56A7"/>
    <w:rsid w:val="005B06FD"/>
    <w:rsid w:val="005D3FB8"/>
    <w:rsid w:val="005D5048"/>
    <w:rsid w:val="00600EB5"/>
    <w:rsid w:val="00643E90"/>
    <w:rsid w:val="006F5E42"/>
    <w:rsid w:val="00702381"/>
    <w:rsid w:val="0075439F"/>
    <w:rsid w:val="00763D36"/>
    <w:rsid w:val="007F6CCD"/>
    <w:rsid w:val="008C2533"/>
    <w:rsid w:val="008D58BB"/>
    <w:rsid w:val="009068D6"/>
    <w:rsid w:val="00986516"/>
    <w:rsid w:val="009C2E33"/>
    <w:rsid w:val="009F5AB9"/>
    <w:rsid w:val="00AE606E"/>
    <w:rsid w:val="00B16B36"/>
    <w:rsid w:val="00B57ED4"/>
    <w:rsid w:val="00C61CD9"/>
    <w:rsid w:val="00CC3ECE"/>
    <w:rsid w:val="00D15CB0"/>
    <w:rsid w:val="00D238D7"/>
    <w:rsid w:val="00D60D2D"/>
    <w:rsid w:val="00D8568C"/>
    <w:rsid w:val="00D87A46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9C2E33"/>
  </w:style>
  <w:style w:type="character" w:customStyle="1" w:styleId="pl-c1">
    <w:name w:val="pl-c1"/>
    <w:basedOn w:val="DefaultParagraphFont"/>
    <w:rsid w:val="009C2E33"/>
  </w:style>
  <w:style w:type="character" w:customStyle="1" w:styleId="pl-s">
    <w:name w:val="pl-s"/>
    <w:basedOn w:val="DefaultParagraphFont"/>
    <w:rsid w:val="009C2E33"/>
  </w:style>
  <w:style w:type="character" w:customStyle="1" w:styleId="pl-pds">
    <w:name w:val="pl-pds"/>
    <w:basedOn w:val="DefaultParagraphFont"/>
    <w:rsid w:val="009C2E33"/>
  </w:style>
  <w:style w:type="character" w:customStyle="1" w:styleId="pl-c">
    <w:name w:val="pl-c"/>
    <w:basedOn w:val="DefaultParagraphFont"/>
    <w:rsid w:val="009C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2018-12-13T18:20:00Z</dcterms:created>
  <dcterms:modified xsi:type="dcterms:W3CDTF">2018-12-14T16:40:00Z</dcterms:modified>
  <dc:language>en-US</dc:language>
</cp:coreProperties>
</file>