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16FD" w:rsidRDefault="00CC3384">
      <w:pPr>
        <w:pStyle w:val="Title"/>
      </w:pPr>
      <w:r>
        <w:t>2018 Chatham Strait Sablefish Stock Assessment</w:t>
      </w:r>
    </w:p>
    <w:p w:rsidR="00887B77" w:rsidRPr="00887B77" w:rsidRDefault="00887B77" w:rsidP="00887B77">
      <w:pPr>
        <w:pStyle w:val="BodyText"/>
      </w:pPr>
    </w:p>
    <w:p w:rsidR="00D816FD" w:rsidRDefault="00CC3384">
      <w:pPr>
        <w:pStyle w:val="FirstParagraph"/>
      </w:pPr>
      <w:r>
        <w:t>Authors: Jane Sullivan, Ben Williams, and Andrew Olson</w:t>
      </w:r>
    </w:p>
    <w:p w:rsidR="00D816FD" w:rsidRDefault="00CC3384">
      <w:pPr>
        <w:pStyle w:val="BodyText"/>
      </w:pPr>
      <w:r>
        <w:t>To: Andrew Olson, Karla Bush</w:t>
      </w:r>
    </w:p>
    <w:p w:rsidR="00D816FD" w:rsidRDefault="00CC3384">
      <w:pPr>
        <w:pStyle w:val="BodyText"/>
      </w:pPr>
      <w:r>
        <w:t>Cc: Chris Siddon, Ben Williams, Sarah Power, Katie Palof, and Sara Miller</w:t>
      </w:r>
    </w:p>
    <w:p w:rsidR="00D816FD" w:rsidRDefault="00CC3384">
      <w:pPr>
        <w:pStyle w:val="Heading1"/>
      </w:pPr>
      <w:bookmarkStart w:id="0" w:name="assessment-timeline"/>
      <w:bookmarkEnd w:id="0"/>
      <w:r>
        <w:t>Assessment timeline</w:t>
      </w:r>
    </w:p>
    <w:p w:rsidR="00D816FD" w:rsidRDefault="00CC3384">
      <w:pPr>
        <w:pStyle w:val="FirstParagraph"/>
      </w:pPr>
      <w:r>
        <w:t>Presentation to industry: Wednesday, March 7;</w:t>
      </w:r>
    </w:p>
    <w:p w:rsidR="00D816FD" w:rsidRDefault="00CC3384">
      <w:pPr>
        <w:pStyle w:val="BodyText"/>
      </w:pPr>
      <w:r>
        <w:t>Initial Draft: Wednesday, May 2;</w:t>
      </w:r>
    </w:p>
    <w:p w:rsidR="00D816FD" w:rsidRDefault="00CC3384">
      <w:pPr>
        <w:pStyle w:val="BodyText"/>
      </w:pPr>
      <w:r>
        <w:t>Internal ADF&amp;G review: Thursday, May 10;</w:t>
      </w:r>
    </w:p>
    <w:p w:rsidR="00D816FD" w:rsidRDefault="00CC3384">
      <w:pPr>
        <w:pStyle w:val="BodyText"/>
      </w:pPr>
      <w:r>
        <w:t>Final version approved by reviewers &amp; managers: Friday, May 13;</w:t>
      </w:r>
    </w:p>
    <w:p w:rsidR="00D816FD" w:rsidRDefault="00CC3384">
      <w:pPr>
        <w:pStyle w:val="BodyText"/>
      </w:pPr>
      <w:r>
        <w:t>Public announcement of formal quota: TBD</w:t>
      </w:r>
    </w:p>
    <w:p w:rsidR="00D816FD" w:rsidRDefault="00CC3384">
      <w:pPr>
        <w:pStyle w:val="Heading1"/>
      </w:pPr>
      <w:bookmarkStart w:id="1" w:name="summary-table"/>
      <w:bookmarkEnd w:id="1"/>
      <w:r>
        <w:t>Summary table</w:t>
      </w:r>
    </w:p>
    <w:tbl>
      <w:tblPr>
        <w:tblW w:w="0" w:type="pct"/>
        <w:tblLook w:val="07E0" w:firstRow="1" w:lastRow="1" w:firstColumn="1" w:lastColumn="1" w:noHBand="1" w:noVBand="1"/>
      </w:tblPr>
      <w:tblGrid>
        <w:gridCol w:w="4909"/>
        <w:gridCol w:w="1465"/>
        <w:gridCol w:w="1465"/>
        <w:gridCol w:w="1737"/>
      </w:tblGrid>
      <w:tr w:rsidR="00D816FD">
        <w:tc>
          <w:tcPr>
            <w:tcW w:w="0" w:type="auto"/>
            <w:tcBorders>
              <w:bottom w:val="single" w:sz="0" w:space="0" w:color="auto"/>
            </w:tcBorders>
            <w:vAlign w:val="bottom"/>
          </w:tcPr>
          <w:p w:rsidR="00D816FD" w:rsidRDefault="00CC3384">
            <w:pPr>
              <w:pStyle w:val="Compact"/>
            </w:pPr>
            <w:r>
              <w:t>Quantity</w:t>
            </w:r>
          </w:p>
        </w:tc>
        <w:tc>
          <w:tcPr>
            <w:tcW w:w="0" w:type="auto"/>
            <w:tcBorders>
              <w:bottom w:val="single" w:sz="0" w:space="0" w:color="auto"/>
            </w:tcBorders>
            <w:vAlign w:val="bottom"/>
          </w:tcPr>
          <w:p w:rsidR="00D816FD" w:rsidRDefault="00CC3384">
            <w:pPr>
              <w:pStyle w:val="Compact"/>
              <w:jc w:val="right"/>
            </w:pPr>
            <w:r>
              <w:t>2017</w:t>
            </w:r>
          </w:p>
        </w:tc>
        <w:tc>
          <w:tcPr>
            <w:tcW w:w="0" w:type="auto"/>
            <w:tcBorders>
              <w:bottom w:val="single" w:sz="0" w:space="0" w:color="auto"/>
            </w:tcBorders>
            <w:vAlign w:val="bottom"/>
          </w:tcPr>
          <w:p w:rsidR="00D816FD" w:rsidRDefault="00CC3384">
            <w:pPr>
              <w:pStyle w:val="Compact"/>
              <w:jc w:val="right"/>
            </w:pPr>
            <w:r>
              <w:t>201</w:t>
            </w:r>
            <w:r>
              <w:t>8</w:t>
            </w:r>
          </w:p>
        </w:tc>
        <w:tc>
          <w:tcPr>
            <w:tcW w:w="0" w:type="auto"/>
            <w:tcBorders>
              <w:bottom w:val="single" w:sz="0" w:space="0" w:color="auto"/>
            </w:tcBorders>
            <w:vAlign w:val="bottom"/>
          </w:tcPr>
          <w:p w:rsidR="00D816FD" w:rsidRDefault="00CC3384">
            <w:pPr>
              <w:pStyle w:val="Compact"/>
              <w:jc w:val="right"/>
            </w:pPr>
            <w:r>
              <w:t>Percent change (%)</w:t>
            </w:r>
          </w:p>
        </w:tc>
      </w:tr>
      <w:tr w:rsidR="00D816FD">
        <w:tc>
          <w:tcPr>
            <w:tcW w:w="0" w:type="auto"/>
          </w:tcPr>
          <w:p w:rsidR="00D816FD" w:rsidRDefault="00CC3384">
            <w:pPr>
              <w:pStyle w:val="Compact"/>
            </w:pPr>
            <w:r>
              <w:t>Exploited abundance (2017 value from last year)</w:t>
            </w:r>
          </w:p>
        </w:tc>
        <w:tc>
          <w:tcPr>
            <w:tcW w:w="0" w:type="auto"/>
          </w:tcPr>
          <w:p w:rsidR="00D816FD" w:rsidRDefault="00CC3384">
            <w:pPr>
              <w:pStyle w:val="Compact"/>
              <w:jc w:val="right"/>
            </w:pPr>
            <w:r>
              <w:t>1,564,409</w:t>
            </w:r>
          </w:p>
        </w:tc>
        <w:tc>
          <w:tcPr>
            <w:tcW w:w="0" w:type="auto"/>
          </w:tcPr>
          <w:p w:rsidR="00D816FD" w:rsidRDefault="00CC3384">
            <w:pPr>
              <w:pStyle w:val="Compact"/>
              <w:jc w:val="right"/>
            </w:pPr>
            <w:r>
              <w:t>1,972,463</w:t>
            </w:r>
          </w:p>
        </w:tc>
        <w:tc>
          <w:tcPr>
            <w:tcW w:w="0" w:type="auto"/>
          </w:tcPr>
          <w:p w:rsidR="00D816FD" w:rsidRDefault="00CC3384">
            <w:pPr>
              <w:pStyle w:val="Compact"/>
              <w:jc w:val="right"/>
            </w:pPr>
            <w:r>
              <w:t>26.1</w:t>
            </w:r>
          </w:p>
        </w:tc>
      </w:tr>
      <w:tr w:rsidR="00D816FD">
        <w:tc>
          <w:tcPr>
            <w:tcW w:w="0" w:type="auto"/>
          </w:tcPr>
          <w:p w:rsidR="00D816FD" w:rsidRDefault="00CC3384">
            <w:pPr>
              <w:pStyle w:val="Compact"/>
            </w:pPr>
            <w:r>
              <w:t>Exploited abundance</w:t>
            </w:r>
          </w:p>
        </w:tc>
        <w:tc>
          <w:tcPr>
            <w:tcW w:w="0" w:type="auto"/>
          </w:tcPr>
          <w:p w:rsidR="00D816FD" w:rsidRDefault="00CC3384">
            <w:pPr>
              <w:pStyle w:val="Compact"/>
              <w:jc w:val="right"/>
            </w:pPr>
            <w:r>
              <w:t>2,138,742</w:t>
            </w:r>
          </w:p>
        </w:tc>
        <w:tc>
          <w:tcPr>
            <w:tcW w:w="0" w:type="auto"/>
          </w:tcPr>
          <w:p w:rsidR="00D816FD" w:rsidRDefault="00CC3384">
            <w:pPr>
              <w:pStyle w:val="Compact"/>
              <w:jc w:val="right"/>
            </w:pPr>
            <w:r>
              <w:t>2,188,766</w:t>
            </w:r>
          </w:p>
        </w:tc>
        <w:tc>
          <w:tcPr>
            <w:tcW w:w="0" w:type="auto"/>
          </w:tcPr>
          <w:p w:rsidR="00D816FD" w:rsidRDefault="00CC3384">
            <w:pPr>
              <w:pStyle w:val="Compact"/>
              <w:jc w:val="right"/>
            </w:pPr>
            <w:r>
              <w:t>2.3</w:t>
            </w:r>
          </w:p>
        </w:tc>
      </w:tr>
      <w:tr w:rsidR="00D816FD">
        <w:tc>
          <w:tcPr>
            <w:tcW w:w="0" w:type="auto"/>
          </w:tcPr>
          <w:p w:rsidR="00D816FD" w:rsidRPr="00887B77" w:rsidRDefault="00CC3384">
            <w:pPr>
              <w:pStyle w:val="Compact"/>
              <w:rPr>
                <w:b/>
              </w:rPr>
            </w:pPr>
            <w:r w:rsidRPr="00887B77">
              <w:rPr>
                <w:b/>
              </w:rPr>
              <w:t>Exploited abundance (adjusted for uncertainty in recruitment)</w:t>
            </w:r>
          </w:p>
        </w:tc>
        <w:tc>
          <w:tcPr>
            <w:tcW w:w="0" w:type="auto"/>
          </w:tcPr>
          <w:p w:rsidR="00D816FD" w:rsidRPr="00887B77" w:rsidRDefault="00CC3384">
            <w:pPr>
              <w:pStyle w:val="Compact"/>
              <w:jc w:val="right"/>
              <w:rPr>
                <w:b/>
              </w:rPr>
            </w:pPr>
            <w:r w:rsidRPr="00887B77">
              <w:rPr>
                <w:b/>
              </w:rPr>
              <w:t>1,927,382</w:t>
            </w:r>
          </w:p>
        </w:tc>
        <w:tc>
          <w:tcPr>
            <w:tcW w:w="0" w:type="auto"/>
          </w:tcPr>
          <w:p w:rsidR="00D816FD" w:rsidRPr="00887B77" w:rsidRDefault="00CC3384">
            <w:pPr>
              <w:pStyle w:val="Compact"/>
              <w:jc w:val="right"/>
              <w:rPr>
                <w:b/>
              </w:rPr>
            </w:pPr>
            <w:r w:rsidRPr="00887B77">
              <w:rPr>
                <w:b/>
              </w:rPr>
              <w:t>1,972,463</w:t>
            </w:r>
          </w:p>
        </w:tc>
        <w:tc>
          <w:tcPr>
            <w:tcW w:w="0" w:type="auto"/>
          </w:tcPr>
          <w:p w:rsidR="00D816FD" w:rsidRPr="00887B77" w:rsidRDefault="00CC3384">
            <w:pPr>
              <w:pStyle w:val="Compact"/>
              <w:jc w:val="right"/>
              <w:rPr>
                <w:b/>
              </w:rPr>
            </w:pPr>
            <w:r w:rsidRPr="00887B77">
              <w:rPr>
                <w:b/>
              </w:rPr>
              <w:t>2.3</w:t>
            </w:r>
          </w:p>
        </w:tc>
      </w:tr>
      <w:tr w:rsidR="00D816FD">
        <w:tc>
          <w:tcPr>
            <w:tcW w:w="0" w:type="auto"/>
          </w:tcPr>
          <w:p w:rsidR="00D816FD" w:rsidRDefault="00CC3384">
            <w:pPr>
              <w:pStyle w:val="Compact"/>
            </w:pPr>
            <w:r>
              <w:t>Exploited biomass (2017 value from last year)</w:t>
            </w:r>
          </w:p>
        </w:tc>
        <w:tc>
          <w:tcPr>
            <w:tcW w:w="0" w:type="auto"/>
          </w:tcPr>
          <w:p w:rsidR="00D816FD" w:rsidRDefault="00CC3384">
            <w:pPr>
              <w:pStyle w:val="Compact"/>
              <w:jc w:val="right"/>
            </w:pPr>
            <w:r>
              <w:t>13,502,591</w:t>
            </w:r>
          </w:p>
        </w:tc>
        <w:tc>
          <w:tcPr>
            <w:tcW w:w="0" w:type="auto"/>
          </w:tcPr>
          <w:p w:rsidR="00D816FD" w:rsidRDefault="00CC3384">
            <w:pPr>
              <w:pStyle w:val="Compact"/>
              <w:jc w:val="right"/>
            </w:pPr>
            <w:r>
              <w:t>16,716,483</w:t>
            </w:r>
          </w:p>
        </w:tc>
        <w:tc>
          <w:tcPr>
            <w:tcW w:w="0" w:type="auto"/>
          </w:tcPr>
          <w:p w:rsidR="00D816FD" w:rsidRDefault="00CC3384">
            <w:pPr>
              <w:pStyle w:val="Compact"/>
              <w:jc w:val="right"/>
            </w:pPr>
            <w:r>
              <w:t>23.8</w:t>
            </w:r>
          </w:p>
        </w:tc>
      </w:tr>
      <w:tr w:rsidR="00D816FD">
        <w:tc>
          <w:tcPr>
            <w:tcW w:w="0" w:type="auto"/>
          </w:tcPr>
          <w:p w:rsidR="00D816FD" w:rsidRDefault="00CC3384">
            <w:pPr>
              <w:pStyle w:val="Compact"/>
            </w:pPr>
            <w:r>
              <w:t>Exploited biomass</w:t>
            </w:r>
          </w:p>
        </w:tc>
        <w:tc>
          <w:tcPr>
            <w:tcW w:w="0" w:type="auto"/>
          </w:tcPr>
          <w:p w:rsidR="00D816FD" w:rsidRDefault="00CC3384">
            <w:pPr>
              <w:pStyle w:val="Compact"/>
              <w:jc w:val="right"/>
            </w:pPr>
            <w:r>
              <w:t>18,049,305</w:t>
            </w:r>
          </w:p>
        </w:tc>
        <w:tc>
          <w:tcPr>
            <w:tcW w:w="0" w:type="auto"/>
          </w:tcPr>
          <w:p w:rsidR="00D816FD" w:rsidRDefault="00CC3384">
            <w:pPr>
              <w:pStyle w:val="Compact"/>
              <w:jc w:val="right"/>
            </w:pPr>
            <w:r>
              <w:t>18,549,637</w:t>
            </w:r>
          </w:p>
        </w:tc>
        <w:tc>
          <w:tcPr>
            <w:tcW w:w="0" w:type="auto"/>
          </w:tcPr>
          <w:p w:rsidR="00D816FD" w:rsidRDefault="00CC3384">
            <w:pPr>
              <w:pStyle w:val="Compact"/>
              <w:jc w:val="right"/>
            </w:pPr>
            <w:r>
              <w:t>2.8</w:t>
            </w:r>
          </w:p>
        </w:tc>
      </w:tr>
      <w:tr w:rsidR="00D816FD">
        <w:tc>
          <w:tcPr>
            <w:tcW w:w="0" w:type="auto"/>
          </w:tcPr>
          <w:p w:rsidR="00D816FD" w:rsidRPr="00887B77" w:rsidRDefault="00CC3384">
            <w:pPr>
              <w:pStyle w:val="Compact"/>
              <w:rPr>
                <w:b/>
              </w:rPr>
            </w:pPr>
            <w:r w:rsidRPr="00887B77">
              <w:rPr>
                <w:b/>
              </w:rPr>
              <w:t>Exploited biomass (adjusted for uncertainty in recruitment)</w:t>
            </w:r>
          </w:p>
        </w:tc>
        <w:tc>
          <w:tcPr>
            <w:tcW w:w="0" w:type="auto"/>
          </w:tcPr>
          <w:p w:rsidR="00D816FD" w:rsidRPr="00887B77" w:rsidRDefault="00CC3384">
            <w:pPr>
              <w:pStyle w:val="Compact"/>
              <w:jc w:val="right"/>
              <w:rPr>
                <w:b/>
              </w:rPr>
            </w:pPr>
            <w:r w:rsidRPr="00887B77">
              <w:rPr>
                <w:b/>
              </w:rPr>
              <w:t>16,265,597</w:t>
            </w:r>
          </w:p>
        </w:tc>
        <w:tc>
          <w:tcPr>
            <w:tcW w:w="0" w:type="auto"/>
          </w:tcPr>
          <w:p w:rsidR="00D816FD" w:rsidRPr="00887B77" w:rsidRDefault="00CC3384">
            <w:pPr>
              <w:pStyle w:val="Compact"/>
              <w:jc w:val="right"/>
              <w:rPr>
                <w:b/>
              </w:rPr>
            </w:pPr>
            <w:r w:rsidRPr="00887B77">
              <w:rPr>
                <w:b/>
              </w:rPr>
              <w:t>16,716,483</w:t>
            </w:r>
          </w:p>
        </w:tc>
        <w:tc>
          <w:tcPr>
            <w:tcW w:w="0" w:type="auto"/>
          </w:tcPr>
          <w:p w:rsidR="00D816FD" w:rsidRPr="00887B77" w:rsidRDefault="00CC3384">
            <w:pPr>
              <w:pStyle w:val="Compact"/>
              <w:jc w:val="right"/>
              <w:rPr>
                <w:b/>
              </w:rPr>
            </w:pPr>
            <w:r w:rsidRPr="00887B77">
              <w:rPr>
                <w:b/>
              </w:rPr>
              <w:t>2.8</w:t>
            </w:r>
          </w:p>
        </w:tc>
      </w:tr>
      <w:tr w:rsidR="00D816FD">
        <w:tc>
          <w:tcPr>
            <w:tcW w:w="0" w:type="auto"/>
          </w:tcPr>
          <w:p w:rsidR="00D816FD" w:rsidRDefault="00CC3384">
            <w:pPr>
              <w:pStyle w:val="Compact"/>
            </w:pPr>
            <m:oMathPara>
              <m:oMath>
                <m:sSub>
                  <m:sSubPr>
                    <m:ctrlPr>
                      <w:rPr>
                        <w:rFonts w:ascii="Cambria Math" w:hAnsi="Cambria Math"/>
                      </w:rPr>
                    </m:ctrlPr>
                  </m:sSubPr>
                  <m:e>
                    <m:r>
                      <w:rPr>
                        <w:rFonts w:ascii="Cambria Math" w:hAnsi="Cambria Math"/>
                      </w:rPr>
                      <m:t>F</m:t>
                    </m:r>
                  </m:e>
                  <m:sub>
                    <m:r>
                      <w:rPr>
                        <w:rFonts w:ascii="Cambria Math" w:hAnsi="Cambria Math"/>
                      </w:rPr>
                      <m:t>ABC</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50</m:t>
                    </m:r>
                  </m:sub>
                </m:sSub>
              </m:oMath>
            </m:oMathPara>
          </w:p>
        </w:tc>
        <w:tc>
          <w:tcPr>
            <w:tcW w:w="0" w:type="auto"/>
          </w:tcPr>
          <w:p w:rsidR="00D816FD" w:rsidRDefault="00CC3384">
            <w:pPr>
              <w:pStyle w:val="Compact"/>
              <w:jc w:val="right"/>
            </w:pPr>
            <w:r>
              <w:t>0.0683</w:t>
            </w:r>
          </w:p>
        </w:tc>
        <w:tc>
          <w:tcPr>
            <w:tcW w:w="0" w:type="auto"/>
          </w:tcPr>
          <w:p w:rsidR="00D816FD" w:rsidRDefault="00CC3384">
            <w:pPr>
              <w:pStyle w:val="Compact"/>
              <w:jc w:val="right"/>
            </w:pPr>
            <w:r>
              <w:t>0.0635</w:t>
            </w:r>
          </w:p>
        </w:tc>
        <w:tc>
          <w:tcPr>
            <w:tcW w:w="0" w:type="auto"/>
          </w:tcPr>
          <w:p w:rsidR="00D816FD" w:rsidRDefault="00CC3384">
            <w:pPr>
              <w:pStyle w:val="Compact"/>
              <w:jc w:val="right"/>
            </w:pPr>
            <w:r>
              <w:t>-7.0</w:t>
            </w:r>
          </w:p>
        </w:tc>
      </w:tr>
      <w:tr w:rsidR="00D816FD">
        <w:tc>
          <w:tcPr>
            <w:tcW w:w="0" w:type="auto"/>
          </w:tcPr>
          <w:p w:rsidR="00D816FD" w:rsidRDefault="00CC3384">
            <w:pPr>
              <w:pStyle w:val="Compact"/>
            </w:pPr>
            <m:oMath>
              <m:r>
                <w:rPr>
                  <w:rFonts w:ascii="Cambria Math" w:hAnsi="Cambria Math"/>
                </w:rPr>
                <m:t>ABC</m:t>
              </m:r>
            </m:oMath>
            <w:r>
              <w:t xml:space="preserve"> </w:t>
            </w:r>
            <w:r>
              <w:t>(round lbs)</w:t>
            </w:r>
          </w:p>
        </w:tc>
        <w:tc>
          <w:tcPr>
            <w:tcW w:w="0" w:type="auto"/>
          </w:tcPr>
          <w:p w:rsidR="00D816FD" w:rsidRDefault="00CC3384">
            <w:pPr>
              <w:pStyle w:val="Compact"/>
              <w:jc w:val="right"/>
            </w:pPr>
            <w:r>
              <w:t>850,113</w:t>
            </w:r>
          </w:p>
        </w:tc>
        <w:tc>
          <w:tcPr>
            <w:tcW w:w="0" w:type="auto"/>
          </w:tcPr>
          <w:p w:rsidR="00D816FD" w:rsidRDefault="00CC3384">
            <w:pPr>
              <w:pStyle w:val="Compact"/>
              <w:jc w:val="right"/>
            </w:pPr>
            <w:r>
              <w:t>1,088,298</w:t>
            </w:r>
          </w:p>
        </w:tc>
        <w:tc>
          <w:tcPr>
            <w:tcW w:w="0" w:type="auto"/>
          </w:tcPr>
          <w:p w:rsidR="00D816FD" w:rsidRDefault="00CC3384">
            <w:pPr>
              <w:pStyle w:val="Compact"/>
              <w:jc w:val="right"/>
            </w:pPr>
            <w:r>
              <w:t>28.0</w:t>
            </w:r>
          </w:p>
        </w:tc>
      </w:tr>
      <w:tr w:rsidR="00D816FD">
        <w:tc>
          <w:tcPr>
            <w:tcW w:w="0" w:type="auto"/>
          </w:tcPr>
          <w:p w:rsidR="00D816FD" w:rsidRPr="00887B77" w:rsidRDefault="00887B77">
            <w:pPr>
              <w:pStyle w:val="Compact"/>
              <w:rPr>
                <w:b/>
              </w:rPr>
            </w:pPr>
            <m:oMath>
              <m:r>
                <m:rPr>
                  <m:sty m:val="bi"/>
                </m:rPr>
                <w:rPr>
                  <w:rFonts w:ascii="Cambria Math" w:hAnsi="Cambria Math"/>
                </w:rPr>
                <m:t>AB</m:t>
              </m:r>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adj</m:t>
                  </m:r>
                </m:sub>
              </m:sSub>
            </m:oMath>
            <w:r w:rsidR="00CC3384" w:rsidRPr="00887B77">
              <w:rPr>
                <w:b/>
              </w:rPr>
              <w:t xml:space="preserve"> (round lbs)</w:t>
            </w:r>
          </w:p>
        </w:tc>
        <w:tc>
          <w:tcPr>
            <w:tcW w:w="0" w:type="auto"/>
          </w:tcPr>
          <w:p w:rsidR="00D816FD" w:rsidRPr="00887B77" w:rsidRDefault="00CC3384">
            <w:pPr>
              <w:pStyle w:val="Compact"/>
              <w:jc w:val="right"/>
              <w:rPr>
                <w:b/>
              </w:rPr>
            </w:pPr>
            <w:r w:rsidRPr="00887B77">
              <w:rPr>
                <w:b/>
              </w:rPr>
              <w:t>850,113</w:t>
            </w:r>
          </w:p>
        </w:tc>
        <w:tc>
          <w:tcPr>
            <w:tcW w:w="0" w:type="auto"/>
          </w:tcPr>
          <w:p w:rsidR="00D816FD" w:rsidRPr="00887B77" w:rsidRDefault="00CC3384">
            <w:pPr>
              <w:pStyle w:val="Compact"/>
              <w:jc w:val="right"/>
              <w:rPr>
                <w:b/>
              </w:rPr>
            </w:pPr>
            <w:r w:rsidRPr="00887B77">
              <w:rPr>
                <w:b/>
              </w:rPr>
              <w:t>980,748</w:t>
            </w:r>
          </w:p>
        </w:tc>
        <w:tc>
          <w:tcPr>
            <w:tcW w:w="0" w:type="auto"/>
          </w:tcPr>
          <w:p w:rsidR="00D816FD" w:rsidRPr="00887B77" w:rsidRDefault="00CC3384">
            <w:pPr>
              <w:pStyle w:val="Compact"/>
              <w:jc w:val="right"/>
              <w:rPr>
                <w:b/>
              </w:rPr>
            </w:pPr>
            <w:r w:rsidRPr="00887B77">
              <w:rPr>
                <w:b/>
              </w:rPr>
              <w:t>15.4</w:t>
            </w:r>
          </w:p>
        </w:tc>
      </w:tr>
    </w:tbl>
    <w:p w:rsidR="00D816FD" w:rsidRDefault="00CC3384">
      <w:pPr>
        <w:pStyle w:val="Heading1"/>
      </w:pPr>
      <w:bookmarkStart w:id="2" w:name="summary"/>
      <w:bookmarkEnd w:id="2"/>
      <w:r>
        <w:lastRenderedPageBreak/>
        <w:t>Summary</w:t>
      </w:r>
    </w:p>
    <w:p w:rsidR="00D816FD" w:rsidRDefault="00CC3384">
      <w:pPr>
        <w:numPr>
          <w:ilvl w:val="0"/>
          <w:numId w:val="8"/>
        </w:numPr>
      </w:pPr>
      <w:r>
        <w:t>The 2018 recommended Allowable Biological Catch (</w:t>
      </w:r>
      <m:oMath>
        <m:r>
          <w:rPr>
            <w:rFonts w:ascii="Cambria Math" w:hAnsi="Cambria Math"/>
          </w:rPr>
          <m:t>AB</m:t>
        </m:r>
        <m:sSub>
          <m:sSubPr>
            <m:ctrlPr>
              <w:rPr>
                <w:rFonts w:ascii="Cambria Math" w:hAnsi="Cambria Math"/>
              </w:rPr>
            </m:ctrlPr>
          </m:sSubPr>
          <m:e>
            <m:r>
              <w:rPr>
                <w:rFonts w:ascii="Cambria Math" w:hAnsi="Cambria Math"/>
              </w:rPr>
              <m:t>C</m:t>
            </m:r>
          </m:e>
          <m:sub>
            <m:r>
              <w:rPr>
                <w:rFonts w:ascii="Cambria Math" w:hAnsi="Cambria Math"/>
              </w:rPr>
              <m:t>adj</m:t>
            </m:r>
          </m:sub>
        </m:sSub>
      </m:oMath>
      <w:r>
        <w:t xml:space="preserve">) for Northern Southeast Inside Waters (NSEI - Chatham Strait) at a full-recruitment fishing mortality level of </w:t>
      </w:r>
      <m:oMath>
        <m:sSub>
          <m:sSubPr>
            <m:ctrlPr>
              <w:rPr>
                <w:rFonts w:ascii="Cambria Math" w:hAnsi="Cambria Math"/>
              </w:rPr>
            </m:ctrlPr>
          </m:sSubPr>
          <m:e>
            <m:r>
              <w:rPr>
                <w:rFonts w:ascii="Cambria Math" w:hAnsi="Cambria Math"/>
              </w:rPr>
              <m:t>F</m:t>
            </m:r>
          </m:e>
          <m:sub>
            <m:r>
              <w:rPr>
                <w:rFonts w:ascii="Cambria Math" w:hAnsi="Cambria Math"/>
              </w:rPr>
              <m:t>50%</m:t>
            </m:r>
          </m:sub>
        </m:sSub>
      </m:oMath>
      <w:r>
        <w:t xml:space="preserve">= is 980,748 round pounds. This is a 130,635 pound increase (15.4%) from the 2017 </w:t>
      </w:r>
      <m:oMath>
        <m:r>
          <w:rPr>
            <w:rFonts w:ascii="Cambria Math" w:hAnsi="Cambria Math"/>
          </w:rPr>
          <m:t>ABC</m:t>
        </m:r>
      </m:oMath>
      <w:r>
        <w:t xml:space="preserve"> of 850,113 round pounds;</w:t>
      </w:r>
    </w:p>
    <w:p w:rsidR="00D816FD" w:rsidRDefault="00CC3384">
      <w:pPr>
        <w:numPr>
          <w:ilvl w:val="0"/>
          <w:numId w:val="8"/>
        </w:numPr>
      </w:pPr>
      <w:r>
        <w:t xml:space="preserve">The adjustment to the </w:t>
      </w:r>
      <m:oMath>
        <m:r>
          <w:rPr>
            <w:rFonts w:ascii="Cambria Math" w:hAnsi="Cambria Math"/>
          </w:rPr>
          <m:t>A</m:t>
        </m:r>
        <m:r>
          <w:rPr>
            <w:rFonts w:ascii="Cambria Math" w:hAnsi="Cambria Math"/>
          </w:rPr>
          <m:t>BC</m:t>
        </m:r>
      </m:oMath>
      <w:r>
        <w:t xml:space="preserve"> accounts for the high uncertainty in the 2014 year class, which is estimated to be the largest recruitment event for sablefish since 1977 (Hanselman et al. 2017). If the 2018 </w:t>
      </w:r>
      <m:oMath>
        <m:r>
          <w:rPr>
            <w:rFonts w:ascii="Cambria Math" w:hAnsi="Cambria Math"/>
          </w:rPr>
          <m:t>ABC</m:t>
        </m:r>
      </m:oMath>
      <w:r>
        <w:t xml:space="preserve"> is not adjusted and assessment methodology remains constant from prev</w:t>
      </w:r>
      <w:r>
        <w:t xml:space="preserve">ious years, the </w:t>
      </w:r>
      <m:oMath>
        <m:r>
          <w:rPr>
            <w:rFonts w:ascii="Cambria Math" w:hAnsi="Cambria Math"/>
          </w:rPr>
          <m:t>ABC</m:t>
        </m:r>
      </m:oMath>
      <w:r>
        <w:t xml:space="preserve"> would be 1,088,298 pounds, a 238,185 pound increase (28.0%) from 2017. Because fish younger than 7 years comprise 15-20% of the forecasted exploited biomass in 2018 and less than 50% of females are mature at this age, this adjustment</w:t>
      </w:r>
      <w:r>
        <w:t xml:space="preserve"> will help protect future spawning potential for this year class;</w:t>
      </w:r>
    </w:p>
    <w:p w:rsidR="00D816FD" w:rsidRDefault="00CC3384">
      <w:pPr>
        <w:numPr>
          <w:ilvl w:val="0"/>
          <w:numId w:val="8"/>
        </w:numPr>
      </w:pPr>
      <w:r>
        <w:t>The adjusted population estimate from the 2017 mark-recapture study in Chatham Strait is 1,927,382 individuals. This is a revised estimate and a change from the previous estimate of 1,564,40</w:t>
      </w:r>
      <w:r>
        <w:t>9 individuals from the 2017 mark-recapture study. Had there been a marking survey in 2016, the increase in the population would have been observed a year earlier. The adjusted forecast of abundance for 2018 is 1,972,463 individuals (Figure 1);</w:t>
      </w:r>
    </w:p>
    <w:p w:rsidR="00D816FD" w:rsidRDefault="00CC3384">
      <w:pPr>
        <w:numPr>
          <w:ilvl w:val="0"/>
          <w:numId w:val="8"/>
        </w:numPr>
      </w:pPr>
      <w:r>
        <w:t>Female sable</w:t>
      </w:r>
      <w:r>
        <w:t>fish continue to be retained in greater proportion in the commercial fishery. The proportion of females observed in the commercial catch is greater than the proportion of females in the longline survey for all ages (Figure 2 and Figure 3).</w:t>
      </w:r>
    </w:p>
    <w:p w:rsidR="00D816FD" w:rsidRDefault="00CC3384">
      <w:pPr>
        <w:numPr>
          <w:ilvl w:val="0"/>
          <w:numId w:val="8"/>
        </w:numPr>
      </w:pPr>
      <w:r>
        <w:t>Catch per unit e</w:t>
      </w:r>
      <w:r>
        <w:t>ffort (CPUE) in the ADF&amp;G Chatham Strait longline survey increased relative to 2016 from 0.20 to 0.23 numbers per hook (15.0%) (Figure 4). This reflects a 4.1% increase from the ten year average CPUE of 0.22 sablefish per hook.</w:t>
      </w:r>
    </w:p>
    <w:p w:rsidR="00D816FD" w:rsidRDefault="00CC3384">
      <w:pPr>
        <w:numPr>
          <w:ilvl w:val="0"/>
          <w:numId w:val="8"/>
        </w:numPr>
      </w:pPr>
      <w:r>
        <w:t xml:space="preserve">Commercial longline fishery </w:t>
      </w:r>
      <w:r>
        <w:t>CPUE decreased relative to 2016 from 0.91 to 0.82 pounds per hook (10.0%) (Figure 5). This is only a 3.7% decrease from the ten year average CPUE of 0.85 pounds per hook.</w:t>
      </w:r>
    </w:p>
    <w:p w:rsidR="00D816FD" w:rsidRDefault="00CC3384">
      <w:pPr>
        <w:numPr>
          <w:ilvl w:val="0"/>
          <w:numId w:val="8"/>
        </w:numPr>
      </w:pPr>
      <w:r>
        <w:t>Anomalously strong recruitment from the 2014 (and possibly 2013 and 2015) year classe</w:t>
      </w:r>
      <w:r>
        <w:t>s have been observed in the ADF&amp;G longline survey age composition (Figure 6). The 2014 year class was first observed in the 2017 commercial fishery age-composition data (Figure 7). The federal stock assessment authors are treating this recruitment event wi</w:t>
      </w:r>
      <w:r>
        <w:t>th caution by capping the recruitment estimate at the previous maximum recruitment value from 1977 (Hanselman et al. 2017). As described earlier, we also adjusted the estimated abundance and biomass to reflect this uncertainty;</w:t>
      </w:r>
    </w:p>
    <w:p w:rsidR="00D816FD" w:rsidRDefault="00CC3384">
      <w:pPr>
        <w:numPr>
          <w:ilvl w:val="0"/>
          <w:numId w:val="8"/>
        </w:numPr>
      </w:pPr>
      <w:r>
        <w:t>The federal stock assessment</w:t>
      </w:r>
      <w:r>
        <w:t xml:space="preserve"> for sablefish reported a significant increase in abundance and associated quota. The recommended federal Acceptable Biological Catch for the 2018 commercial longline sablefish fishery is 14,957 metric tons, a 14.3% increase from the 2017 </w:t>
      </w:r>
      <m:oMath>
        <m:r>
          <w:rPr>
            <w:rFonts w:ascii="Cambria Math" w:hAnsi="Cambria Math"/>
          </w:rPr>
          <m:t>ABC</m:t>
        </m:r>
      </m:oMath>
      <w:r>
        <w:t xml:space="preserve"> of 13,083 </w:t>
      </w:r>
      <w:r>
        <w:t xml:space="preserve">metric tons (Hanselman et al. 2017). The </w:t>
      </w:r>
      <m:oMath>
        <m:sSub>
          <m:sSubPr>
            <m:ctrlPr>
              <w:rPr>
                <w:rFonts w:ascii="Cambria Math" w:hAnsi="Cambria Math"/>
              </w:rPr>
            </m:ctrlPr>
          </m:sSubPr>
          <m:e>
            <m:r>
              <w:rPr>
                <w:rFonts w:ascii="Cambria Math" w:hAnsi="Cambria Math"/>
              </w:rPr>
              <m:t>F</m:t>
            </m:r>
          </m:e>
          <m:sub>
            <m:r>
              <w:rPr>
                <w:rFonts w:ascii="Cambria Math" w:hAnsi="Cambria Math"/>
              </w:rPr>
              <m:t>ABC</m:t>
            </m:r>
          </m:sub>
        </m:sSub>
      </m:oMath>
      <w:r>
        <w:t xml:space="preserve"> presented in the summary table above is not directly comparable to the federal harvest rate of </w:t>
      </w:r>
      <m:oMath>
        <m:sSub>
          <m:sSubPr>
            <m:ctrlPr>
              <w:rPr>
                <w:rFonts w:ascii="Cambria Math" w:hAnsi="Cambria Math"/>
              </w:rPr>
            </m:ctrlPr>
          </m:sSubPr>
          <m:e>
            <m:r>
              <w:rPr>
                <w:rFonts w:ascii="Cambria Math" w:hAnsi="Cambria Math"/>
              </w:rPr>
              <m:t>F</m:t>
            </m:r>
          </m:e>
          <m:sub>
            <m:r>
              <w:rPr>
                <w:rFonts w:ascii="Cambria Math" w:hAnsi="Cambria Math"/>
              </w:rPr>
              <m:t>40%</m:t>
            </m:r>
          </m:sub>
        </m:sSub>
      </m:oMath>
      <w:r>
        <w:t xml:space="preserve">, because the methods used to assess abundance and determine </w:t>
      </w:r>
      <m:oMath>
        <m:r>
          <w:rPr>
            <w:rFonts w:ascii="Cambria Math" w:hAnsi="Cambria Math"/>
          </w:rPr>
          <m:t>F</m:t>
        </m:r>
      </m:oMath>
      <w:r>
        <w:t xml:space="preserve"> values are different. Moreover, the federa</w:t>
      </w:r>
      <w:r>
        <w:t>l assessment authors have taken additional conservation measures to adjust for whale depredation and dampen the predicted population increase from the strong 2014 year class (Hanselman et al. 2017).</w:t>
      </w:r>
    </w:p>
    <w:p w:rsidR="00D816FD" w:rsidRDefault="00CC3384">
      <w:pPr>
        <w:pStyle w:val="Heading1"/>
      </w:pPr>
      <w:bookmarkStart w:id="3" w:name="changes-to-the-nsei-sablefish-assessment"/>
      <w:bookmarkEnd w:id="3"/>
      <w:r>
        <w:t>Changes to the NSEI sablefish assessment for 2018 relativ</w:t>
      </w:r>
      <w:r>
        <w:t>e to 2017</w:t>
      </w:r>
    </w:p>
    <w:p w:rsidR="00D816FD" w:rsidRDefault="00CC3384">
      <w:pPr>
        <w:numPr>
          <w:ilvl w:val="0"/>
          <w:numId w:val="9"/>
        </w:numPr>
      </w:pPr>
      <w:r>
        <w:t xml:space="preserve">As discussed in the Summary and Section I of this report, the 2017 estimate of exploited abundance used to determine the </w:t>
      </w:r>
      <m:oMath>
        <m:r>
          <w:rPr>
            <w:rFonts w:ascii="Cambria Math" w:hAnsi="Cambria Math"/>
          </w:rPr>
          <m:t>ABC</m:t>
        </m:r>
      </m:oMath>
      <w:r>
        <w:t xml:space="preserve"> was adjusted to account for the high degree of uncertainty in recent recruitment events. We used the 15% percentile fr</w:t>
      </w:r>
      <w:r>
        <w:t xml:space="preserve">om the posterior distribution of abundance as the input to the yield per recruit analysis and calculation of </w:t>
      </w:r>
      <m:oMath>
        <m:r>
          <w:rPr>
            <w:rFonts w:ascii="Cambria Math" w:hAnsi="Cambria Math"/>
          </w:rPr>
          <m:t>ABC</m:t>
        </m:r>
      </m:oMath>
      <w:r>
        <w:t xml:space="preserve"> (Figure 8). The relative impacts of adjusting the abundance can be seen in the Summary table at the beginning of this report and in Figure 1</w:t>
      </w:r>
      <w:r>
        <w:t>.</w:t>
      </w:r>
    </w:p>
    <w:p w:rsidR="00D816FD" w:rsidRDefault="00CC3384">
      <w:pPr>
        <w:numPr>
          <w:ilvl w:val="0"/>
          <w:numId w:val="9"/>
        </w:numPr>
      </w:pPr>
      <w:r>
        <w:t>The mark-recapture models used in this analysis are based on analyses by Dr. Franz Mueter (Mueter 2010). We compare population estimates from a simple Chapman estimator with estimates from several extensions of a stratified Peterson estimator that accoun</w:t>
      </w:r>
      <w:r>
        <w:t>t for changes in capture probability through time, natural and fishing mortality, migration, and seasonal trends in catch rates. These alternative model structures are implemented in the Bayesian open source software JAGS 4.3.0 (Depaoli 2016). Previous met</w:t>
      </w:r>
      <w:r>
        <w:t>hods used arbitrary break points (e.g. 5 or 10 days) to define temporal strata throughout the fishing season (Mueter 2010, Van Kirk et al. 2016). Here we use cumulative catch over time to define temporal strata. We use a combination of convergence criteria</w:t>
      </w:r>
      <w:r>
        <w:t>, deviance information criterion (DIC; Spiegelhalter et al. 2002), and a visual examination of seasonal trends in abundance to aid in model selection.</w:t>
      </w:r>
    </w:p>
    <w:p w:rsidR="00D816FD" w:rsidRDefault="00CC3384">
      <w:pPr>
        <w:numPr>
          <w:ilvl w:val="0"/>
          <w:numId w:val="9"/>
        </w:numPr>
      </w:pPr>
      <w:r>
        <w:t>The NSEI Chatham Strait sablefish assessment was developed into a reproducible research product (de Leeuw</w:t>
      </w:r>
      <w:r>
        <w:t xml:space="preserve"> 2001). It is publicly hosted on the web-based version control service GitHub at </w:t>
      </w:r>
      <w:hyperlink r:id="rId7">
        <w:r>
          <w:rPr>
            <w:rStyle w:val="Hyperlink"/>
          </w:rPr>
          <w:t>https://github.com/commfish/seak_sablefish</w:t>
        </w:r>
      </w:hyperlink>
      <w:r>
        <w:t xml:space="preserve">. This effort included a thorough review of all data sources available </w:t>
      </w:r>
      <w:r>
        <w:t>for the NSEI. It involved detailed conversation with ADF&amp;G programming staff, Scott Johnson and Paul Caldwell, as well as Region I Groundfish Project biologists, Andrew Olsen, Aaron Baldwin, and Mike Vaughn. The outcomes of these discussions are documented</w:t>
      </w:r>
      <w:r>
        <w:t xml:space="preserve"> in software code, README file, and Issues tab of the </w:t>
      </w:r>
      <w:r>
        <w:rPr>
          <w:rStyle w:val="VerbatimChar"/>
        </w:rPr>
        <w:t>seak_sablefish</w:t>
      </w:r>
      <w:r>
        <w:t xml:space="preserve"> repository. This product is considered conditionally reproducible, indicating that potential users must formally request any confidential data sourced in the code to produce the full asse</w:t>
      </w:r>
      <w:r>
        <w:t>ssment (Schwab et al. 2000). However, survey and other non-confidential data are made available, and all queries and subsequent transformations to the data are included in the analysis.</w:t>
      </w:r>
    </w:p>
    <w:p w:rsidR="00D816FD" w:rsidRDefault="00CC3384">
      <w:pPr>
        <w:pStyle w:val="Heading1"/>
      </w:pPr>
      <w:bookmarkStart w:id="4" w:name="section-i-2017-acceptable-biological-cat"/>
      <w:bookmarkEnd w:id="4"/>
      <w:r>
        <w:lastRenderedPageBreak/>
        <w:t>Section I: 2017 Acceptable Biological Catch (ABC)</w:t>
      </w:r>
    </w:p>
    <w:p w:rsidR="00D816FD" w:rsidRDefault="00CC3384">
      <w:pPr>
        <w:pStyle w:val="FirstParagraph"/>
      </w:pPr>
      <w:r>
        <w:t>The 2016 marking sur</w:t>
      </w:r>
      <w:r>
        <w:t>vey released 7,096 marked fish. We accounted for tags recovered outside of the NSEI or period of recapture, natural and fishing mortality, and differences in the size of fish captured in the pot survey and the longline fishery (Section II). We explored alt</w:t>
      </w:r>
      <w:r>
        <w:t>ernative candidate models that accounted for movement in and out of Chatham Strait and incorporated fishery CPUE. Finally, because of the substantial increase in estimated abundance since 2016, coupled with uncertainty in recruitment, we adjusted the point</w:t>
      </w:r>
      <w:r>
        <w:t xml:space="preserve"> estimate for the 2017 exploited abundance by taking the 15th percentile from the posterior distribution of abundance before conducting the yield per recruit analysis and calculation of </w:t>
      </w:r>
      <m:oMath>
        <m:r>
          <w:rPr>
            <w:rFonts w:ascii="Cambria Math" w:hAnsi="Cambria Math"/>
          </w:rPr>
          <m:t>ABC</m:t>
        </m:r>
      </m:oMath>
      <w:r>
        <w:t xml:space="preserve"> (Figure 8). This adjustment serves to stabilize the fishery and</w:t>
      </w:r>
      <w:r>
        <w:t xml:space="preserve"> is intended to guard against overfishing if the 2014 year class is lower than currently predicted. Moreover, because fish younger than 7 years comprise 15-20% of the forecasted exploited biomass in 2018 and less than 50% of females are mature at this age,</w:t>
      </w:r>
      <w:r>
        <w:t xml:space="preserve"> this adjustment will help protect future spawning potential for this year class.</w:t>
      </w:r>
    </w:p>
    <w:p w:rsidR="00D816FD" w:rsidRDefault="00CC3384">
      <w:pPr>
        <w:pStyle w:val="BodyText"/>
      </w:pPr>
      <w:r>
        <w:t>The recommended adjusted abundance estimate of 1,927,382 for 2017 was partitioned into sex-specific age classes from 2017 commercial fishery catch-at-age/sex data and project</w:t>
      </w:r>
      <w:r>
        <w:t>ed into 2018 (Section III). This produced an estimated forecast of exploited abundance of 1,972,463 individuals for 2018. Multiplying by mean commercial fishery weights-at-age produced an estimate of exploited biomass of 16,716,483 round pounds.</w:t>
      </w:r>
    </w:p>
    <w:p w:rsidR="00D816FD" w:rsidRDefault="00CC3384">
      <w:pPr>
        <w:pStyle w:val="Heading1"/>
      </w:pPr>
      <w:bookmarkStart w:id="5" w:name="section-ii-mark-recapture-analysis"/>
      <w:bookmarkEnd w:id="5"/>
      <w:r>
        <w:t>Section II</w:t>
      </w:r>
      <w:r>
        <w:t>: Mark-recapture analysis</w:t>
      </w:r>
    </w:p>
    <w:p w:rsidR="00D816FD" w:rsidRDefault="00CC3384">
      <w:pPr>
        <w:pStyle w:val="FirstParagraph"/>
      </w:pPr>
      <w:r>
        <w:t>The mark-recapture study forms the foundation for current sablefish management in Chatham Strait and will scale absolute abundance in a future age-structured assessment model. The most commonly used method for abundance estimation</w:t>
      </w:r>
      <w:r>
        <w:t xml:space="preserve"> and the model that was used for many years by ADF&amp;G is the Chapman estimator:</w:t>
      </w:r>
    </w:p>
    <w:p w:rsidR="00D816FD" w:rsidRDefault="00CC3384">
      <w:pPr>
        <w:pStyle w:val="BodyText"/>
      </w:pPr>
      <m:oMathPara>
        <m:oMathParaPr>
          <m:jc m:val="center"/>
        </m:oMathParaPr>
        <m:oMath>
          <m:r>
            <w:rPr>
              <w:rFonts w:ascii="Cambria Math" w:hAnsi="Cambria Math"/>
            </w:rPr>
            <m:t>N</m:t>
          </m:r>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K</m:t>
              </m:r>
              <m:r>
                <w:rPr>
                  <w:rFonts w:ascii="Cambria Math" w:hAnsi="Cambria Math"/>
                </w:rPr>
                <m:t>+1)(</m:t>
              </m:r>
              <m:r>
                <w:rPr>
                  <w:rFonts w:ascii="Cambria Math" w:hAnsi="Cambria Math"/>
                </w:rPr>
                <m:t>n</m:t>
              </m:r>
              <m:r>
                <w:rPr>
                  <w:rFonts w:ascii="Cambria Math" w:hAnsi="Cambria Math"/>
                </w:rPr>
                <m:t>+1)</m:t>
              </m:r>
            </m:num>
            <m:den>
              <m:r>
                <w:rPr>
                  <w:rFonts w:ascii="Cambria Math" w:hAnsi="Cambria Math"/>
                </w:rPr>
                <m:t>k</m:t>
              </m:r>
              <m:r>
                <w:rPr>
                  <w:rFonts w:ascii="Cambria Math" w:hAnsi="Cambria Math"/>
                </w:rPr>
                <m:t>+1</m:t>
              </m:r>
            </m:den>
          </m:f>
          <m:r>
            <w:rPr>
              <w:rFonts w:ascii="Cambria Math" w:hAnsi="Cambria Math"/>
            </w:rPr>
            <m:t>-</m:t>
          </m:r>
          <m:r>
            <w:rPr>
              <w:rFonts w:ascii="Cambria Math" w:hAnsi="Cambria Math"/>
            </w:rPr>
            <m:t>1,</m:t>
          </m:r>
        </m:oMath>
      </m:oMathPara>
    </w:p>
    <w:p w:rsidR="00D816FD" w:rsidRDefault="00CC3384">
      <w:pPr>
        <w:pStyle w:val="FirstParagraph"/>
      </w:pPr>
      <w:r>
        <w:t xml:space="preserve">where </w:t>
      </w:r>
      <m:oMath>
        <m:r>
          <w:rPr>
            <w:rFonts w:ascii="Cambria Math" w:hAnsi="Cambria Math"/>
          </w:rPr>
          <m:t>N</m:t>
        </m:r>
      </m:oMath>
      <w:r>
        <w:t xml:space="preserve"> is the estimated population abundance, </w:t>
      </w:r>
      <m:oMath>
        <m:r>
          <w:rPr>
            <w:rFonts w:ascii="Cambria Math" w:hAnsi="Cambria Math"/>
          </w:rPr>
          <m:t>K</m:t>
        </m:r>
      </m:oMath>
      <w:r>
        <w:t xml:space="preserve"> is the total number of individuals marked in the population, </w:t>
      </w:r>
      <m:oMath>
        <m:r>
          <w:rPr>
            <w:rFonts w:ascii="Cambria Math" w:hAnsi="Cambria Math"/>
          </w:rPr>
          <m:t>n</m:t>
        </m:r>
      </m:oMath>
      <w:r>
        <w:t xml:space="preserve"> is the number of individuals checked fo</w:t>
      </w:r>
      <w:r>
        <w:t xml:space="preserve">r marks at the time of recapture, and </w:t>
      </w:r>
      <m:oMath>
        <m:r>
          <w:rPr>
            <w:rFonts w:ascii="Cambria Math" w:hAnsi="Cambria Math"/>
          </w:rPr>
          <m:t>k</m:t>
        </m:r>
      </m:oMath>
      <w:r>
        <w:t xml:space="preserve"> is the number of marked individuals out of </w:t>
      </w:r>
      <m:oMath>
        <m:r>
          <w:rPr>
            <w:rFonts w:ascii="Cambria Math" w:hAnsi="Cambria Math"/>
          </w:rPr>
          <m:t>n</m:t>
        </m:r>
      </m:oMath>
      <w:r>
        <w:t>. A description of all model variables is found in Table 1, and a coarse summary of the tag data since 2005 is found in Table 2. Note that ADF&amp;G did not conduct a mark su</w:t>
      </w:r>
      <w:r>
        <w:t>rvey in 2011, 2014, or 2016 due to budget restrictions.</w:t>
      </w:r>
    </w:p>
    <w:p w:rsidR="00D816FD" w:rsidRDefault="00CC3384">
      <w:pPr>
        <w:pStyle w:val="BodyText"/>
      </w:pPr>
      <w:r>
        <w:t>There are four primary assumptions integral to the Chapman estimator, which have been discussed in detail in previous iterations of this report (Williams and Van Kirk 2017, Dressel 2009, Mueter 2010).</w:t>
      </w:r>
      <w:r>
        <w:t xml:space="preserve"> Briefly, these assumptions include a closed population (no movement in or out of the study area), equal probability of recapture, sufficient time between marking and recapture to allow for marked individuals to be randomly </w:t>
      </w:r>
      <w:r>
        <w:lastRenderedPageBreak/>
        <w:t>distributed throughout the unmar</w:t>
      </w:r>
      <w:r>
        <w:t>ked population, and no tag loss or errors. Violations to these assumptions can be mitigated through study design, treatment of data, and changes to model structure. We utilized a combination of approaches to meet or relax these assumptions including:</w:t>
      </w:r>
    </w:p>
    <w:p w:rsidR="00D816FD" w:rsidRDefault="00CC3384">
      <w:pPr>
        <w:numPr>
          <w:ilvl w:val="0"/>
          <w:numId w:val="10"/>
        </w:numPr>
      </w:pPr>
      <w:r>
        <w:t>We accounted for potential changes in the selectivity between the pot survey and longline survey and fishery by (1) estimating growth between May and August using known length recaptured individuals, (2) comparing the cumulative length distributions betwee</w:t>
      </w:r>
      <w:r>
        <w:t>n tagged and recaptured fish, and (3) adjusting our sample sizes accordingly. Despite the differences in selectivity between pot and longline gear, we found minimal differences in the cumulative length distributions between marked and recaptured since 2005</w:t>
      </w:r>
      <w:r>
        <w:t>, which suggests that size distribution tagged in the pot survey is sufficiently large to be recaptured in the fishery (Figure 9). These findings run contrary to those of previous authors, who adjusted the number of marks using fixed selectivity curves ins</w:t>
      </w:r>
      <w:r>
        <w:t>tead of data (Williams and Van Kirk 2017, Mueter 2010).</w:t>
      </w:r>
    </w:p>
    <w:p w:rsidR="00D816FD" w:rsidRDefault="00CC3384">
      <w:pPr>
        <w:numPr>
          <w:ilvl w:val="0"/>
          <w:numId w:val="10"/>
        </w:numPr>
      </w:pPr>
      <w:r>
        <w:t>To assess the assumption that there is sufficient time between marking and recapture to allow for marked individuals to be randomly distributed, we explored movement in the population between statisti</w:t>
      </w:r>
      <w:r>
        <w:t>cal areas. We determined that the population is sufficiently mixed across study years (Figure 10). These findings are consistent with Mueter (2010) and lend support to current study design of the mark-recapture project.</w:t>
      </w:r>
    </w:p>
    <w:p w:rsidR="00D816FD" w:rsidRDefault="00CC3384">
      <w:pPr>
        <w:numPr>
          <w:ilvl w:val="0"/>
          <w:numId w:val="10"/>
        </w:numPr>
      </w:pPr>
      <w:r>
        <w:t xml:space="preserve">We developed a suite of alternative </w:t>
      </w:r>
      <w:r>
        <w:t>models that are stratified by time in order to account for natural and fishing mortality, potential changes in the probability of recapture, and tag loss from other fisheries or outside the NSEI. This allows for greater precision in the estimates of abunda</w:t>
      </w:r>
      <w:r>
        <w:t xml:space="preserve">nce, as each time-period compensates for changes in </w:t>
      </w:r>
      <m:oMath>
        <m:r>
          <w:rPr>
            <w:rFonts w:ascii="Cambria Math" w:hAnsi="Cambria Math"/>
          </w:rPr>
          <m:t>K</m:t>
        </m:r>
      </m:oMath>
      <w:r>
        <w:t xml:space="preserve">, </w:t>
      </w:r>
      <m:oMath>
        <m:r>
          <w:rPr>
            <w:rFonts w:ascii="Cambria Math" w:hAnsi="Cambria Math"/>
          </w:rPr>
          <m:t>n</m:t>
        </m:r>
      </m:oMath>
      <w:r>
        <w:t xml:space="preserve">, and </w:t>
      </w:r>
      <m:oMath>
        <m:r>
          <w:rPr>
            <w:rFonts w:ascii="Cambria Math" w:hAnsi="Cambria Math"/>
          </w:rPr>
          <m:t>k</m:t>
        </m:r>
      </m:oMath>
      <w:r>
        <w:t>.</w:t>
      </w:r>
    </w:p>
    <w:p w:rsidR="00D816FD" w:rsidRDefault="00CC3384">
      <w:pPr>
        <w:numPr>
          <w:ilvl w:val="0"/>
          <w:numId w:val="10"/>
        </w:numPr>
      </w:pPr>
      <w:r>
        <w:t>To account for potential violations of the closed population assumption, two of the alternative models estimate an additional parameter for migration (see Models 2 and 4, Table 3).</w:t>
      </w:r>
    </w:p>
    <w:p w:rsidR="00D816FD" w:rsidRDefault="00CC3384">
      <w:pPr>
        <w:numPr>
          <w:ilvl w:val="0"/>
          <w:numId w:val="10"/>
        </w:numPr>
      </w:pPr>
      <w:r>
        <w:t>To furt</w:t>
      </w:r>
      <w:r>
        <w:t>her address a potential change in capture probability through time, two of the alternative models incorporate fishery CPUE data to account for seasonal changes in catch rates or fish abundance (see Models 3 and 4, Table 3).</w:t>
      </w:r>
    </w:p>
    <w:p w:rsidR="00D816FD" w:rsidRDefault="00CC3384">
      <w:pPr>
        <w:pStyle w:val="FirstParagraph"/>
      </w:pPr>
      <w:r>
        <w:t xml:space="preserve">The Chapman estimator serves as </w:t>
      </w:r>
      <w:r>
        <w:t>our null model (Model 0) and the basis of comparison to other models (Table 3). We developed Models 1-4 in a Bayesian framework using JAGS 4.3.0 (Depaoli 2016). Breakpoints for temporal strata were defined by dividing cumulative catch evenly over time.</w:t>
      </w:r>
    </w:p>
    <w:p w:rsidR="00D816FD" w:rsidRDefault="00CC3384">
      <w:pPr>
        <w:pStyle w:val="Heading2"/>
      </w:pPr>
      <w:bookmarkStart w:id="6" w:name="model-1-time-stratified-petersen-estimat"/>
      <w:bookmarkEnd w:id="6"/>
      <w:r>
        <w:t>Mod</w:t>
      </w:r>
      <w:r>
        <w:t>el 1: Time-stratified Petersen estimator</w:t>
      </w:r>
    </w:p>
    <w:p w:rsidR="00D816FD" w:rsidRDefault="00CC3384">
      <w:pPr>
        <w:pStyle w:val="FirstParagraph"/>
      </w:pPr>
      <w:r>
        <w:t xml:space="preserve">We assumed the abundance of sablefish in Chatham Straight in a given time period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followed a normal distribution with an uninformed prior centered on past assessments’ forecast of abundance.</w:t>
      </w:r>
    </w:p>
    <w:p w:rsidR="00D816FD" w:rsidRDefault="00CC3384">
      <w:pPr>
        <w:pStyle w:val="BodyText"/>
      </w:pPr>
      <w:r>
        <w:lastRenderedPageBreak/>
        <w:t xml:space="preserve">For any given time period </w:t>
      </w:r>
      <m:oMath>
        <m:r>
          <w:rPr>
            <w:rFonts w:ascii="Cambria Math" w:hAnsi="Cambria Math"/>
          </w:rPr>
          <m:t>i</m:t>
        </m:r>
      </m:oMath>
      <w:r>
        <w:t>:</w:t>
      </w:r>
    </w:p>
    <w:p w:rsidR="00D816FD" w:rsidRDefault="00CC3384">
      <w:pPr>
        <w:pStyle w:val="BodyText"/>
      </w:pPr>
      <m:oMathPara>
        <m:oMathParaPr>
          <m:jc m:val="center"/>
        </m:oMathParaPr>
        <m:oMath>
          <m:sSub>
            <m:sSubPr>
              <m:ctrlPr>
                <w:rPr>
                  <w:rFonts w:ascii="Cambria Math" w:hAnsi="Cambria Math"/>
                </w:rPr>
              </m:ctrlPr>
            </m:sSubPr>
            <m:e>
              <m:r>
                <w:rPr>
                  <w:rFonts w:ascii="Cambria Math" w:hAnsi="Cambria Math"/>
                </w:rPr>
                <m:t>K</m:t>
              </m:r>
            </m:e>
            <m:sub>
              <m:r>
                <w:rPr>
                  <w:rFonts w:ascii="Cambria Math" w:hAnsi="Cambria Math"/>
                </w:rPr>
                <m:t>i</m:t>
              </m:r>
            </m:sub>
          </m:sSub>
          <m:r>
            <w:rPr>
              <w:rFonts w:ascii="Cambria Math" w:hAnsi="Cambria Math"/>
            </w:rPr>
            <m:t>=</m:t>
          </m:r>
          <m:d>
            <m:dPr>
              <m:begChr m:val="{"/>
              <m:endChr m:val=""/>
              <m:ctrlPr>
                <w:rPr>
                  <w:rFonts w:ascii="Cambria Math" w:hAnsi="Cambria Math"/>
                </w:rPr>
              </m:ctrlPr>
            </m:dPr>
            <m:e>
              <m:m>
                <m:mPr>
                  <m:plcHide m:val="1"/>
                  <m:mcs>
                    <m:mc>
                      <m:mcPr>
                        <m:count m:val="1"/>
                        <m:mcJc m:val="right"/>
                      </m:mcPr>
                    </m:mc>
                    <m:mc>
                      <m:mcPr>
                        <m:count m:val="1"/>
                        <m:mcJc m:val="left"/>
                      </m:mcPr>
                    </m:mc>
                  </m:mcs>
                  <m:ctrlPr>
                    <w:rPr>
                      <w:rFonts w:ascii="Cambria Math" w:hAnsi="Cambria Math"/>
                    </w:rPr>
                  </m:ctrlPr>
                </m:mPr>
                <m:mr>
                  <m:e>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0</m:t>
                        </m:r>
                      </m:sub>
                    </m:sSub>
                    <m:r>
                      <w:rPr>
                        <w:rFonts w:ascii="Cambria Math" w:hAnsi="Cambria Math"/>
                      </w:rPr>
                      <m:t>)*</m:t>
                    </m:r>
                    <m:r>
                      <w:rPr>
                        <w:rFonts w:ascii="Cambria Math" w:hAnsi="Cambria Math"/>
                      </w:rPr>
                      <m:t>exp</m:t>
                    </m:r>
                    <m:r>
                      <w:rPr>
                        <w:rFonts w:ascii="Cambria Math" w:hAnsi="Cambria Math"/>
                      </w:rPr>
                      <m:t>(-</m:t>
                    </m:r>
                    <m:r>
                      <w:rPr>
                        <w:rFonts w:ascii="Cambria Math" w:hAnsi="Cambria Math"/>
                      </w:rPr>
                      <m:t>M</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e>
                  <m:e>
                    <m:r>
                      <m:rPr>
                        <m:sty m:val="p"/>
                      </m:rPr>
                      <w:rPr>
                        <w:rFonts w:ascii="Cambria Math" w:hAnsi="Cambria Math"/>
                      </w:rPr>
                      <m:t>i=1</m:t>
                    </m:r>
                  </m:e>
                </m:mr>
                <m:mr>
                  <m:e>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r>
                          <w:rPr>
                            <w:rFonts w:ascii="Cambria Math" w:hAnsi="Cambria Math"/>
                          </w:rPr>
                          <m:t>-</m:t>
                        </m:r>
                        <m:r>
                          <w:rPr>
                            <w:rFonts w:ascii="Cambria Math" w:hAnsi="Cambria Math"/>
                          </w:rPr>
                          <m:t>1</m:t>
                        </m:r>
                      </m:sub>
                    </m:sSub>
                    <m:r>
                      <w:rPr>
                        <w:rFonts w:ascii="Cambria Math" w:hAnsi="Cambria Math"/>
                      </w:rPr>
                      <m:t>)*</m:t>
                    </m:r>
                    <m:r>
                      <w:rPr>
                        <w:rFonts w:ascii="Cambria Math" w:hAnsi="Cambria Math"/>
                      </w:rPr>
                      <m:t>exp</m:t>
                    </m:r>
                    <m:r>
                      <w:rPr>
                        <w:rFonts w:ascii="Cambria Math" w:hAnsi="Cambria Math"/>
                      </w:rPr>
                      <m:t>(-</m:t>
                    </m:r>
                    <m:r>
                      <w:rPr>
                        <w:rFonts w:ascii="Cambria Math" w:hAnsi="Cambria Math"/>
                      </w:rPr>
                      <m:t>M</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e>
                  <m:e>
                    <m:r>
                      <m:rPr>
                        <m:sty m:val="p"/>
                      </m:rPr>
                      <w:rPr>
                        <w:rFonts w:ascii="Cambria Math" w:hAnsi="Cambria Math"/>
                      </w:rPr>
                      <m:t>i&gt;1</m:t>
                    </m:r>
                  </m:e>
                </m:mr>
              </m:m>
            </m:e>
          </m:d>
        </m:oMath>
      </m:oMathPara>
    </w:p>
    <w:p w:rsidR="00D816FD" w:rsidRDefault="00CC3384">
      <w:pPr>
        <w:pStyle w:val="FirstParagraph"/>
      </w:pPr>
      <w:r>
        <w:t>.</w:t>
      </w:r>
    </w:p>
    <w:p w:rsidR="00D816FD" w:rsidRDefault="00CC3384">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d>
            <m:dPr>
              <m:begChr m:val="{"/>
              <m:endChr m:val=""/>
              <m:ctrlPr>
                <w:rPr>
                  <w:rFonts w:ascii="Cambria Math" w:hAnsi="Cambria Math"/>
                </w:rPr>
              </m:ctrlPr>
            </m:dPr>
            <m:e>
              <m:m>
                <m:mPr>
                  <m:plcHide m:val="1"/>
                  <m:mcs>
                    <m:mc>
                      <m:mcPr>
                        <m:count m:val="1"/>
                        <m:mcJc m:val="right"/>
                      </m:mcPr>
                    </m:mc>
                    <m:mc>
                      <m:mcPr>
                        <m:count m:val="1"/>
                        <m:mcJc m:val="left"/>
                      </m:mcPr>
                    </m:mc>
                  </m:mcs>
                  <m:ctrlPr>
                    <w:rPr>
                      <w:rFonts w:ascii="Cambria Math" w:hAnsi="Cambria Math"/>
                    </w:rPr>
                  </m:ctrlPr>
                </m:mPr>
                <m:mr>
                  <m:e>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rPr>
                      <m:t>exp</m:t>
                    </m:r>
                    <m:r>
                      <w:rPr>
                        <w:rFonts w:ascii="Cambria Math" w:hAnsi="Cambria Math"/>
                      </w:rPr>
                      <m:t>(-</m:t>
                    </m:r>
                    <m:r>
                      <w:rPr>
                        <w:rFonts w:ascii="Cambria Math" w:hAnsi="Cambria Math"/>
                      </w:rPr>
                      <m:t>M</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e>
                  <m:e>
                    <m:r>
                      <m:rPr>
                        <m:sty m:val="p"/>
                      </m:rPr>
                      <w:rPr>
                        <w:rFonts w:ascii="Cambria Math" w:hAnsi="Cambria Math"/>
                      </w:rPr>
                      <m:t>i=1</m:t>
                    </m:r>
                  </m:e>
                </m:mr>
                <m:mr>
                  <m:e>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r>
                          <w:rPr>
                            <w:rFonts w:ascii="Cambria Math" w:hAnsi="Cambria Math"/>
                          </w:rPr>
                          <m:t>-</m:t>
                        </m:r>
                        <m:r>
                          <w:rPr>
                            <w:rFonts w:ascii="Cambria Math" w:hAnsi="Cambria Math"/>
                          </w:rPr>
                          <m:t>1</m:t>
                        </m:r>
                      </m:sub>
                    </m:sSub>
                    <m:r>
                      <w:rPr>
                        <w:rFonts w:ascii="Cambria Math" w:hAnsi="Cambria Math"/>
                      </w:rPr>
                      <m:t>)*</m:t>
                    </m:r>
                    <m:r>
                      <w:rPr>
                        <w:rFonts w:ascii="Cambria Math" w:hAnsi="Cambria Math"/>
                      </w:rPr>
                      <m:t>exp</m:t>
                    </m:r>
                    <m:r>
                      <w:rPr>
                        <w:rFonts w:ascii="Cambria Math" w:hAnsi="Cambria Math"/>
                      </w:rPr>
                      <m:t>(-</m:t>
                    </m:r>
                    <m:r>
                      <w:rPr>
                        <w:rFonts w:ascii="Cambria Math" w:hAnsi="Cambria Math"/>
                      </w:rPr>
                      <m:t>M</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e>
                  <m:e>
                    <m:r>
                      <m:rPr>
                        <m:sty m:val="p"/>
                      </m:rPr>
                      <w:rPr>
                        <w:rFonts w:ascii="Cambria Math" w:hAnsi="Cambria Math"/>
                      </w:rPr>
                      <m:t>i&gt;1</m:t>
                    </m:r>
                  </m:e>
                </m:mr>
              </m:m>
            </m:e>
          </m:d>
        </m:oMath>
      </m:oMathPara>
    </w:p>
    <w:p w:rsidR="00D816FD" w:rsidRDefault="00CC3384">
      <w:pPr>
        <w:pStyle w:val="FirstParagraph"/>
      </w:pPr>
      <w:r>
        <w:t xml:space="preserve">The probability that a sablefish caught in a given time period is marked, </w:t>
      </w:r>
      <m:oMath>
        <m:sSub>
          <m:sSubPr>
            <m:ctrlPr>
              <w:rPr>
                <w:rFonts w:ascii="Cambria Math" w:hAnsi="Cambria Math"/>
              </w:rPr>
            </m:ctrlPr>
          </m:sSubPr>
          <m:e>
            <m:r>
              <w:rPr>
                <w:rFonts w:ascii="Cambria Math" w:hAnsi="Cambria Math"/>
              </w:rPr>
              <m:t>p</m:t>
            </m:r>
          </m:e>
          <m:sub>
            <m:r>
              <w:rPr>
                <w:rFonts w:ascii="Cambria Math" w:hAnsi="Cambria Math"/>
              </w:rPr>
              <m:t>i</m:t>
            </m:r>
          </m:sub>
        </m:sSub>
      </m:oMath>
      <w:r>
        <w:t>, i</w:t>
      </w:r>
      <w:r>
        <w:t xml:space="preserve">s informed by the ratio of marks in population to the total population at that time </w:t>
      </w:r>
      <m:oMath>
        <m:sSub>
          <m:sSubPr>
            <m:ctrlPr>
              <w:rPr>
                <w:rFonts w:ascii="Cambria Math" w:hAnsi="Cambria Math"/>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We assume each </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follows a beta prior distribution </w:t>
      </w: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r>
          <w:rPr>
            <w:rFonts w:ascii="Cambria Math" w:hAnsi="Cambria Math"/>
          </w:rPr>
          <m:t>beta</m:t>
        </m:r>
        <m:r>
          <w:rPr>
            <w:rFonts w:ascii="Cambria Math" w:hAnsi="Cambria Math"/>
          </w:rPr>
          <m:t>(</m:t>
        </m:r>
        <m:r>
          <w:rPr>
            <w:rFonts w:ascii="Cambria Math" w:hAnsi="Cambria Math"/>
          </w:rPr>
          <m:t>α</m:t>
        </m:r>
        <m:r>
          <w:rPr>
            <w:rFonts w:ascii="Cambria Math" w:hAnsi="Cambria Math"/>
          </w:rPr>
          <m:t>,</m:t>
        </m:r>
        <m:r>
          <w:rPr>
            <w:rFonts w:ascii="Cambria Math" w:hAnsi="Cambria Math"/>
          </w:rPr>
          <m:t>β</m:t>
        </m:r>
        <m:r>
          <w:rPr>
            <w:rFonts w:ascii="Cambria Math" w:hAnsi="Cambria Math"/>
          </w:rPr>
          <m:t>)</m:t>
        </m:r>
      </m:oMath>
      <w:r>
        <w:t xml:space="preserve">, where </w:t>
      </w:r>
      <m:oMath>
        <m:r>
          <w:rPr>
            <w:rFonts w:ascii="Cambria Math" w:hAnsi="Cambria Math"/>
          </w:rPr>
          <m:t>α</m:t>
        </m:r>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rPr>
          <m:t>x</m:t>
        </m:r>
      </m:oMath>
      <w:r>
        <w:t xml:space="preserve">, </w:t>
      </w:r>
      <m:oMath>
        <m:r>
          <w:rPr>
            <w:rFonts w:ascii="Cambria Math" w:hAnsi="Cambria Math"/>
          </w:rPr>
          <m:t>β</m:t>
        </m:r>
        <m:r>
          <w:rPr>
            <w:rFonts w:ascii="Cambria Math" w:hAnsi="Cambria Math"/>
          </w:rPr>
          <m:t>=(1-</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rPr>
          <m:t>x</m:t>
        </m:r>
      </m:oMath>
      <w:r>
        <w:t xml:space="preserve">, and the magnitude of </w:t>
      </w:r>
      <m:oMath>
        <m:r>
          <w:rPr>
            <w:rFonts w:ascii="Cambria Math" w:hAnsi="Cambria Math"/>
          </w:rPr>
          <m:t>x</m:t>
        </m:r>
      </m:oMath>
      <w:r>
        <w:t xml:space="preserve"> indicates our re</w:t>
      </w:r>
      <w:r>
        <w:t xml:space="preserve">lative confidence in </w:t>
      </w:r>
      <m:oMath>
        <m:sSub>
          <m:sSubPr>
            <m:ctrlPr>
              <w:rPr>
                <w:rFonts w:ascii="Cambria Math" w:hAnsi="Cambria Math"/>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Because we had already assigned a vague prior for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we assumed </w:t>
      </w:r>
      <m:oMath>
        <m:r>
          <w:rPr>
            <w:rFonts w:ascii="Cambria Math" w:hAnsi="Cambria Math"/>
          </w:rPr>
          <m:t>x</m:t>
        </m:r>
      </m:oMath>
      <w:r>
        <w:t xml:space="preserve"> was equal to 10,000.</w:t>
      </w:r>
    </w:p>
    <w:p w:rsidR="00D816FD" w:rsidRDefault="00CC3384">
      <w:pPr>
        <w:pStyle w:val="BodyText"/>
      </w:pPr>
      <w:r>
        <w:t xml:space="preserve">In a given time period, the likelihood of recapturing </w:t>
      </w:r>
      <m:oMath>
        <m:r>
          <w:rPr>
            <w:rFonts w:ascii="Cambria Math" w:hAnsi="Cambria Math"/>
          </w:rPr>
          <m:t>k</m:t>
        </m:r>
      </m:oMath>
      <w:r>
        <w:t xml:space="preserve"> marked sablefish given </w:t>
      </w:r>
      <m:oMath>
        <m:r>
          <w:rPr>
            <w:rFonts w:ascii="Cambria Math" w:hAnsi="Cambria Math"/>
          </w:rPr>
          <m:t>n</m:t>
        </m:r>
      </m:oMath>
      <w:r>
        <w:t xml:space="preserve"> sampled individuals follows a binomial distributio</w:t>
      </w:r>
      <w:r>
        <w:t>n, where</w:t>
      </w:r>
    </w:p>
    <w:p w:rsidR="00D816FD" w:rsidRDefault="00CC3384">
      <w:pPr>
        <w:pStyle w:val="BodyText"/>
      </w:pPr>
      <m:oMathPara>
        <m:oMathParaPr>
          <m:jc m:val="center"/>
        </m:oMathParaPr>
        <m:oMath>
          <m:r>
            <w:rPr>
              <w:rFonts w:ascii="Cambria Math" w:hAnsi="Cambria Math"/>
            </w:rPr>
            <m:t>Pr</m:t>
          </m:r>
          <m:r>
            <w:rPr>
              <w:rFonts w:ascii="Cambria Math" w:hAnsi="Cambria Math"/>
            </w:rPr>
            <m:t>(</m:t>
          </m:r>
          <m:r>
            <w:rPr>
              <w:rFonts w:ascii="Cambria Math" w:hAnsi="Cambria Math"/>
            </w:rPr>
            <m:t>k</m:t>
          </m:r>
          <m:r>
            <w:rPr>
              <w:rFonts w:ascii="Cambria Math" w:hAnsi="Cambria Math"/>
            </w:rPr>
            <m:t>|</m:t>
          </m:r>
          <m:r>
            <w:rPr>
              <w:rFonts w:ascii="Cambria Math" w:hAnsi="Cambria Math"/>
            </w:rPr>
            <m:t>n</m:t>
          </m:r>
          <m:r>
            <w:rPr>
              <w:rFonts w:ascii="Cambria Math" w:hAnsi="Cambria Math"/>
            </w:rPr>
            <m:t>,</m:t>
          </m:r>
          <m:r>
            <w:rPr>
              <w:rFonts w:ascii="Cambria Math" w:hAnsi="Cambria Math"/>
            </w:rPr>
            <m:t>p</m:t>
          </m:r>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k</m:t>
                  </m:r>
                </m:den>
              </m:f>
            </m:e>
          </m:d>
          <m:sSup>
            <m:sSupPr>
              <m:ctrlPr>
                <w:rPr>
                  <w:rFonts w:ascii="Cambria Math" w:hAnsi="Cambria Math"/>
                </w:rPr>
              </m:ctrlPr>
            </m:sSupPr>
            <m:e>
              <m:r>
                <w:rPr>
                  <w:rFonts w:ascii="Cambria Math" w:hAnsi="Cambria Math"/>
                </w:rPr>
                <m:t>p</m:t>
              </m:r>
            </m:e>
            <m:sup>
              <m:r>
                <w:rPr>
                  <w:rFonts w:ascii="Cambria Math" w:hAnsi="Cambria Math"/>
                </w:rPr>
                <m:t>k</m:t>
              </m:r>
            </m:sup>
          </m:sSup>
          <m:r>
            <w:rPr>
              <w:rFonts w:ascii="Cambria Math" w:hAnsi="Cambria Math"/>
            </w:rPr>
            <m:t>(1-</m:t>
          </m:r>
          <m:r>
            <w:rPr>
              <w:rFonts w:ascii="Cambria Math" w:hAnsi="Cambria Math"/>
            </w:rPr>
            <m:t>p</m:t>
          </m:r>
          <m:sSup>
            <m:sSupPr>
              <m:ctrlPr>
                <w:rPr>
                  <w:rFonts w:ascii="Cambria Math" w:hAnsi="Cambria Math"/>
                </w:rPr>
              </m:ctrlPr>
            </m:sSupPr>
            <m:e>
              <m:r>
                <w:rPr>
                  <w:rFonts w:ascii="Cambria Math" w:hAnsi="Cambria Math"/>
                </w:rPr>
                <m:t>)</m:t>
              </m:r>
            </m:e>
            <m:sup>
              <m:r>
                <w:rPr>
                  <w:rFonts w:ascii="Cambria Math" w:hAnsi="Cambria Math"/>
                </w:rPr>
                <m:t>n</m:t>
              </m:r>
              <m:r>
                <w:rPr>
                  <w:rFonts w:ascii="Cambria Math" w:hAnsi="Cambria Math"/>
                </w:rPr>
                <m:t>-</m:t>
              </m:r>
              <m:r>
                <w:rPr>
                  <w:rFonts w:ascii="Cambria Math" w:hAnsi="Cambria Math"/>
                </w:rPr>
                <m:t>k</m:t>
              </m:r>
            </m:sup>
          </m:sSup>
          <m:r>
            <w:rPr>
              <w:rFonts w:ascii="Cambria Math" w:hAnsi="Cambria Math"/>
            </w:rPr>
            <m:t>.</m:t>
          </m:r>
        </m:oMath>
      </m:oMathPara>
    </w:p>
    <w:p w:rsidR="00D816FD" w:rsidRDefault="00CC3384">
      <w:pPr>
        <w:pStyle w:val="FirstParagraph"/>
      </w:pPr>
      <w:r>
        <w:t xml:space="preserve">The final estimate and credible interval reported for </w:t>
      </w:r>
      <m:oMath>
        <m:r>
          <w:rPr>
            <w:rFonts w:ascii="Cambria Math" w:hAnsi="Cambria Math"/>
          </w:rPr>
          <m:t>N</m:t>
        </m:r>
      </m:oMath>
      <w:r>
        <w:t xml:space="preserve"> is the average </w:t>
      </w:r>
      <m:oMath>
        <m:r>
          <w:rPr>
            <w:rFonts w:ascii="Cambria Math" w:hAnsi="Cambria Math"/>
          </w:rPr>
          <m:t>N</m:t>
        </m:r>
      </m:oMath>
      <w:r>
        <w:t xml:space="preserve"> across all time periods.</w:t>
      </w:r>
    </w:p>
    <w:p w:rsidR="00D816FD" w:rsidRDefault="00CC3384">
      <w:pPr>
        <w:pStyle w:val="Heading2"/>
      </w:pPr>
      <w:bookmarkStart w:id="7" w:name="model-2-accounting-for-movement"/>
      <w:bookmarkEnd w:id="7"/>
      <w:r>
        <w:t>Model 2: Accounting for movement</w:t>
      </w:r>
    </w:p>
    <w:p w:rsidR="00D816FD" w:rsidRDefault="00CC3384">
      <w:pPr>
        <w:pStyle w:val="FirstParagraph"/>
      </w:pPr>
      <w:r>
        <w:t>Following Mueter (2010), we extended the time-stratified Peterson estimator by</w:t>
      </w:r>
      <w:r>
        <w:t xml:space="preserve"> estimating a parameter for net migration </w:t>
      </w:r>
      <m:oMath>
        <m:r>
          <w:rPr>
            <w:rFonts w:ascii="Cambria Math" w:hAnsi="Cambria Math"/>
          </w:rPr>
          <m:t>r</m:t>
        </m:r>
      </m:oMath>
      <w:r>
        <w:t xml:space="preserve">. If </w:t>
      </w:r>
      <m:oMath>
        <m:r>
          <w:rPr>
            <w:rFonts w:ascii="Cambria Math" w:hAnsi="Cambria Math"/>
          </w:rPr>
          <m:t>r</m:t>
        </m:r>
      </m:oMath>
      <w:r>
        <w:t xml:space="preserve"> is positive, it indicates that there was net positive movement of sablefish into Chatham Strait during the fishery. Conversely, a negative </w:t>
      </w:r>
      <m:oMath>
        <m:r>
          <w:rPr>
            <w:rFonts w:ascii="Cambria Math" w:hAnsi="Cambria Math"/>
          </w:rPr>
          <m:t>r</m:t>
        </m:r>
      </m:oMath>
      <w:r>
        <w:t xml:space="preserve"> would suggest net movement out of Chatham during the fishery. </w:t>
      </w:r>
      <w:r>
        <w:t xml:space="preserve">Following Mueter (2010), we assigned </w:t>
      </w:r>
      <m:oMath>
        <m:r>
          <w:rPr>
            <w:rFonts w:ascii="Cambria Math" w:hAnsi="Cambria Math"/>
          </w:rPr>
          <m:t>r</m:t>
        </m:r>
      </m:oMath>
      <w:r>
        <w:t xml:space="preserve"> a vague normal prior distribution, centered at +5,000 individuals. This parameter is incorporated into the model with the addition of </w:t>
      </w:r>
      <m:oMath>
        <m:r>
          <w:rPr>
            <w:rFonts w:ascii="Cambria Math" w:hAnsi="Cambria Math"/>
          </w:rPr>
          <m:t>r</m:t>
        </m:r>
      </m:oMath>
      <w:r>
        <w:t xml:space="preserve"> into the abundance equation from Model 1:</w:t>
      </w:r>
    </w:p>
    <w:p w:rsidR="00D816FD" w:rsidRDefault="00CC3384">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r>
                <w:rPr>
                  <w:rFonts w:ascii="Cambria Math" w:hAnsi="Cambria Math"/>
                </w:rPr>
                <m:t>-</m:t>
              </m:r>
              <m:r>
                <w:rPr>
                  <w:rFonts w:ascii="Cambria Math" w:hAnsi="Cambria Math"/>
                </w:rPr>
                <m:t>1</m:t>
              </m:r>
            </m:sub>
          </m:sSub>
          <m:r>
            <w:rPr>
              <w:rFonts w:ascii="Cambria Math" w:hAnsi="Cambria Math"/>
            </w:rPr>
            <m:t>)*</m:t>
          </m:r>
          <m:r>
            <w:rPr>
              <w:rFonts w:ascii="Cambria Math" w:hAnsi="Cambria Math"/>
            </w:rPr>
            <m:t>exp</m:t>
          </m:r>
          <m:r>
            <w:rPr>
              <w:rFonts w:ascii="Cambria Math" w:hAnsi="Cambria Math"/>
            </w:rPr>
            <m:t>(-</m:t>
          </m:r>
          <m:r>
            <w:rPr>
              <w:rFonts w:ascii="Cambria Math" w:hAnsi="Cambria Math"/>
            </w:rPr>
            <m:t>M</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rPr>
            <m:t>+</m:t>
          </m:r>
          <m:r>
            <w:rPr>
              <w:rFonts w:ascii="Cambria Math" w:hAnsi="Cambria Math"/>
            </w:rPr>
            <m:t>r</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oMath>
      </m:oMathPara>
    </w:p>
    <w:p w:rsidR="00D816FD" w:rsidRDefault="00CC3384">
      <w:pPr>
        <w:pStyle w:val="Heading2"/>
      </w:pPr>
      <w:bookmarkStart w:id="8" w:name="models-3-and-4-including-fishery-cpue-da"/>
      <w:bookmarkEnd w:id="8"/>
      <w:r>
        <w:t>Models 3 and 4: Including fishery CPUE data</w:t>
      </w:r>
    </w:p>
    <w:p w:rsidR="00D816FD" w:rsidRDefault="00CC3384">
      <w:pPr>
        <w:pStyle w:val="FirstParagraph"/>
      </w:pPr>
      <w:r>
        <w:t>As an extension to the above models and to account for seasonal trends in abundance and fishing effort, we included fishery CPUE data in the model. An examination of fishery CPUE annually since 2005 (omitted for brevity), shows slight increasing and decrea</w:t>
      </w:r>
      <w:r>
        <w:t>sing linear trends in fishery CPUE. This suggests a change in fish abundance or density throughout the fishing season and that the direction of this change is variable between years. Fishery CPUE in a given time period (defined as number of sablefish per 1</w:t>
      </w:r>
      <w:r>
        <w:t>000 hooks) was back-calculated using mean fish weight in the fishery and weight of the landing from fish tickets.</w:t>
      </w:r>
    </w:p>
    <w:p w:rsidR="00D816FD" w:rsidRDefault="00CC3384">
      <w:pPr>
        <w:pStyle w:val="BodyText"/>
      </w:pPr>
      <w:r>
        <w:t xml:space="preserve">Following Mueter (2010), we constructed versions of Model 1 and 2 that included the fishery CPUE data (Table 3). We assumed that fishery CPUE </w:t>
      </w:r>
      <w:r>
        <w:t>was proportional to total sablefish abundance in each time period</w:t>
      </w:r>
    </w:p>
    <w:p w:rsidR="00D816FD" w:rsidRDefault="00CC3384">
      <w:pPr>
        <w:pStyle w:val="BodyText"/>
      </w:pPr>
      <m:oMathPara>
        <m:oMathParaPr>
          <m:jc m:val="center"/>
        </m:oMathParaPr>
        <m:oMath>
          <m:r>
            <w:rPr>
              <w:rFonts w:ascii="Cambria Math" w:hAnsi="Cambria Math"/>
            </w:rPr>
            <w:lastRenderedPageBreak/>
            <m:t>CPU</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r>
            <w:rPr>
              <w:rFonts w:ascii="Cambria Math" w:hAnsi="Cambria Math"/>
            </w:rPr>
            <m:t>q</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oMath>
      </m:oMathPara>
    </w:p>
    <w:p w:rsidR="00D816FD" w:rsidRDefault="00CC3384">
      <w:pPr>
        <w:pStyle w:val="FirstParagraph"/>
      </w:pPr>
      <w:r>
        <w:t xml:space="preserve">where catchability </w:t>
      </w:r>
      <m:oMath>
        <m:r>
          <w:rPr>
            <w:rFonts w:ascii="Cambria Math" w:hAnsi="Cambria Math"/>
          </w:rPr>
          <m:t>q</m:t>
        </m:r>
      </m:oMath>
      <w:r>
        <w:t xml:space="preserve"> is the constant of proportionality. The models including fishery CPUE data were fit to both the mark-recapture and fishery CPUE data by maximizing t</w:t>
      </w:r>
      <w:r>
        <w:t>he combined likelihood (consisting of a binomial likelihood component for the mark-recapture data and a normal likelihood for the fishery CPUE data). Both likelihood components received equal weights in the combined likelihood, thus fishery CPUE and mark-r</w:t>
      </w:r>
      <w:r>
        <w:t>ecapture data contribute equally to the parameter estimation.</w:t>
      </w:r>
    </w:p>
    <w:p w:rsidR="00D816FD" w:rsidRDefault="00CC3384">
      <w:pPr>
        <w:pStyle w:val="Heading2"/>
      </w:pPr>
      <w:bookmarkStart w:id="9" w:name="results-and-model-selection"/>
      <w:bookmarkEnd w:id="9"/>
      <w:r>
        <w:t>Results and model selection</w:t>
      </w:r>
    </w:p>
    <w:p w:rsidR="00D816FD" w:rsidRDefault="00CC3384">
      <w:pPr>
        <w:pStyle w:val="FirstParagraph"/>
      </w:pPr>
      <w:r>
        <w:t>A total of 32 models were fit for each mark survey year from 2005 to 2017 (10 distinct years). We visually examined trace plots and used the Gelman and Rubin’s conver</w:t>
      </w:r>
      <w:r>
        <w:t xml:space="preserve">gence diagnostic to test the convergence of MCMC chains (Gelman and Rubin 1992). All models converged except for versions of Models 3 and 4 with fewer than 4 time periods. Models 3 and 4 used fishery CPUE data to estimate </w:t>
      </w:r>
      <m:oMath>
        <m:r>
          <w:rPr>
            <w:rFonts w:ascii="Cambria Math" w:hAnsi="Cambria Math"/>
          </w:rPr>
          <m:t>q</m:t>
        </m:r>
      </m:oMath>
      <w:r>
        <w:t>, so these models require more o</w:t>
      </w:r>
      <w:r>
        <w:t>bservations of CPUE (i.e. more time periods) to converge. These models were omitted from further consideration.</w:t>
      </w:r>
    </w:p>
    <w:p w:rsidR="00D816FD" w:rsidRDefault="00CC3384">
      <w:pPr>
        <w:pStyle w:val="BodyText"/>
      </w:pPr>
      <w:r>
        <w:t>We used a combination of DIC and a visual examination of trends in abundance estimates to aid in the remaining model selection. There is a trade</w:t>
      </w:r>
      <w:r>
        <w:t xml:space="preserve">off between the number of time periods </w:t>
      </w:r>
      <m:oMath>
        <m:r>
          <w:rPr>
            <w:rFonts w:ascii="Cambria Math" w:hAnsi="Cambria Math"/>
          </w:rPr>
          <m:t>P</m:t>
        </m:r>
      </m:oMath>
      <w:r>
        <w:t xml:space="preserve"> and accurately describing seasonal trends. A visual comparison of Models 1-4 across a range of time periods </w:t>
      </w:r>
      <m:oMath>
        <m:r>
          <w:rPr>
            <w:rFonts w:ascii="Cambria Math" w:hAnsi="Cambria Math"/>
          </w:rPr>
          <m:t>P</m:t>
        </m:r>
      </m:oMath>
      <w:r>
        <w:t xml:space="preserve"> shows that the final estimate of </w:t>
      </w:r>
      <m:oMath>
        <m:r>
          <w:rPr>
            <w:rFonts w:ascii="Cambria Math" w:hAnsi="Cambria Math"/>
          </w:rPr>
          <m:t>N</m:t>
        </m:r>
      </m:oMath>
      <w:r>
        <w:t xml:space="preserve"> does not change after </w:t>
      </w:r>
      <m:oMath>
        <m:r>
          <w:rPr>
            <w:rFonts w:ascii="Cambria Math" w:hAnsi="Cambria Math"/>
          </w:rPr>
          <m:t>P</m:t>
        </m:r>
        <m:r>
          <w:rPr>
            <w:rFonts w:ascii="Cambria Math" w:hAnsi="Cambria Math"/>
          </w:rPr>
          <m:t>≥6</m:t>
        </m:r>
      </m:oMath>
      <w:r>
        <w:t xml:space="preserve"> for most years (Figure 11). Because capt</w:t>
      </w:r>
      <w:r>
        <w:t xml:space="preserve">uring this temporal trend was a motivating factor in the development of these models, we chose to eliminate models with </w:t>
      </w:r>
      <m:oMath>
        <m:r>
          <w:rPr>
            <w:rFonts w:ascii="Cambria Math" w:hAnsi="Cambria Math"/>
          </w:rPr>
          <m:t>P</m:t>
        </m:r>
        <m:r>
          <w:rPr>
            <w:rFonts w:ascii="Cambria Math" w:hAnsi="Cambria Math"/>
          </w:rPr>
          <m:t>&lt;6</m:t>
        </m:r>
      </m:oMath>
      <w:r>
        <w:t xml:space="preserve"> and compared remaining candidates using DIC.</w:t>
      </w:r>
    </w:p>
    <w:p w:rsidR="00D816FD" w:rsidRDefault="00CC3384">
      <w:pPr>
        <w:pStyle w:val="BodyText"/>
      </w:pPr>
      <w:r>
        <w:t>The models with the most support in all years were Models 1 and 2 by DIC (</w:t>
      </w:r>
      <m:oMath>
        <m:r>
          <w:rPr>
            <w:rFonts w:ascii="Cambria Math" w:hAnsi="Cambria Math"/>
          </w:rPr>
          <m:t>ΔDIC</m:t>
        </m:r>
        <m:r>
          <w:rPr>
            <w:rFonts w:ascii="Cambria Math" w:hAnsi="Cambria Math"/>
          </w:rPr>
          <m:t>≤2</m:t>
        </m:r>
      </m:oMath>
      <w:r>
        <w:t xml:space="preserve">) </w:t>
      </w:r>
      <w:r>
        <w:t xml:space="preserve">(Burnham and Anderson 2003). The point estimate and credible interval for </w:t>
      </w:r>
      <m:oMath>
        <m:r>
          <w:rPr>
            <w:rFonts w:ascii="Cambria Math" w:hAnsi="Cambria Math"/>
          </w:rPr>
          <m:t>N</m:t>
        </m:r>
      </m:oMath>
      <w:r>
        <w:t xml:space="preserve"> for the top candidate models for 2017 are found in Table 4. Models 1-4 have much lower estimates of abundance than the simple Chapman estimator, likely because the Chapman estimat</w:t>
      </w:r>
      <w:r>
        <w:t>or does not account for natural or fishing mortality or changes in abundance throughout the season. Although Model 2 had statistical support, the credible intervals for net migration (</w:t>
      </w:r>
      <m:oMath>
        <m:r>
          <w:rPr>
            <w:rFonts w:ascii="Cambria Math" w:hAnsi="Cambria Math"/>
          </w:rPr>
          <m:t>r</m:t>
        </m:r>
      </m:oMath>
      <w:r>
        <w:t>) were wide for all years, and the direction of net migration (positiv</w:t>
      </w:r>
      <w:r>
        <w:t>e or negative) was inconsistent across years (Figure 12). It provides an interesting contrast to the other models, but more research is needed before bringing this type of model forward for management. Models 3 and 4, though having a lower DIC weighting, h</w:t>
      </w:r>
      <w:r>
        <w:t>ad reasonable abundance estimates and fit the CPUE data well in most years (2017 was a notable exception; Figure 13). These models have potential for future development.</w:t>
      </w:r>
    </w:p>
    <w:p w:rsidR="00D816FD" w:rsidRDefault="00CC3384">
      <w:pPr>
        <w:pStyle w:val="BodyText"/>
      </w:pPr>
      <w:r>
        <w:t xml:space="preserve">Ultimately, we selected Model 1 with </w:t>
      </w:r>
      <m:oMath>
        <m:r>
          <w:rPr>
            <w:rFonts w:ascii="Cambria Math" w:hAnsi="Cambria Math"/>
          </w:rPr>
          <m:t>P</m:t>
        </m:r>
        <m:r>
          <w:rPr>
            <w:rFonts w:ascii="Cambria Math" w:hAnsi="Cambria Math"/>
          </w:rPr>
          <m:t>=6</m:t>
        </m:r>
      </m:oMath>
      <w:r>
        <w:t xml:space="preserve"> to bring forward for the 2018 forecast and c</w:t>
      </w:r>
      <w:r>
        <w:t>alculation of the 2018 ABC, because it had the lowest DIC and was most similar to models used for recent assessments (e.g. Williams and Van Kirk 2017). A retrospective analysis shows that Model 1 abundance estimates follow a similar trend and general magni</w:t>
      </w:r>
      <w:r>
        <w:t>tude as past model estimates (Figure 1). As discussed in Section I, we used the 15th percentile from the posterior distribution as the adjusted abundance estimate for subsequent analyses (Figure 8).</w:t>
      </w:r>
    </w:p>
    <w:p w:rsidR="00D816FD" w:rsidRDefault="00CC3384">
      <w:pPr>
        <w:pStyle w:val="Heading1"/>
      </w:pPr>
      <w:bookmarkStart w:id="10" w:name="section-iii-determining-allowable-biolog"/>
      <w:bookmarkEnd w:id="10"/>
      <w:r>
        <w:lastRenderedPageBreak/>
        <w:t>Section III: Determining Allowable Biological Catch</w:t>
      </w:r>
    </w:p>
    <w:p w:rsidR="00D816FD" w:rsidRDefault="00CC3384">
      <w:pPr>
        <w:pStyle w:val="FirstParagraph"/>
      </w:pPr>
      <w:r>
        <w:t>Using</w:t>
      </w:r>
      <w:r>
        <w:t xml:space="preserve"> the adjusted abundance estimate, we calculated vulnerable abundance-at-age for ages 2+ by partitioning the estimated exploited abundance into cohorts using commercial fishery catch-at-age proportions and incrementing by annually:</w:t>
      </w:r>
    </w:p>
    <w:p w:rsidR="00D816FD" w:rsidRDefault="00CC3384">
      <w:pPr>
        <w:pStyle w:val="BodyText"/>
      </w:pPr>
      <m:oMathPara>
        <m:oMathParaPr>
          <m:jc m:val="center"/>
        </m:oMathParaP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N</m:t>
                  </m:r>
                </m:e>
              </m:groupChr>
            </m:e>
            <m:sub>
              <m:r>
                <w:rPr>
                  <w:rFonts w:ascii="Cambria Math" w:hAnsi="Cambria Math"/>
                </w:rPr>
                <m:t>t</m:t>
              </m:r>
              <m:r>
                <w:rPr>
                  <w:rFonts w:ascii="Cambria Math" w:hAnsi="Cambria Math"/>
                </w:rPr>
                <m:t>,</m:t>
              </m:r>
              <m:r>
                <w:rPr>
                  <w:rFonts w:ascii="Cambria Math" w:hAnsi="Cambria Math"/>
                </w:rPr>
                <m:t>a</m:t>
              </m:r>
            </m:sub>
          </m:sSub>
          <m:r>
            <w:rPr>
              <w:rFonts w:ascii="Cambria Math" w:hAnsi="Cambria Math"/>
            </w:rPr>
            <m:t>=</m:t>
          </m:r>
          <m:nary>
            <m:naryPr>
              <m:chr m:val="∑"/>
              <m:limLoc m:val="undOvr"/>
              <m:ctrlPr>
                <w:rPr>
                  <w:rFonts w:ascii="Cambria Math" w:hAnsi="Cambria Math"/>
                </w:rPr>
              </m:ctrlPr>
            </m:naryPr>
            <m:sub>
              <m:r>
                <w:rPr>
                  <w:rFonts w:ascii="Cambria Math" w:hAnsi="Cambria Math"/>
                </w:rPr>
                <m:t>k</m:t>
              </m:r>
              <m:r>
                <w:rPr>
                  <w:rFonts w:ascii="Cambria Math" w:hAnsi="Cambria Math"/>
                </w:rPr>
                <m:t>=1</m:t>
              </m:r>
            </m:sub>
            <m:sup>
              <m:r>
                <w:rPr>
                  <w:rFonts w:ascii="Cambria Math" w:hAnsi="Cambria Math"/>
                </w:rPr>
                <m:t>2</m:t>
              </m:r>
            </m:sup>
            <m:e>
              <m:r>
                <w:rPr>
                  <w:rFonts w:ascii="Cambria Math" w:hAnsi="Cambria Math"/>
                </w:rPr>
                <m:t>[</m:t>
              </m:r>
            </m:e>
          </m:nary>
          <m:f>
            <m:fPr>
              <m:ctrlPr>
                <w:rPr>
                  <w:rFonts w:ascii="Cambria Math" w:hAnsi="Cambria Math"/>
                </w:rPr>
              </m:ctrlPr>
            </m:fPr>
            <m:num>
              <m:sSub>
                <m:sSubPr>
                  <m:ctrlPr>
                    <w:rPr>
                      <w:rFonts w:ascii="Cambria Math" w:hAnsi="Cambria Math"/>
                    </w:rPr>
                  </m:ctrlPr>
                </m:sSubPr>
                <m:e>
                  <m:r>
                    <w:rPr>
                      <w:rFonts w:ascii="Cambria Math" w:hAnsi="Cambria Math"/>
                    </w:rPr>
                    <m:t>γ</m:t>
                  </m:r>
                </m:e>
                <m:sub>
                  <m:r>
                    <w:rPr>
                      <w:rFonts w:ascii="Cambria Math" w:hAnsi="Cambria Math"/>
                    </w:rPr>
                    <m:t>k</m:t>
                  </m:r>
                </m:sub>
              </m:sSub>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N</m:t>
                      </m:r>
                    </m:e>
                  </m:groupChr>
                </m:e>
                <m:sub>
                  <m:r>
                    <w:rPr>
                      <w:rFonts w:ascii="Cambria Math" w:hAnsi="Cambria Math"/>
                    </w:rPr>
                    <m:t>y</m:t>
                  </m:r>
                  <m:r>
                    <w:rPr>
                      <w:rFonts w:ascii="Cambria Math" w:hAnsi="Cambria Math"/>
                    </w:rPr>
                    <m:t>-</m:t>
                  </m:r>
                  <m:r>
                    <w:rPr>
                      <w:rFonts w:ascii="Cambria Math" w:hAnsi="Cambria Math"/>
                    </w:rPr>
                    <m:t>1,</m:t>
                  </m:r>
                  <m:r>
                    <w:rPr>
                      <w:rFonts w:ascii="Cambria Math" w:hAnsi="Cambria Math"/>
                    </w:rPr>
                    <m:t>a</m:t>
                  </m:r>
                  <m:r>
                    <w:rPr>
                      <w:rFonts w:ascii="Cambria Math" w:hAnsi="Cambria Math"/>
                    </w:rPr>
                    <m:t>-</m:t>
                  </m:r>
                  <m:r>
                    <w:rPr>
                      <w:rFonts w:ascii="Cambria Math" w:hAnsi="Cambria Math"/>
                    </w:rPr>
                    <m:t>1</m:t>
                  </m:r>
                </m:sub>
              </m:sSub>
              <m:sSub>
                <m:sSubPr>
                  <m:ctrlPr>
                    <w:rPr>
                      <w:rFonts w:ascii="Cambria Math" w:hAnsi="Cambria Math"/>
                    </w:rPr>
                  </m:ctrlPr>
                </m:sSubPr>
                <m:e>
                  <m:r>
                    <w:rPr>
                      <w:rFonts w:ascii="Cambria Math" w:hAnsi="Cambria Math"/>
                    </w:rPr>
                    <m:t>ϕ</m:t>
                  </m:r>
                </m:e>
                <m:sub>
                  <m:r>
                    <w:rPr>
                      <w:rFonts w:ascii="Cambria Math" w:hAnsi="Cambria Math"/>
                    </w:rPr>
                    <m:t>y</m:t>
                  </m:r>
                  <m:r>
                    <w:rPr>
                      <w:rFonts w:ascii="Cambria Math" w:hAnsi="Cambria Math"/>
                    </w:rPr>
                    <m:t>-</m:t>
                  </m:r>
                  <m:r>
                    <w:rPr>
                      <w:rFonts w:ascii="Cambria Math" w:hAnsi="Cambria Math"/>
                    </w:rPr>
                    <m:t>1,</m:t>
                  </m:r>
                  <m:r>
                    <w:rPr>
                      <w:rFonts w:ascii="Cambria Math" w:hAnsi="Cambria Math"/>
                    </w:rPr>
                    <m:t>a</m:t>
                  </m:r>
                  <m:r>
                    <w:rPr>
                      <w:rFonts w:ascii="Cambria Math" w:hAnsi="Cambria Math"/>
                    </w:rPr>
                    <m:t>-</m:t>
                  </m:r>
                  <m:r>
                    <w:rPr>
                      <w:rFonts w:ascii="Cambria Math" w:hAnsi="Cambria Math"/>
                    </w:rPr>
                    <m:t>1</m:t>
                  </m:r>
                </m:sub>
              </m:sSub>
            </m:num>
            <m:den>
              <m:sSub>
                <m:sSubPr>
                  <m:ctrlPr>
                    <w:rPr>
                      <w:rFonts w:ascii="Cambria Math" w:hAnsi="Cambria Math"/>
                    </w:rPr>
                  </m:ctrlPr>
                </m:sSubPr>
                <m:e>
                  <m:r>
                    <w:rPr>
                      <w:rFonts w:ascii="Cambria Math" w:hAnsi="Cambria Math"/>
                    </w:rPr>
                    <m:t>s</m:t>
                  </m:r>
                </m:e>
                <m:sub>
                  <m:r>
                    <w:rPr>
                      <w:rFonts w:ascii="Cambria Math" w:hAnsi="Cambria Math"/>
                    </w:rPr>
                    <m:t>k</m:t>
                  </m:r>
                  <m:r>
                    <w:rPr>
                      <w:rFonts w:ascii="Cambria Math" w:hAnsi="Cambria Math"/>
                    </w:rPr>
                    <m:t>,</m:t>
                  </m:r>
                  <m:r>
                    <w:rPr>
                      <w:rFonts w:ascii="Cambria Math" w:hAnsi="Cambria Math"/>
                    </w:rPr>
                    <m:t>a</m:t>
                  </m:r>
                  <m:r>
                    <w:rPr>
                      <w:rFonts w:ascii="Cambria Math" w:hAnsi="Cambria Math"/>
                    </w:rPr>
                    <m:t>-</m:t>
                  </m:r>
                  <m:r>
                    <w:rPr>
                      <w:rFonts w:ascii="Cambria Math" w:hAnsi="Cambria Math"/>
                    </w:rPr>
                    <m:t>1</m:t>
                  </m:r>
                </m:sub>
              </m:sSub>
            </m:den>
          </m:f>
          <m:sSub>
            <m:sSubPr>
              <m:ctrlPr>
                <w:rPr>
                  <w:rFonts w:ascii="Cambria Math" w:hAnsi="Cambria Math"/>
                </w:rPr>
              </m:ctrlPr>
            </m:sSubPr>
            <m:e>
              <m:r>
                <w:rPr>
                  <w:rFonts w:ascii="Cambria Math" w:hAnsi="Cambria Math"/>
                </w:rPr>
                <m:t>s</m:t>
              </m:r>
            </m:e>
            <m:sub>
              <m:r>
                <w:rPr>
                  <w:rFonts w:ascii="Cambria Math" w:hAnsi="Cambria Math"/>
                </w:rPr>
                <m:t>k</m:t>
              </m:r>
              <m:r>
                <w:rPr>
                  <w:rFonts w:ascii="Cambria Math" w:hAnsi="Cambria Math"/>
                </w:rPr>
                <m:t>,</m:t>
              </m:r>
              <m:r>
                <w:rPr>
                  <w:rFonts w:ascii="Cambria Math" w:hAnsi="Cambria Math"/>
                </w:rPr>
                <m:t>a</m:t>
              </m:r>
            </m:sub>
          </m:sSub>
          <m:sSup>
            <m:sSupPr>
              <m:ctrlPr>
                <w:rPr>
                  <w:rFonts w:ascii="Cambria Math" w:hAnsi="Cambria Math"/>
                </w:rPr>
              </m:ctrlPr>
            </m:sSupPr>
            <m:e>
              <m:r>
                <w:rPr>
                  <w:rFonts w:ascii="Cambria Math" w:hAnsi="Cambria Math"/>
                </w:rPr>
                <m:t>]</m:t>
              </m:r>
            </m:e>
            <m: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r>
                    <w:rPr>
                      <w:rFonts w:ascii="Cambria Math" w:hAnsi="Cambria Math"/>
                    </w:rPr>
                    <m:t>,</m:t>
                  </m:r>
                  <m:r>
                    <w:rPr>
                      <w:rFonts w:ascii="Cambria Math" w:hAnsi="Cambria Math"/>
                    </w:rPr>
                    <m:t>a</m:t>
                  </m:r>
                  <m:r>
                    <w:rPr>
                      <w:rFonts w:ascii="Cambria Math" w:hAnsi="Cambria Math"/>
                    </w:rPr>
                    <m:t>-</m:t>
                  </m:r>
                  <m:r>
                    <w:rPr>
                      <w:rFonts w:ascii="Cambria Math" w:hAnsi="Cambria Math"/>
                    </w:rPr>
                    <m:t>1</m:t>
                  </m:r>
                </m:sub>
              </m:sSub>
              <m:sSub>
                <m:sSubPr>
                  <m:ctrlPr>
                    <w:rPr>
                      <w:rFonts w:ascii="Cambria Math" w:hAnsi="Cambria Math"/>
                    </w:rPr>
                  </m:ctrlPr>
                </m:sSubPr>
                <m:e>
                  <m:r>
                    <w:rPr>
                      <w:rFonts w:ascii="Cambria Math" w:hAnsi="Cambria Math"/>
                    </w:rPr>
                    <m:t>F</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r>
                <w:rPr>
                  <w:rFonts w:ascii="Cambria Math" w:hAnsi="Cambria Math"/>
                </w:rPr>
                <m:t>M</m:t>
              </m:r>
              <m:r>
                <w:rPr>
                  <w:rFonts w:ascii="Cambria Math" w:hAnsi="Cambria Math"/>
                </w:rPr>
                <m:t>)</m:t>
              </m:r>
            </m:sup>
          </m:sSup>
        </m:oMath>
      </m:oMathPara>
    </w:p>
    <w:p w:rsidR="00D816FD" w:rsidRDefault="00CC3384">
      <w:pPr>
        <w:pStyle w:val="FirstParagraph"/>
      </w:pPr>
      <w:r>
        <w:t xml:space="preserve">for which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N</m:t>
                </m:r>
              </m:e>
            </m:groupChr>
          </m:e>
          <m:sub>
            <m:r>
              <w:rPr>
                <w:rFonts w:ascii="Cambria Math" w:hAnsi="Cambria Math"/>
              </w:rPr>
              <m:t>y</m:t>
            </m:r>
            <m:r>
              <w:rPr>
                <w:rFonts w:ascii="Cambria Math" w:hAnsi="Cambria Math"/>
              </w:rPr>
              <m:t>,</m:t>
            </m:r>
            <m:r>
              <w:rPr>
                <w:rFonts w:ascii="Cambria Math" w:hAnsi="Cambria Math"/>
              </w:rPr>
              <m:t>a</m:t>
            </m:r>
          </m:sub>
        </m:sSub>
      </m:oMath>
      <w:r>
        <w:t xml:space="preserve"> is the estimated exploitable abundance-at-age </w:t>
      </w:r>
      <m:oMath>
        <m:r>
          <w:rPr>
            <w:rFonts w:ascii="Cambria Math" w:hAnsi="Cambria Math"/>
          </w:rPr>
          <m:t>a</m:t>
        </m:r>
      </m:oMath>
      <w:r>
        <w:t xml:space="preserve"> in year </w:t>
      </w:r>
      <m:oMath>
        <m:r>
          <w:rPr>
            <w:rFonts w:ascii="Cambria Math" w:hAnsi="Cambria Math"/>
          </w:rPr>
          <m:t>y</m:t>
        </m:r>
      </m:oMath>
      <w:r>
        <w:t xml:space="preserve">, </w:t>
      </w:r>
      <m:oMath>
        <m:sSub>
          <m:sSubPr>
            <m:ctrlPr>
              <w:rPr>
                <w:rFonts w:ascii="Cambria Math" w:hAnsi="Cambria Math"/>
              </w:rPr>
            </m:ctrlPr>
          </m:sSubPr>
          <m:e>
            <m:r>
              <w:rPr>
                <w:rFonts w:ascii="Cambria Math" w:hAnsi="Cambria Math"/>
              </w:rPr>
              <m:t>ϕ</m:t>
            </m:r>
          </m:e>
          <m:sub>
            <m:r>
              <w:rPr>
                <w:rFonts w:ascii="Cambria Math" w:hAnsi="Cambria Math"/>
              </w:rPr>
              <m:t>k</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N</m:t>
                </m:r>
              </m:e>
            </m:groupChr>
          </m:e>
          <m:sub>
            <m:r>
              <w:rPr>
                <w:rFonts w:ascii="Cambria Math" w:hAnsi="Cambria Math"/>
              </w:rPr>
              <m:t>y</m:t>
            </m:r>
            <m:r>
              <w:rPr>
                <w:rFonts w:ascii="Cambria Math" w:hAnsi="Cambria Math"/>
              </w:rPr>
              <m:t>-</m:t>
            </m:r>
            <m:r>
              <w:rPr>
                <w:rFonts w:ascii="Cambria Math" w:hAnsi="Cambria Math"/>
              </w:rPr>
              <m:t>1,</m:t>
            </m:r>
            <m:r>
              <w:rPr>
                <w:rFonts w:ascii="Cambria Math" w:hAnsi="Cambria Math"/>
              </w:rPr>
              <m:t>a</m:t>
            </m:r>
            <m:r>
              <w:rPr>
                <w:rFonts w:ascii="Cambria Math" w:hAnsi="Cambria Math"/>
              </w:rPr>
              <m:t>-</m:t>
            </m:r>
            <m:r>
              <w:rPr>
                <w:rFonts w:ascii="Cambria Math" w:hAnsi="Cambria Math"/>
              </w:rPr>
              <m:t>1</m:t>
            </m:r>
          </m:sub>
        </m:sSub>
        <m:r>
          <w:rPr>
            <w:rFonts w:ascii="Cambria Math" w:hAnsi="Cambria Math"/>
          </w:rPr>
          <m:t>)</m:t>
        </m:r>
      </m:oMath>
      <w:r>
        <w:t xml:space="preserve"> is the fishery catch-at-age proportion at age </w:t>
      </w:r>
      <m:oMath>
        <m:r>
          <w:rPr>
            <w:rFonts w:ascii="Cambria Math" w:hAnsi="Cambria Math"/>
          </w:rPr>
          <m:t>a</m:t>
        </m:r>
        <m:r>
          <w:rPr>
            <w:rFonts w:ascii="Cambria Math" w:hAnsi="Cambria Math"/>
          </w:rPr>
          <m:t>-</m:t>
        </m:r>
        <m:r>
          <w:rPr>
            <w:rFonts w:ascii="Cambria Math" w:hAnsi="Cambria Math"/>
          </w:rPr>
          <m:t>1</m:t>
        </m:r>
      </m:oMath>
      <w:r>
        <w:t xml:space="preserve"> in year </w:t>
      </w:r>
      <m:oMath>
        <m:r>
          <w:rPr>
            <w:rFonts w:ascii="Cambria Math" w:hAnsi="Cambria Math"/>
          </w:rPr>
          <m:t>y</m:t>
        </m:r>
        <m:r>
          <w:rPr>
            <w:rFonts w:ascii="Cambria Math" w:hAnsi="Cambria Math"/>
          </w:rPr>
          <m:t>-</m:t>
        </m:r>
        <m:r>
          <w:rPr>
            <w:rFonts w:ascii="Cambria Math" w:hAnsi="Cambria Math"/>
          </w:rPr>
          <m:t>1</m:t>
        </m:r>
      </m:oMath>
      <w:r>
        <w:t xml:space="preserve">, </w:t>
      </w:r>
      <m:oMath>
        <m:sSub>
          <m:sSubPr>
            <m:ctrlPr>
              <w:rPr>
                <w:rFonts w:ascii="Cambria Math" w:hAnsi="Cambria Math"/>
              </w:rPr>
            </m:ctrlPr>
          </m:sSubPr>
          <m:e>
            <m:r>
              <w:rPr>
                <w:rFonts w:ascii="Cambria Math" w:hAnsi="Cambria Math"/>
              </w:rPr>
              <m:t>s</m:t>
            </m:r>
          </m:e>
          <m:sub>
            <m:r>
              <w:rPr>
                <w:rFonts w:ascii="Cambria Math" w:hAnsi="Cambria Math"/>
              </w:rPr>
              <m:t>k</m:t>
            </m:r>
            <m:r>
              <w:rPr>
                <w:rFonts w:ascii="Cambria Math" w:hAnsi="Cambria Math"/>
              </w:rPr>
              <m:t>,</m:t>
            </m:r>
            <m:r>
              <w:rPr>
                <w:rFonts w:ascii="Cambria Math" w:hAnsi="Cambria Math"/>
              </w:rPr>
              <m:t>a</m:t>
            </m:r>
          </m:sub>
        </m:sSub>
      </m:oMath>
      <w:r>
        <w:t xml:space="preserve"> is the commercial fishery select</w:t>
      </w:r>
      <w:r>
        <w:t xml:space="preserve">ivity-at-age for age </w:t>
      </w:r>
      <m:oMath>
        <m:r>
          <w:rPr>
            <w:rFonts w:ascii="Cambria Math" w:hAnsi="Cambria Math"/>
          </w:rPr>
          <m:t>a</m:t>
        </m:r>
      </m:oMath>
      <w:r>
        <w:t xml:space="preserve"> and sex </w:t>
      </w:r>
      <m:oMath>
        <m:r>
          <w:rPr>
            <w:rFonts w:ascii="Cambria Math" w:hAnsi="Cambria Math"/>
          </w:rPr>
          <m:t>k</m:t>
        </m:r>
      </m:oMath>
      <w:r>
        <w:t xml:space="preserve"> (Hanselman et al. 2017), </w:t>
      </w:r>
      <m:oMath>
        <m:sSub>
          <m:sSubPr>
            <m:ctrlPr>
              <w:rPr>
                <w:rFonts w:ascii="Cambria Math" w:hAnsi="Cambria Math"/>
              </w:rPr>
            </m:ctrlPr>
          </m:sSubPr>
          <m:e>
            <m:r>
              <w:rPr>
                <w:rFonts w:ascii="Cambria Math" w:hAnsi="Cambria Math"/>
              </w:rPr>
              <m:t>F</m:t>
            </m:r>
          </m:e>
          <m:sub>
            <m:r>
              <w:rPr>
                <w:rFonts w:ascii="Cambria Math" w:hAnsi="Cambria Math"/>
              </w:rPr>
              <m:t>y</m:t>
            </m:r>
            <m:r>
              <w:rPr>
                <w:rFonts w:ascii="Cambria Math" w:hAnsi="Cambria Math"/>
              </w:rPr>
              <m:t>-</m:t>
            </m:r>
            <m:r>
              <w:rPr>
                <w:rFonts w:ascii="Cambria Math" w:hAnsi="Cambria Math"/>
              </w:rPr>
              <m:t>1</m:t>
            </m:r>
          </m:sub>
        </m:sSub>
      </m:oMath>
      <w:r>
        <w:t xml:space="preserve"> is the full recruitment fishing mortality implemented in year </w:t>
      </w:r>
      <m:oMath>
        <m:r>
          <w:rPr>
            <w:rFonts w:ascii="Cambria Math" w:hAnsi="Cambria Math"/>
          </w:rPr>
          <m:t>y</m:t>
        </m:r>
        <m:r>
          <w:rPr>
            <w:rFonts w:ascii="Cambria Math" w:hAnsi="Cambria Math"/>
          </w:rPr>
          <m:t>-</m:t>
        </m:r>
        <m:r>
          <w:rPr>
            <w:rFonts w:ascii="Cambria Math" w:hAnsi="Cambria Math"/>
          </w:rPr>
          <m:t>1</m:t>
        </m:r>
      </m:oMath>
      <w:r>
        <w:t xml:space="preserve">, and </w:t>
      </w:r>
      <m:oMath>
        <m:sSub>
          <m:sSubPr>
            <m:ctrlPr>
              <w:rPr>
                <w:rFonts w:ascii="Cambria Math" w:hAnsi="Cambria Math"/>
              </w:rPr>
            </m:ctrlPr>
          </m:sSubPr>
          <m:e>
            <m:r>
              <w:rPr>
                <w:rFonts w:ascii="Cambria Math" w:hAnsi="Cambria Math"/>
              </w:rPr>
              <m:t>γ</m:t>
            </m:r>
          </m:e>
          <m:sub>
            <m:r>
              <w:rPr>
                <w:rFonts w:ascii="Cambria Math" w:hAnsi="Cambria Math"/>
              </w:rPr>
              <m:t>k</m:t>
            </m:r>
          </m:sub>
        </m:sSub>
      </m:oMath>
      <w:r>
        <w:t xml:space="preserve"> is the proportion of the commercial longline catch by sex </w:t>
      </w:r>
      <m:oMath>
        <m:r>
          <w:rPr>
            <w:rFonts w:ascii="Cambria Math" w:hAnsi="Cambria Math"/>
          </w:rPr>
          <m:t>k</m:t>
        </m:r>
      </m:oMath>
      <w:r>
        <w:t xml:space="preserve">. Natural mortality </w:t>
      </w:r>
      <m:oMath>
        <m:r>
          <w:rPr>
            <w:rFonts w:ascii="Cambria Math" w:hAnsi="Cambria Math"/>
          </w:rPr>
          <m:t>M</m:t>
        </m:r>
      </m:oMath>
      <w:r>
        <w:t xml:space="preserve"> is assumed constant over time</w:t>
      </w:r>
      <w:r>
        <w:t xml:space="preserve"> and age, and is set to 0.1 (Johnson and Quinn, 1998).</w:t>
      </w:r>
    </w:p>
    <w:p w:rsidR="00D816FD" w:rsidRDefault="00CC3384">
      <w:pPr>
        <w:pStyle w:val="BodyText"/>
      </w:pPr>
      <w:r>
        <w:t>Vulnerable abundance for age-4, the youngest age-class considered in the commercial fishery, is calculated as</w:t>
      </w:r>
    </w:p>
    <w:p w:rsidR="00D816FD" w:rsidRDefault="00CC3384">
      <w:pPr>
        <w:pStyle w:val="BodyText"/>
      </w:pPr>
      <m:oMathPara>
        <m:oMathParaPr>
          <m:jc m:val="center"/>
        </m:oMathParaP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N</m:t>
                  </m:r>
                </m:e>
                <m:sub>
                  <m:r>
                    <w:rPr>
                      <w:rFonts w:ascii="Cambria Math" w:hAnsi="Cambria Math"/>
                    </w:rPr>
                    <m:t>y</m:t>
                  </m:r>
                  <m:r>
                    <w:rPr>
                      <w:rFonts w:ascii="Cambria Math" w:hAnsi="Cambria Math"/>
                    </w:rPr>
                    <m:t>,4</m:t>
                  </m:r>
                </m:sub>
              </m:sSub>
            </m:e>
          </m:groupChr>
          <m:r>
            <w:rPr>
              <w:rFonts w:ascii="Cambria Math" w:hAnsi="Cambria Math"/>
            </w:rPr>
            <m:t>=</m:t>
          </m:r>
          <m:nary>
            <m:naryPr>
              <m:chr m:val="∑"/>
              <m:limLoc m:val="undOvr"/>
              <m:ctrlPr>
                <w:rPr>
                  <w:rFonts w:ascii="Cambria Math" w:hAnsi="Cambria Math"/>
                </w:rPr>
              </m:ctrlPr>
            </m:naryPr>
            <m:sub>
              <m:r>
                <w:rPr>
                  <w:rFonts w:ascii="Cambria Math" w:hAnsi="Cambria Math"/>
                </w:rPr>
                <m:t>k</m:t>
              </m:r>
              <m:r>
                <w:rPr>
                  <w:rFonts w:ascii="Cambria Math" w:hAnsi="Cambria Math"/>
                </w:rPr>
                <m:t>=1</m:t>
              </m:r>
            </m:sub>
            <m:sup>
              <m:r>
                <w:rPr>
                  <w:rFonts w:ascii="Cambria Math" w:hAnsi="Cambria Math"/>
                </w:rPr>
                <m:t>2</m:t>
              </m:r>
            </m:sup>
            <m:e>
              <m:f>
                <m:fPr>
                  <m:ctrlPr>
                    <w:rPr>
                      <w:rFonts w:ascii="Cambria Math" w:hAnsi="Cambria Math"/>
                    </w:rPr>
                  </m:ctrlPr>
                </m:fPr>
                <m:num>
                  <m:sSub>
                    <m:sSubPr>
                      <m:ctrlPr>
                        <w:rPr>
                          <w:rFonts w:ascii="Cambria Math" w:hAnsi="Cambria Math"/>
                        </w:rPr>
                      </m:ctrlPr>
                    </m:sSubPr>
                    <m:e>
                      <m:r>
                        <w:rPr>
                          <w:rFonts w:ascii="Cambria Math" w:hAnsi="Cambria Math"/>
                        </w:rPr>
                        <m:t>γ</m:t>
                      </m:r>
                    </m:e>
                    <m:sub>
                      <m:r>
                        <w:rPr>
                          <w:rFonts w:ascii="Cambria Math" w:hAnsi="Cambria Math"/>
                        </w:rPr>
                        <m:t>k</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N</m:t>
                          </m:r>
                        </m:e>
                      </m:groupChr>
                    </m:e>
                    <m:sub>
                      <m:r>
                        <w:rPr>
                          <w:rFonts w:ascii="Cambria Math" w:hAnsi="Cambria Math"/>
                        </w:rPr>
                        <m:t>y</m:t>
                      </m:r>
                      <m:r>
                        <w:rPr>
                          <w:rFonts w:ascii="Cambria Math" w:hAnsi="Cambria Math"/>
                        </w:rPr>
                        <m:t>-</m:t>
                      </m:r>
                      <m:r>
                        <w:rPr>
                          <w:rFonts w:ascii="Cambria Math" w:hAnsi="Cambria Math"/>
                        </w:rPr>
                        <m:t>1,4</m:t>
                      </m:r>
                    </m:sub>
                  </m:sSub>
                  <m:sSub>
                    <m:sSubPr>
                      <m:ctrlPr>
                        <w:rPr>
                          <w:rFonts w:ascii="Cambria Math" w:hAnsi="Cambria Math"/>
                        </w:rPr>
                      </m:ctrlPr>
                    </m:sSubPr>
                    <m:e>
                      <m:r>
                        <w:rPr>
                          <w:rFonts w:ascii="Cambria Math" w:hAnsi="Cambria Math"/>
                        </w:rPr>
                        <m:t>ϕ</m:t>
                      </m:r>
                    </m:e>
                    <m:sub>
                      <m:r>
                        <w:rPr>
                          <w:rFonts w:ascii="Cambria Math" w:hAnsi="Cambria Math"/>
                        </w:rPr>
                        <m:t>t</m:t>
                      </m:r>
                      <m:r>
                        <w:rPr>
                          <w:rFonts w:ascii="Cambria Math" w:hAnsi="Cambria Math"/>
                        </w:rPr>
                        <m:t>-</m:t>
                      </m:r>
                      <m:r>
                        <w:rPr>
                          <w:rFonts w:ascii="Cambria Math" w:hAnsi="Cambria Math"/>
                        </w:rPr>
                        <m:t>1,</m:t>
                      </m:r>
                      <m:r>
                        <w:rPr>
                          <w:rFonts w:ascii="Cambria Math" w:hAnsi="Cambria Math"/>
                        </w:rPr>
                        <m:t>a</m:t>
                      </m:r>
                      <m:r>
                        <w:rPr>
                          <w:rFonts w:ascii="Cambria Math" w:hAnsi="Cambria Math"/>
                        </w:rPr>
                        <m:t>-</m:t>
                      </m:r>
                      <m:r>
                        <w:rPr>
                          <w:rFonts w:ascii="Cambria Math" w:hAnsi="Cambria Math"/>
                        </w:rPr>
                        <m:t>1</m:t>
                      </m:r>
                    </m:sub>
                  </m:sSub>
                  <m:r>
                    <w:rPr>
                      <w:rFonts w:ascii="Cambria Math" w:hAnsi="Cambria Math"/>
                    </w:rPr>
                    <m:t>)</m:t>
                  </m:r>
                </m:num>
                <m:den>
                  <m:sSub>
                    <m:sSubPr>
                      <m:ctrlPr>
                        <w:rPr>
                          <w:rFonts w:ascii="Cambria Math" w:hAnsi="Cambria Math"/>
                        </w:rPr>
                      </m:ctrlPr>
                    </m:sSubPr>
                    <m:e>
                      <m:r>
                        <w:rPr>
                          <w:rFonts w:ascii="Cambria Math" w:hAnsi="Cambria Math"/>
                        </w:rPr>
                        <m:t>s</m:t>
                      </m:r>
                    </m:e>
                    <m:sub>
                      <m:r>
                        <w:rPr>
                          <w:rFonts w:ascii="Cambria Math" w:hAnsi="Cambria Math"/>
                        </w:rPr>
                        <m:t>k</m:t>
                      </m:r>
                      <m:r>
                        <w:rPr>
                          <w:rFonts w:ascii="Cambria Math" w:hAnsi="Cambria Math"/>
                        </w:rPr>
                        <m:t>,4</m:t>
                      </m:r>
                    </m:sub>
                  </m:sSub>
                </m:den>
              </m:f>
            </m:e>
          </m:nary>
          <m:sSub>
            <m:sSubPr>
              <m:ctrlPr>
                <w:rPr>
                  <w:rFonts w:ascii="Cambria Math" w:hAnsi="Cambria Math"/>
                </w:rPr>
              </m:ctrlPr>
            </m:sSubPr>
            <m:e>
              <m:r>
                <w:rPr>
                  <w:rFonts w:ascii="Cambria Math" w:hAnsi="Cambria Math"/>
                </w:rPr>
                <m:t>s</m:t>
              </m:r>
            </m:e>
            <m:sub>
              <m:r>
                <w:rPr>
                  <w:rFonts w:ascii="Cambria Math" w:hAnsi="Cambria Math"/>
                </w:rPr>
                <m:t>k</m:t>
              </m:r>
              <m:r>
                <w:rPr>
                  <w:rFonts w:ascii="Cambria Math" w:hAnsi="Cambria Math"/>
                </w:rPr>
                <m:t>,</m:t>
              </m:r>
              <m:r>
                <w:rPr>
                  <w:rFonts w:ascii="Cambria Math" w:hAnsi="Cambria Math"/>
                </w:rPr>
                <m:t>a</m:t>
              </m:r>
            </m:sub>
          </m:sSub>
        </m:oMath>
      </m:oMathPara>
    </w:p>
    <w:p w:rsidR="00D816FD" w:rsidRDefault="00CC3384">
      <w:pPr>
        <w:pStyle w:val="FirstParagraph"/>
      </w:pPr>
      <w:r>
        <w:t>.</w:t>
      </w:r>
    </w:p>
    <w:p w:rsidR="00D816FD" w:rsidRDefault="00CC3384">
      <w:pPr>
        <w:pStyle w:val="BodyText"/>
      </w:pPr>
      <w:r>
        <w:t xml:space="preserve">Application of the Baranov catch equation for which full-recruitment fishing mortality </w:t>
      </w:r>
      <m:oMath>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50%</m:t>
            </m:r>
          </m:sub>
        </m:sSub>
      </m:oMath>
      <w:r>
        <w:t xml:space="preserve">, obtained from yield-per-recruit tables in conjunction with mean fishery weight-at-age </w:t>
      </w:r>
      <m:oMath>
        <m:sSub>
          <m:sSubPr>
            <m:ctrlPr>
              <w:rPr>
                <w:rFonts w:ascii="Cambria Math" w:hAnsi="Cambria Math"/>
              </w:rPr>
            </m:ctrlPr>
          </m:sSubPr>
          <m:e>
            <m:r>
              <w:rPr>
                <w:rFonts w:ascii="Cambria Math" w:hAnsi="Cambria Math"/>
              </w:rPr>
              <m:t>w</m:t>
            </m:r>
          </m:e>
          <m:sub>
            <m:r>
              <w:rPr>
                <w:rFonts w:ascii="Cambria Math" w:hAnsi="Cambria Math"/>
              </w:rPr>
              <m:t>a</m:t>
            </m:r>
          </m:sub>
        </m:sSub>
      </m:oMath>
      <w:r>
        <w:t xml:space="preserve">, is used to calculate the </w:t>
      </w:r>
      <m:oMath>
        <m:r>
          <w:rPr>
            <w:rFonts w:ascii="Cambria Math" w:hAnsi="Cambria Math"/>
          </w:rPr>
          <m:t>ABC</m:t>
        </m:r>
      </m:oMath>
      <w:r>
        <w:t>:</w:t>
      </w:r>
    </w:p>
    <w:p w:rsidR="00D816FD" w:rsidRDefault="00CC3384">
      <w:pPr>
        <w:pStyle w:val="BodyText"/>
      </w:pPr>
      <m:oMathPara>
        <m:oMathParaPr>
          <m:jc m:val="center"/>
        </m:oMathParaPr>
        <m:oMath>
          <m:r>
            <w:rPr>
              <w:rFonts w:ascii="Cambria Math" w:hAnsi="Cambria Math"/>
            </w:rPr>
            <m:t>ABC</m:t>
          </m:r>
          <m:r>
            <w:rPr>
              <w:rFonts w:ascii="Cambria Math" w:hAnsi="Cambria Math"/>
            </w:rPr>
            <m:t>=</m:t>
          </m:r>
          <m:nary>
            <m:naryPr>
              <m:chr m:val="∑"/>
              <m:limLoc m:val="undOvr"/>
              <m:ctrlPr>
                <w:rPr>
                  <w:rFonts w:ascii="Cambria Math" w:hAnsi="Cambria Math"/>
                </w:rPr>
              </m:ctrlPr>
            </m:naryPr>
            <m:sub>
              <m:r>
                <w:rPr>
                  <w:rFonts w:ascii="Cambria Math" w:hAnsi="Cambria Math"/>
                </w:rPr>
                <m:t>k</m:t>
              </m:r>
              <m:r>
                <w:rPr>
                  <w:rFonts w:ascii="Cambria Math" w:hAnsi="Cambria Math"/>
                </w:rPr>
                <m:t>=1</m:t>
              </m:r>
            </m:sub>
            <m:sup>
              <m:r>
                <w:rPr>
                  <w:rFonts w:ascii="Cambria Math" w:hAnsi="Cambria Math"/>
                </w:rPr>
                <m:t>2</m:t>
              </m:r>
            </m:sup>
            <m:e>
              <m:nary>
                <m:naryPr>
                  <m:chr m:val="∑"/>
                  <m:limLoc m:val="undOvr"/>
                  <m:ctrlPr>
                    <w:rPr>
                      <w:rFonts w:ascii="Cambria Math" w:hAnsi="Cambria Math"/>
                    </w:rPr>
                  </m:ctrlPr>
                </m:naryPr>
                <m:sub>
                  <m:r>
                    <w:rPr>
                      <w:rFonts w:ascii="Cambria Math" w:hAnsi="Cambria Math"/>
                    </w:rPr>
                    <m:t>a</m:t>
                  </m:r>
                  <m:r>
                    <w:rPr>
                      <w:rFonts w:ascii="Cambria Math" w:hAnsi="Cambria Math"/>
                    </w:rPr>
                    <m:t>=4</m:t>
                  </m:r>
                </m:sub>
                <m:sup>
                  <m:r>
                    <w:rPr>
                      <w:rFonts w:ascii="Cambria Math" w:hAnsi="Cambria Math"/>
                    </w:rPr>
                    <m:t>max</m:t>
                  </m:r>
                  <m:r>
                    <w:rPr>
                      <w:rFonts w:ascii="Cambria Math" w:hAnsi="Cambria Math"/>
                    </w:rPr>
                    <m:t>(</m:t>
                  </m:r>
                  <m:r>
                    <w:rPr>
                      <w:rFonts w:ascii="Cambria Math" w:hAnsi="Cambria Math"/>
                    </w:rPr>
                    <m:t>a</m:t>
                  </m:r>
                  <m:r>
                    <w:rPr>
                      <w:rFonts w:ascii="Cambria Math" w:hAnsi="Cambria Math"/>
                    </w:rPr>
                    <m:t>)</m:t>
                  </m:r>
                </m:sup>
                <m:e>
                  <m:f>
                    <m:fPr>
                      <m:ctrlPr>
                        <w:rPr>
                          <w:rFonts w:ascii="Cambria Math" w:hAnsi="Cambria Math"/>
                        </w:rPr>
                      </m:ctrlPr>
                    </m:fPr>
                    <m:num>
                      <m:r>
                        <w:rPr>
                          <w:rFonts w:ascii="Cambria Math" w:hAnsi="Cambria Math"/>
                        </w:rPr>
                        <m:t>F</m:t>
                      </m:r>
                      <m:sSub>
                        <m:sSubPr>
                          <m:ctrlPr>
                            <w:rPr>
                              <w:rFonts w:ascii="Cambria Math" w:hAnsi="Cambria Math"/>
                            </w:rPr>
                          </m:ctrlPr>
                        </m:sSubPr>
                        <m:e>
                          <m:r>
                            <w:rPr>
                              <w:rFonts w:ascii="Cambria Math" w:hAnsi="Cambria Math"/>
                            </w:rPr>
                            <m:t>s</m:t>
                          </m:r>
                        </m:e>
                        <m:sub>
                          <m:r>
                            <w:rPr>
                              <w:rFonts w:ascii="Cambria Math" w:hAnsi="Cambria Math"/>
                            </w:rPr>
                            <m:t>a</m:t>
                          </m:r>
                        </m:sub>
                      </m:sSub>
                    </m:num>
                    <m:den>
                      <m:sSub>
                        <m:sSubPr>
                          <m:ctrlPr>
                            <w:rPr>
                              <w:rFonts w:ascii="Cambria Math" w:hAnsi="Cambria Math"/>
                            </w:rPr>
                          </m:ctrlPr>
                        </m:sSubPr>
                        <m:e>
                          <m:r>
                            <w:rPr>
                              <w:rFonts w:ascii="Cambria Math" w:hAnsi="Cambria Math"/>
                            </w:rPr>
                            <m:t>Z</m:t>
                          </m:r>
                        </m:e>
                        <m:sub>
                          <m:r>
                            <w:rPr>
                              <w:rFonts w:ascii="Cambria Math" w:hAnsi="Cambria Math"/>
                            </w:rPr>
                            <m:t>a</m:t>
                          </m:r>
                        </m:sub>
                      </m:sSub>
                    </m:den>
                  </m:f>
                </m:e>
              </m:nary>
            </m:e>
          </m:nary>
          <m:sSub>
            <m:sSubPr>
              <m:ctrlPr>
                <w:rPr>
                  <w:rFonts w:ascii="Cambria Math" w:hAnsi="Cambria Math"/>
                </w:rPr>
              </m:ctrlPr>
            </m:sSubPr>
            <m:e>
              <m:r>
                <w:rPr>
                  <w:rFonts w:ascii="Cambria Math" w:hAnsi="Cambria Math"/>
                </w:rPr>
                <m:t>N</m:t>
              </m:r>
            </m:e>
            <m:sub>
              <m:r>
                <w:rPr>
                  <w:rFonts w:ascii="Cambria Math" w:hAnsi="Cambria Math"/>
                </w:rPr>
                <m:t>a</m:t>
              </m:r>
            </m:sub>
          </m:sSub>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a</m:t>
                  </m:r>
                </m:sub>
              </m:sSub>
            </m:sup>
          </m:sSup>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a</m:t>
              </m:r>
            </m:sub>
          </m:sSub>
        </m:oMath>
      </m:oMathPara>
    </w:p>
    <w:p w:rsidR="00D816FD" w:rsidRDefault="00CC3384">
      <w:pPr>
        <w:pStyle w:val="FirstParagraph"/>
      </w:pPr>
      <w:r>
        <w:t>,</w:t>
      </w:r>
    </w:p>
    <w:p w:rsidR="00D816FD" w:rsidRDefault="00CC3384">
      <w:pPr>
        <w:pStyle w:val="BodyText"/>
      </w:pPr>
      <w:r>
        <w:t xml:space="preserve">where </w:t>
      </w:r>
      <m:oMath>
        <m:sSub>
          <m:sSubPr>
            <m:ctrlPr>
              <w:rPr>
                <w:rFonts w:ascii="Cambria Math" w:hAnsi="Cambria Math"/>
              </w:rPr>
            </m:ctrlPr>
          </m:sSubPr>
          <m:e>
            <m:r>
              <w:rPr>
                <w:rFonts w:ascii="Cambria Math" w:hAnsi="Cambria Math"/>
              </w:rPr>
              <m:t>Z</m:t>
            </m:r>
          </m:e>
          <m:sub>
            <m:r>
              <w:rPr>
                <w:rFonts w:ascii="Cambria Math" w:hAnsi="Cambria Math"/>
              </w:rPr>
              <m:t>a</m:t>
            </m:r>
          </m:sub>
        </m:sSub>
      </m:oMath>
      <w:r>
        <w:t xml:space="preserve"> is the sum of natural mortality </w:t>
      </w:r>
      <m:oMath>
        <m:r>
          <w:rPr>
            <w:rFonts w:ascii="Cambria Math" w:hAnsi="Cambria Math"/>
          </w:rPr>
          <m:t>M</m:t>
        </m:r>
      </m:oMath>
      <w:r>
        <w:t xml:space="preserve"> and </w:t>
      </w:r>
      <m:oMath>
        <m:r>
          <w:rPr>
            <w:rFonts w:ascii="Cambria Math" w:hAnsi="Cambria Math"/>
          </w:rPr>
          <m:t>F</m:t>
        </m:r>
      </m:oMath>
      <w:r>
        <w:t>.</w:t>
      </w:r>
    </w:p>
    <w:p w:rsidR="00D816FD" w:rsidRDefault="00CC3384">
      <w:pPr>
        <w:pStyle w:val="Heading1"/>
      </w:pPr>
      <w:bookmarkStart w:id="11" w:name="future-work-and-recommendations"/>
      <w:bookmarkEnd w:id="11"/>
      <w:r>
        <w:t>Future work and recommendations</w:t>
      </w:r>
    </w:p>
    <w:p w:rsidR="00D816FD" w:rsidRDefault="00CC3384">
      <w:pPr>
        <w:numPr>
          <w:ilvl w:val="0"/>
          <w:numId w:val="11"/>
        </w:numPr>
      </w:pPr>
      <w:r>
        <w:t xml:space="preserve">It is a priority for the Region I Groundfish Project and biometric team to develop and implement an integrated age-structured assessment for this stock. Due to changes in staff, no progress was made on the age-structured assessment in 2017. It is our goal </w:t>
      </w:r>
      <w:r>
        <w:t>to present this assessment in spring of 2019.</w:t>
      </w:r>
    </w:p>
    <w:p w:rsidR="00D816FD" w:rsidRDefault="00CC3384">
      <w:pPr>
        <w:numPr>
          <w:ilvl w:val="0"/>
          <w:numId w:val="11"/>
        </w:numPr>
      </w:pPr>
      <w:r>
        <w:lastRenderedPageBreak/>
        <w:t>Data from mark-recapture studies prior to 2005 are currently not available and portions of the modern data are not entered in the ADF&amp;G database. The authors recommend that these data are rehabilitated and ente</w:t>
      </w:r>
      <w:r>
        <w:t>red into a database.</w:t>
      </w:r>
    </w:p>
    <w:p w:rsidR="00D816FD" w:rsidRDefault="00CC3384">
      <w:pPr>
        <w:pStyle w:val="Heading1"/>
      </w:pPr>
      <w:bookmarkStart w:id="12" w:name="references"/>
      <w:bookmarkEnd w:id="12"/>
      <w:r>
        <w:t>References</w:t>
      </w:r>
    </w:p>
    <w:p w:rsidR="00D816FD" w:rsidRDefault="00CC3384">
      <w:pPr>
        <w:pStyle w:val="FirstParagraph"/>
      </w:pPr>
      <w:r>
        <w:t>Burnham, K.P. and Anderson, D.R. 2003. Model selection and multimodel inference: a practical information-theoretic approach. Springer Science &amp; Business Media.</w:t>
      </w:r>
    </w:p>
    <w:p w:rsidR="00D816FD" w:rsidRDefault="00CC3384">
      <w:pPr>
        <w:pStyle w:val="BodyText"/>
      </w:pPr>
      <w:r>
        <w:t>Depaoli, S., James P. Clifton, and Patrice R. Cobb. 2016. Just A</w:t>
      </w:r>
      <w:r>
        <w:t>nother Gibbs Sampler (JAGS) Flexible Software for MCMC Implementation. Journal of Educational and Behavioral Statistics 41.6: 628-649.</w:t>
      </w:r>
    </w:p>
    <w:p w:rsidR="00D816FD" w:rsidRDefault="00CC3384">
      <w:pPr>
        <w:pStyle w:val="BodyText"/>
      </w:pPr>
      <w:r>
        <w:t>Dressel, S.C. 2009. 2006 Northern Southeast Inside sablefish stock assessment and 2007 forecast and quota. Alaska Departm</w:t>
      </w:r>
      <w:r>
        <w:t>ent of Fish and Game, Fishery Data Series No. 09-50, Anchorage.</w:t>
      </w:r>
    </w:p>
    <w:p w:rsidR="00D816FD" w:rsidRDefault="00CC3384">
      <w:pPr>
        <w:pStyle w:val="BodyText"/>
      </w:pPr>
      <w:r>
        <w:t xml:space="preserve">de Leeuw, J., Reproducible Research. The Bottom Line, Department of Statistics, UCLA, Department of Statistics Papers, Paper 2001031101, March 2001. Available online at </w:t>
      </w:r>
      <w:hyperlink r:id="rId8">
        <w:r>
          <w:rPr>
            <w:rStyle w:val="Hyperlink"/>
          </w:rPr>
          <w:t>https://escholarship.org/uc/item/9050x4r4</w:t>
        </w:r>
      </w:hyperlink>
    </w:p>
    <w:p w:rsidR="00D816FD" w:rsidRDefault="00CC3384">
      <w:pPr>
        <w:pStyle w:val="BodyText"/>
      </w:pPr>
      <w:r>
        <w:t>Gelman, A and Rubin, DB (1992) Inference from iterative simulation using multiple sequences, Statistical Science, 7, 457-511.</w:t>
      </w:r>
    </w:p>
    <w:p w:rsidR="00D816FD" w:rsidRDefault="00CC3384">
      <w:pPr>
        <w:pStyle w:val="BodyText"/>
      </w:pPr>
      <w:r>
        <w:t>Hanselman, D. H., C. J. Rodgveller, C. R. Lunsford</w:t>
      </w:r>
      <w:r>
        <w:t xml:space="preserve">, and K. H Fenske. 2017. Chapter 3: Assessment of the sablefish stock in Alaska. </w:t>
      </w:r>
      <w:r>
        <w:rPr>
          <w:i/>
        </w:rPr>
        <w:t>In:</w:t>
      </w:r>
      <w:r>
        <w:t xml:space="preserve"> Stock assessment and fishery evaluation report for the groundfish resources of the GOA and BS/AI as projected for 2018. North Pacific Fishery Management Council, 605 W 4th</w:t>
      </w:r>
      <w:r>
        <w:t xml:space="preserve"> Ave, Suite 306 Anchorage, AK 99501.</w:t>
      </w:r>
    </w:p>
    <w:p w:rsidR="00D816FD" w:rsidRDefault="00CC3384">
      <w:pPr>
        <w:pStyle w:val="BodyText"/>
      </w:pPr>
      <w:r>
        <w:t>Johnson, S. L., and T. J. Quinn II. 1988. Catch-Age Analysis with Auxiliary Information of sablefish in the Gulf of Alaska. Contract report to National Marine Fisheries Service, Auke Bay, Alaska. 79 pp. Center for Fishe</w:t>
      </w:r>
      <w:r>
        <w:t>ries and Ocean Sciences, University of Alaska, Juneau, Alaska.</w:t>
      </w:r>
    </w:p>
    <w:p w:rsidR="00D816FD" w:rsidRDefault="00CC3384">
      <w:pPr>
        <w:pStyle w:val="BodyText"/>
      </w:pPr>
      <w:r>
        <w:t xml:space="preserve">Mueter, F. 2010. Evaluation of stock assessment and modeling options to assess sablefish population levels and status in the Northern Southeast Inside (NSEI) management area. Alaska Department </w:t>
      </w:r>
      <w:r>
        <w:t>of Fish and Game, Special Publication No. 10-01, Anchorage.</w:t>
      </w:r>
    </w:p>
    <w:p w:rsidR="00D816FD" w:rsidRDefault="00CC3384">
      <w:pPr>
        <w:pStyle w:val="BodyText"/>
      </w:pPr>
      <w:r>
        <w:t xml:space="preserve">Schwab M., M. Karrenbach, and J. Claerbout, Making scientific computations reproducible, Computing in Science &amp; Engineering, vol. 2, no. 6, pp. 61–67, Nov. 2000. Available online at </w:t>
      </w:r>
      <w:hyperlink r:id="rId9">
        <w:r>
          <w:rPr>
            <w:rStyle w:val="Hyperlink"/>
          </w:rPr>
          <w:t>http://sepwww.stanford.edu/doku.php?id=sep:research:reproducible:cip</w:t>
        </w:r>
      </w:hyperlink>
      <w:r>
        <w:t>.</w:t>
      </w:r>
    </w:p>
    <w:p w:rsidR="00D816FD" w:rsidRDefault="00CC3384">
      <w:pPr>
        <w:pStyle w:val="BodyText"/>
      </w:pPr>
      <w:r>
        <w:t>Williams, B, Van Kirk. 2017. 2017 NSEI Sablefish Assessment. State of Alaska, Department of Fish and Game, Divis</w:t>
      </w:r>
      <w:r>
        <w:t>ion of Commercial Fisheries Memorandum. March 16, 2017.</w:t>
      </w:r>
    </w:p>
    <w:p w:rsidR="00D816FD" w:rsidRDefault="00CC3384">
      <w:pPr>
        <w:pStyle w:val="Heading1"/>
      </w:pPr>
      <w:bookmarkStart w:id="13" w:name="tables"/>
      <w:bookmarkEnd w:id="13"/>
      <w:r>
        <w:lastRenderedPageBreak/>
        <w:t>Tables</w:t>
      </w:r>
    </w:p>
    <w:p w:rsidR="00D816FD" w:rsidRDefault="00CC3384">
      <w:pPr>
        <w:pStyle w:val="FirstParagraph"/>
      </w:pPr>
      <w:r>
        <w:t>Table 1. Notation for models used in the 2017 stock assessment.</w:t>
      </w:r>
    </w:p>
    <w:tbl>
      <w:tblPr>
        <w:tblW w:w="0" w:type="pct"/>
        <w:jc w:val="center"/>
        <w:tblLook w:val="07E0" w:firstRow="1" w:lastRow="1" w:firstColumn="1" w:lastColumn="1" w:noHBand="1" w:noVBand="1"/>
      </w:tblPr>
      <w:tblGrid>
        <w:gridCol w:w="1075"/>
        <w:gridCol w:w="8501"/>
      </w:tblGrid>
      <w:tr w:rsidR="00D816FD" w:rsidTr="00887B77">
        <w:trPr>
          <w:jc w:val="center"/>
        </w:trPr>
        <w:tc>
          <w:tcPr>
            <w:tcW w:w="0" w:type="auto"/>
            <w:tcBorders>
              <w:bottom w:val="single" w:sz="0" w:space="0" w:color="auto"/>
            </w:tcBorders>
            <w:vAlign w:val="bottom"/>
          </w:tcPr>
          <w:p w:rsidR="00D816FD" w:rsidRDefault="00CC3384">
            <w:pPr>
              <w:pStyle w:val="Compact"/>
            </w:pPr>
            <w:r>
              <w:t>Variable</w:t>
            </w:r>
          </w:p>
        </w:tc>
        <w:tc>
          <w:tcPr>
            <w:tcW w:w="0" w:type="auto"/>
            <w:tcBorders>
              <w:bottom w:val="single" w:sz="0" w:space="0" w:color="auto"/>
            </w:tcBorders>
            <w:vAlign w:val="bottom"/>
          </w:tcPr>
          <w:p w:rsidR="00D816FD" w:rsidRDefault="00CC3384">
            <w:pPr>
              <w:pStyle w:val="Compact"/>
            </w:pPr>
            <w:r>
              <w:t>Definition</w:t>
            </w:r>
          </w:p>
        </w:tc>
      </w:tr>
      <w:tr w:rsidR="00D816FD" w:rsidTr="00887B77">
        <w:trPr>
          <w:jc w:val="center"/>
        </w:trPr>
        <w:tc>
          <w:tcPr>
            <w:tcW w:w="0" w:type="auto"/>
          </w:tcPr>
          <w:p w:rsidR="00D816FD" w:rsidRDefault="00CC3384">
            <w:pPr>
              <w:pStyle w:val="Compact"/>
            </w:pPr>
            <m:oMathPara>
              <m:oMath>
                <m:sSub>
                  <m:sSubPr>
                    <m:ctrlPr>
                      <w:rPr>
                        <w:rFonts w:ascii="Cambria Math" w:hAnsi="Cambria Math"/>
                      </w:rPr>
                    </m:ctrlPr>
                  </m:sSubPr>
                  <m:e>
                    <m:r>
                      <w:rPr>
                        <w:rFonts w:ascii="Cambria Math" w:hAnsi="Cambria Math"/>
                      </w:rPr>
                      <m:t>N</m:t>
                    </m:r>
                  </m:e>
                  <m:sub>
                    <m:r>
                      <w:rPr>
                        <w:rFonts w:ascii="Cambria Math" w:hAnsi="Cambria Math"/>
                      </w:rPr>
                      <m:t>0</m:t>
                    </m:r>
                  </m:sub>
                </m:sSub>
              </m:oMath>
            </m:oMathPara>
          </w:p>
        </w:tc>
        <w:tc>
          <w:tcPr>
            <w:tcW w:w="0" w:type="auto"/>
          </w:tcPr>
          <w:p w:rsidR="00D816FD" w:rsidRDefault="00CC3384">
            <w:pPr>
              <w:pStyle w:val="Compact"/>
            </w:pPr>
            <w:r>
              <w:t>Number of sablefish in Chatham Strait at time of marking during the ADF&amp;G pot survey</w:t>
            </w:r>
          </w:p>
        </w:tc>
      </w:tr>
      <w:tr w:rsidR="00D816FD" w:rsidTr="00887B77">
        <w:trPr>
          <w:jc w:val="center"/>
        </w:trPr>
        <w:tc>
          <w:tcPr>
            <w:tcW w:w="0" w:type="auto"/>
          </w:tcPr>
          <w:p w:rsidR="00D816FD" w:rsidRDefault="00CC3384">
            <w:pPr>
              <w:pStyle w:val="Compact"/>
            </w:pPr>
            <m:oMathPara>
              <m:oMath>
                <m:sSub>
                  <m:sSubPr>
                    <m:ctrlPr>
                      <w:rPr>
                        <w:rFonts w:ascii="Cambria Math" w:hAnsi="Cambria Math"/>
                      </w:rPr>
                    </m:ctrlPr>
                  </m:sSubPr>
                  <m:e>
                    <m:r>
                      <w:rPr>
                        <w:rFonts w:ascii="Cambria Math" w:hAnsi="Cambria Math"/>
                      </w:rPr>
                      <m:t>K</m:t>
                    </m:r>
                  </m:e>
                  <m:sub>
                    <m:r>
                      <w:rPr>
                        <w:rFonts w:ascii="Cambria Math" w:hAnsi="Cambria Math"/>
                      </w:rPr>
                      <m:t>0</m:t>
                    </m:r>
                  </m:sub>
                </m:sSub>
              </m:oMath>
            </m:oMathPara>
          </w:p>
        </w:tc>
        <w:tc>
          <w:tcPr>
            <w:tcW w:w="0" w:type="auto"/>
          </w:tcPr>
          <w:p w:rsidR="00D816FD" w:rsidRDefault="00CC3384">
            <w:pPr>
              <w:pStyle w:val="Compact"/>
            </w:pPr>
            <w:r>
              <w:t>Number of marks released in the ADF&amp;G pot survey</w:t>
            </w:r>
          </w:p>
        </w:tc>
      </w:tr>
      <w:tr w:rsidR="00D816FD" w:rsidTr="00887B77">
        <w:trPr>
          <w:jc w:val="center"/>
        </w:trPr>
        <w:tc>
          <w:tcPr>
            <w:tcW w:w="0" w:type="auto"/>
          </w:tcPr>
          <w:p w:rsidR="00D816FD" w:rsidRDefault="00CC3384">
            <w:pPr>
              <w:pStyle w:val="Compact"/>
            </w:pPr>
            <m:oMathPara>
              <m:oMath>
                <m:sSub>
                  <m:sSubPr>
                    <m:ctrlPr>
                      <w:rPr>
                        <w:rFonts w:ascii="Cambria Math" w:hAnsi="Cambria Math"/>
                      </w:rPr>
                    </m:ctrlPr>
                  </m:sSubPr>
                  <m:e>
                    <m:r>
                      <w:rPr>
                        <w:rFonts w:ascii="Cambria Math" w:hAnsi="Cambria Math"/>
                      </w:rPr>
                      <m:t>D</m:t>
                    </m:r>
                  </m:e>
                  <m:sub>
                    <m:r>
                      <w:rPr>
                        <w:rFonts w:ascii="Cambria Math" w:hAnsi="Cambria Math"/>
                      </w:rPr>
                      <m:t>0</m:t>
                    </m:r>
                  </m:sub>
                </m:sSub>
              </m:oMath>
            </m:oMathPara>
          </w:p>
        </w:tc>
        <w:tc>
          <w:tcPr>
            <w:tcW w:w="0" w:type="auto"/>
          </w:tcPr>
          <w:p w:rsidR="00D816FD" w:rsidRDefault="00CC3384">
            <w:pPr>
              <w:pStyle w:val="Compact"/>
            </w:pPr>
            <w:r>
              <w:t>Number of marks that are not available to either the ADF&amp;G longline survey or to the fishery (tags recovered in halibut fishery or outside of Chatham Strait)</w:t>
            </w:r>
          </w:p>
        </w:tc>
      </w:tr>
      <w:tr w:rsidR="00D816FD" w:rsidTr="00887B77">
        <w:trPr>
          <w:jc w:val="center"/>
        </w:trPr>
        <w:tc>
          <w:tcPr>
            <w:tcW w:w="0" w:type="auto"/>
          </w:tcPr>
          <w:p w:rsidR="00D816FD" w:rsidRDefault="00CC3384">
            <w:pPr>
              <w:pStyle w:val="Compact"/>
            </w:pPr>
            <m:oMathPara>
              <m:oMath>
                <m:r>
                  <w:rPr>
                    <w:rFonts w:ascii="Cambria Math" w:hAnsi="Cambria Math"/>
                  </w:rPr>
                  <m:t>i</m:t>
                </m:r>
              </m:oMath>
            </m:oMathPara>
          </w:p>
        </w:tc>
        <w:tc>
          <w:tcPr>
            <w:tcW w:w="0" w:type="auto"/>
          </w:tcPr>
          <w:p w:rsidR="00D816FD" w:rsidRDefault="00CC3384">
            <w:pPr>
              <w:pStyle w:val="Compact"/>
            </w:pPr>
            <w:r>
              <w:t>Subscript for each time period, which ma</w:t>
            </w:r>
            <w:r>
              <w:t>y refer to the ADF&amp;G longline survey (</w:t>
            </w:r>
            <m:oMath>
              <m:r>
                <w:rPr>
                  <w:rFonts w:ascii="Cambria Math" w:hAnsi="Cambria Math"/>
                </w:rPr>
                <m:t>i</m:t>
              </m:r>
            </m:oMath>
            <w:r>
              <w:t xml:space="preserve"> = 1) or to one of the fishery time periods based on time of landing</w:t>
            </w:r>
          </w:p>
        </w:tc>
      </w:tr>
      <w:tr w:rsidR="00D816FD" w:rsidTr="00887B77">
        <w:trPr>
          <w:jc w:val="center"/>
        </w:trPr>
        <w:tc>
          <w:tcPr>
            <w:tcW w:w="0" w:type="auto"/>
          </w:tcPr>
          <w:p w:rsidR="00D816FD" w:rsidRDefault="00CC3384">
            <w:pPr>
              <w:pStyle w:val="Compact"/>
            </w:pPr>
            <m:oMathPara>
              <m:oMath>
                <m:sSub>
                  <m:sSubPr>
                    <m:ctrlPr>
                      <w:rPr>
                        <w:rFonts w:ascii="Cambria Math" w:hAnsi="Cambria Math"/>
                      </w:rPr>
                    </m:ctrlPr>
                  </m:sSubPr>
                  <m:e>
                    <m:r>
                      <w:rPr>
                        <w:rFonts w:ascii="Cambria Math" w:hAnsi="Cambria Math"/>
                      </w:rPr>
                      <m:t>N</m:t>
                    </m:r>
                  </m:e>
                  <m:sub>
                    <m:r>
                      <w:rPr>
                        <w:rFonts w:ascii="Cambria Math" w:hAnsi="Cambria Math"/>
                      </w:rPr>
                      <m:t>i</m:t>
                    </m:r>
                  </m:sub>
                </m:sSub>
              </m:oMath>
            </m:oMathPara>
          </w:p>
        </w:tc>
        <w:tc>
          <w:tcPr>
            <w:tcW w:w="0" w:type="auto"/>
          </w:tcPr>
          <w:p w:rsidR="00D816FD" w:rsidRDefault="00CC3384">
            <w:pPr>
              <w:pStyle w:val="Compact"/>
            </w:pPr>
            <w:r>
              <w:t xml:space="preserve">Number of sablefish in Chatham Strait at the beginning of time period </w:t>
            </w:r>
            <m:oMath>
              <m:r>
                <w:rPr>
                  <w:rFonts w:ascii="Cambria Math" w:hAnsi="Cambria Math"/>
                </w:rPr>
                <m:t>i</m:t>
              </m:r>
            </m:oMath>
          </w:p>
        </w:tc>
      </w:tr>
      <w:tr w:rsidR="00D816FD" w:rsidTr="00887B77">
        <w:trPr>
          <w:jc w:val="center"/>
        </w:trPr>
        <w:tc>
          <w:tcPr>
            <w:tcW w:w="0" w:type="auto"/>
          </w:tcPr>
          <w:p w:rsidR="00D816FD" w:rsidRDefault="00CC3384">
            <w:pPr>
              <w:pStyle w:val="Compact"/>
            </w:pPr>
            <m:oMathPara>
              <m:oMath>
                <m:sSub>
                  <m:sSubPr>
                    <m:ctrlPr>
                      <w:rPr>
                        <w:rFonts w:ascii="Cambria Math" w:hAnsi="Cambria Math"/>
                      </w:rPr>
                    </m:ctrlPr>
                  </m:sSubPr>
                  <m:e>
                    <m:r>
                      <w:rPr>
                        <w:rFonts w:ascii="Cambria Math" w:hAnsi="Cambria Math"/>
                      </w:rPr>
                      <m:t>D</m:t>
                    </m:r>
                  </m:e>
                  <m:sub>
                    <m:r>
                      <w:rPr>
                        <w:rFonts w:ascii="Cambria Math" w:hAnsi="Cambria Math"/>
                      </w:rPr>
                      <m:t>i</m:t>
                    </m:r>
                  </m:sub>
                </m:sSub>
              </m:oMath>
            </m:oMathPara>
          </w:p>
        </w:tc>
        <w:tc>
          <w:tcPr>
            <w:tcW w:w="0" w:type="auto"/>
          </w:tcPr>
          <w:p w:rsidR="00D816FD" w:rsidRDefault="00CC3384">
            <w:pPr>
              <w:pStyle w:val="Compact"/>
            </w:pPr>
            <w:r>
              <w:t xml:space="preserve">Number of tags lost in time period </w:t>
            </w:r>
            <m:oMath>
              <m:r>
                <w:rPr>
                  <w:rFonts w:ascii="Cambria Math" w:hAnsi="Cambria Math"/>
                </w:rPr>
                <m:t>i</m:t>
              </m:r>
            </m:oMath>
            <w:r>
              <w:t xml:space="preserve"> that should be decrement</w:t>
            </w:r>
            <w:r>
              <w:t>ed from the next time period</w:t>
            </w:r>
          </w:p>
        </w:tc>
      </w:tr>
      <w:tr w:rsidR="00D816FD" w:rsidTr="00887B77">
        <w:trPr>
          <w:jc w:val="center"/>
        </w:trPr>
        <w:tc>
          <w:tcPr>
            <w:tcW w:w="0" w:type="auto"/>
          </w:tcPr>
          <w:p w:rsidR="00D816FD" w:rsidRDefault="00CC3384">
            <w:pPr>
              <w:pStyle w:val="Compact"/>
            </w:pPr>
            <m:oMathPara>
              <m:oMath>
                <m:sSub>
                  <m:sSubPr>
                    <m:ctrlPr>
                      <w:rPr>
                        <w:rFonts w:ascii="Cambria Math" w:hAnsi="Cambria Math"/>
                      </w:rPr>
                    </m:ctrlPr>
                  </m:sSubPr>
                  <m:e>
                    <m:r>
                      <w:rPr>
                        <w:rFonts w:ascii="Cambria Math" w:hAnsi="Cambria Math"/>
                      </w:rPr>
                      <m:t>C</m:t>
                    </m:r>
                  </m:e>
                  <m:sub>
                    <m:r>
                      <w:rPr>
                        <w:rFonts w:ascii="Cambria Math" w:hAnsi="Cambria Math"/>
                      </w:rPr>
                      <m:t>i</m:t>
                    </m:r>
                  </m:sub>
                </m:sSub>
              </m:oMath>
            </m:oMathPara>
          </w:p>
        </w:tc>
        <w:tc>
          <w:tcPr>
            <w:tcW w:w="0" w:type="auto"/>
          </w:tcPr>
          <w:p w:rsidR="00D816FD" w:rsidRDefault="00CC3384">
            <w:pPr>
              <w:pStyle w:val="Compact"/>
            </w:pPr>
            <w:r>
              <w:t xml:space="preserve">Total catch (number of sablefish removed) during time period </w:t>
            </w:r>
            <m:oMath>
              <m:r>
                <w:rPr>
                  <w:rFonts w:ascii="Cambria Math" w:hAnsi="Cambria Math"/>
                </w:rPr>
                <m:t>i</m:t>
              </m:r>
            </m:oMath>
          </w:p>
        </w:tc>
      </w:tr>
      <w:tr w:rsidR="00D816FD" w:rsidTr="00887B77">
        <w:trPr>
          <w:jc w:val="center"/>
        </w:trPr>
        <w:tc>
          <w:tcPr>
            <w:tcW w:w="0" w:type="auto"/>
          </w:tcPr>
          <w:p w:rsidR="00D816FD" w:rsidRDefault="00CC3384">
            <w:pPr>
              <w:pStyle w:val="Compact"/>
            </w:pPr>
            <m:oMathPara>
              <m:oMath>
                <m:sSub>
                  <m:sSubPr>
                    <m:ctrlPr>
                      <w:rPr>
                        <w:rFonts w:ascii="Cambria Math" w:hAnsi="Cambria Math"/>
                      </w:rPr>
                    </m:ctrlPr>
                  </m:sSubPr>
                  <m:e>
                    <m:r>
                      <w:rPr>
                        <w:rFonts w:ascii="Cambria Math" w:hAnsi="Cambria Math"/>
                      </w:rPr>
                      <m:t>K</m:t>
                    </m:r>
                  </m:e>
                  <m:sub>
                    <m:r>
                      <w:rPr>
                        <w:rFonts w:ascii="Cambria Math" w:hAnsi="Cambria Math"/>
                      </w:rPr>
                      <m:t>i</m:t>
                    </m:r>
                  </m:sub>
                </m:sSub>
              </m:oMath>
            </m:oMathPara>
          </w:p>
        </w:tc>
        <w:tc>
          <w:tcPr>
            <w:tcW w:w="0" w:type="auto"/>
          </w:tcPr>
          <w:p w:rsidR="00D816FD" w:rsidRDefault="00CC3384">
            <w:pPr>
              <w:pStyle w:val="Compact"/>
            </w:pPr>
            <w:r>
              <w:t xml:space="preserve">Number of marked sablefish in Chatham Straight at the beginning of time period </w:t>
            </w:r>
            <m:oMath>
              <m:r>
                <w:rPr>
                  <w:rFonts w:ascii="Cambria Math" w:hAnsi="Cambria Math"/>
                </w:rPr>
                <m:t>i</m:t>
              </m:r>
            </m:oMath>
          </w:p>
        </w:tc>
      </w:tr>
      <w:tr w:rsidR="00D816FD" w:rsidTr="00887B77">
        <w:trPr>
          <w:jc w:val="center"/>
        </w:trPr>
        <w:tc>
          <w:tcPr>
            <w:tcW w:w="0" w:type="auto"/>
          </w:tcPr>
          <w:p w:rsidR="00D816FD" w:rsidRDefault="00CC3384">
            <w:pPr>
              <w:pStyle w:val="Compact"/>
            </w:pPr>
            <m:oMathPara>
              <m:oMath>
                <m:sSub>
                  <m:sSubPr>
                    <m:ctrlPr>
                      <w:rPr>
                        <w:rFonts w:ascii="Cambria Math" w:hAnsi="Cambria Math"/>
                      </w:rPr>
                    </m:ctrlPr>
                  </m:sSubPr>
                  <m:e>
                    <m:r>
                      <w:rPr>
                        <w:rFonts w:ascii="Cambria Math" w:hAnsi="Cambria Math"/>
                      </w:rPr>
                      <m:t>t</m:t>
                    </m:r>
                  </m:e>
                  <m:sub>
                    <m:r>
                      <w:rPr>
                        <w:rFonts w:ascii="Cambria Math" w:hAnsi="Cambria Math"/>
                      </w:rPr>
                      <m:t>i</m:t>
                    </m:r>
                  </m:sub>
                </m:sSub>
              </m:oMath>
            </m:oMathPara>
          </w:p>
        </w:tc>
        <w:tc>
          <w:tcPr>
            <w:tcW w:w="0" w:type="auto"/>
          </w:tcPr>
          <w:p w:rsidR="00D816FD" w:rsidRDefault="00CC3384">
            <w:pPr>
              <w:pStyle w:val="Compact"/>
            </w:pPr>
            <w:r>
              <w:t xml:space="preserve">Number of days in time period </w:t>
            </w:r>
            <m:oMath>
              <m:r>
                <w:rPr>
                  <w:rFonts w:ascii="Cambria Math" w:hAnsi="Cambria Math"/>
                </w:rPr>
                <m:t>i</m:t>
              </m:r>
            </m:oMath>
          </w:p>
        </w:tc>
      </w:tr>
      <w:tr w:rsidR="00D816FD" w:rsidTr="00887B77">
        <w:trPr>
          <w:jc w:val="center"/>
        </w:trPr>
        <w:tc>
          <w:tcPr>
            <w:tcW w:w="0" w:type="auto"/>
          </w:tcPr>
          <w:p w:rsidR="00D816FD" w:rsidRDefault="00CC3384">
            <w:pPr>
              <w:pStyle w:val="Compact"/>
            </w:pPr>
            <m:oMathPara>
              <m:oMath>
                <m:sSub>
                  <m:sSubPr>
                    <m:ctrlPr>
                      <w:rPr>
                        <w:rFonts w:ascii="Cambria Math" w:hAnsi="Cambria Math"/>
                      </w:rPr>
                    </m:ctrlPr>
                  </m:sSubPr>
                  <m:e>
                    <m:r>
                      <w:rPr>
                        <w:rFonts w:ascii="Cambria Math" w:hAnsi="Cambria Math"/>
                      </w:rPr>
                      <m:t>n</m:t>
                    </m:r>
                  </m:e>
                  <m:sub>
                    <m:r>
                      <w:rPr>
                        <w:rFonts w:ascii="Cambria Math" w:hAnsi="Cambria Math"/>
                      </w:rPr>
                      <m:t>i</m:t>
                    </m:r>
                  </m:sub>
                </m:sSub>
              </m:oMath>
            </m:oMathPara>
          </w:p>
        </w:tc>
        <w:tc>
          <w:tcPr>
            <w:tcW w:w="0" w:type="auto"/>
          </w:tcPr>
          <w:p w:rsidR="00D816FD" w:rsidRDefault="00CC3384">
            <w:pPr>
              <w:pStyle w:val="Compact"/>
            </w:pPr>
            <w:r>
              <w:t xml:space="preserve">Observed catch during period </w:t>
            </w:r>
            <m:oMath>
              <m:r>
                <w:rPr>
                  <w:rFonts w:ascii="Cambria Math" w:hAnsi="Cambria Math"/>
                </w:rPr>
                <m:t>i</m:t>
              </m:r>
            </m:oMath>
            <w:r>
              <w:t xml:space="preserve"> (number of marked and unmarked sablefish that were checked for clips or tags in the ADF&amp;G longline survey)</w:t>
            </w:r>
          </w:p>
        </w:tc>
      </w:tr>
      <w:tr w:rsidR="00D816FD" w:rsidTr="00887B77">
        <w:trPr>
          <w:jc w:val="center"/>
        </w:trPr>
        <w:tc>
          <w:tcPr>
            <w:tcW w:w="0" w:type="auto"/>
          </w:tcPr>
          <w:p w:rsidR="00D816FD" w:rsidRDefault="00CC3384">
            <w:pPr>
              <w:pStyle w:val="Compact"/>
            </w:pPr>
            <m:oMathPara>
              <m:oMath>
                <m:sSub>
                  <m:sSubPr>
                    <m:ctrlPr>
                      <w:rPr>
                        <w:rFonts w:ascii="Cambria Math" w:hAnsi="Cambria Math"/>
                      </w:rPr>
                    </m:ctrlPr>
                  </m:sSubPr>
                  <m:e>
                    <m:r>
                      <w:rPr>
                        <w:rFonts w:ascii="Cambria Math" w:hAnsi="Cambria Math"/>
                      </w:rPr>
                      <m:t>k</m:t>
                    </m:r>
                  </m:e>
                  <m:sub>
                    <m:r>
                      <w:rPr>
                        <w:rFonts w:ascii="Cambria Math" w:hAnsi="Cambria Math"/>
                      </w:rPr>
                      <m:t>i</m:t>
                    </m:r>
                  </m:sub>
                </m:sSub>
              </m:oMath>
            </m:oMathPara>
          </w:p>
        </w:tc>
        <w:tc>
          <w:tcPr>
            <w:tcW w:w="0" w:type="auto"/>
          </w:tcPr>
          <w:p w:rsidR="00D816FD" w:rsidRDefault="00CC3384">
            <w:pPr>
              <w:pStyle w:val="Compact"/>
            </w:pPr>
            <w:r>
              <w:t xml:space="preserve">Number of marked fish recovered in period </w:t>
            </w:r>
            <m:oMath>
              <m:r>
                <w:rPr>
                  <w:rFonts w:ascii="Cambria Math" w:hAnsi="Cambria Math"/>
                </w:rPr>
                <m:t>i</m:t>
              </m:r>
            </m:oMath>
            <w:r>
              <w:t xml:space="preserve"> (tags in the ADF&amp;G longline survey)</w:t>
            </w:r>
          </w:p>
        </w:tc>
      </w:tr>
      <w:tr w:rsidR="00D816FD" w:rsidTr="00887B77">
        <w:trPr>
          <w:jc w:val="center"/>
        </w:trPr>
        <w:tc>
          <w:tcPr>
            <w:tcW w:w="0" w:type="auto"/>
          </w:tcPr>
          <w:p w:rsidR="00D816FD" w:rsidRDefault="00CC3384">
            <w:pPr>
              <w:pStyle w:val="Compact"/>
            </w:pPr>
            <m:oMathPara>
              <m:oMath>
                <m:sSub>
                  <m:sSubPr>
                    <m:ctrlPr>
                      <w:rPr>
                        <w:rFonts w:ascii="Cambria Math" w:hAnsi="Cambria Math"/>
                      </w:rPr>
                    </m:ctrlPr>
                  </m:sSubPr>
                  <m:e>
                    <m:r>
                      <w:rPr>
                        <w:rFonts w:ascii="Cambria Math" w:hAnsi="Cambria Math"/>
                      </w:rPr>
                      <m:t>p</m:t>
                    </m:r>
                  </m:e>
                  <m:sub>
                    <m:r>
                      <w:rPr>
                        <w:rFonts w:ascii="Cambria Math" w:hAnsi="Cambria Math"/>
                      </w:rPr>
                      <m:t>i</m:t>
                    </m:r>
                  </m:sub>
                </m:sSub>
              </m:oMath>
            </m:oMathPara>
          </w:p>
        </w:tc>
        <w:tc>
          <w:tcPr>
            <w:tcW w:w="0" w:type="auto"/>
          </w:tcPr>
          <w:p w:rsidR="00D816FD" w:rsidRDefault="00CC3384">
            <w:pPr>
              <w:pStyle w:val="Compact"/>
            </w:pPr>
            <w:r>
              <w:t>Probability of recapture</w:t>
            </w:r>
            <w:r>
              <w:t xml:space="preserve"> in time period </w:t>
            </w:r>
            <m:oMath>
              <m:r>
                <w:rPr>
                  <w:rFonts w:ascii="Cambria Math" w:hAnsi="Cambria Math"/>
                </w:rPr>
                <m:t>i</m:t>
              </m:r>
            </m:oMath>
          </w:p>
        </w:tc>
      </w:tr>
      <w:tr w:rsidR="00D816FD" w:rsidTr="00887B77">
        <w:trPr>
          <w:jc w:val="center"/>
        </w:trPr>
        <w:tc>
          <w:tcPr>
            <w:tcW w:w="0" w:type="auto"/>
          </w:tcPr>
          <w:p w:rsidR="00D816FD" w:rsidRDefault="00CC3384">
            <w:pPr>
              <w:pStyle w:val="Compact"/>
            </w:pPr>
            <m:oMathPara>
              <m:oMath>
                <m:r>
                  <w:rPr>
                    <w:rFonts w:ascii="Cambria Math" w:hAnsi="Cambria Math"/>
                  </w:rPr>
                  <m:t>M</m:t>
                </m:r>
              </m:oMath>
            </m:oMathPara>
          </w:p>
        </w:tc>
        <w:tc>
          <w:tcPr>
            <w:tcW w:w="0" w:type="auto"/>
          </w:tcPr>
          <w:p w:rsidR="00D816FD" w:rsidRDefault="00CC3384">
            <w:pPr>
              <w:pStyle w:val="Compact"/>
            </w:pPr>
            <w:r>
              <w:t>Natural mortality decremented daily and fixed at 0.1 following Johnson and Quinn (1988)</w:t>
            </w:r>
          </w:p>
        </w:tc>
      </w:tr>
      <w:tr w:rsidR="00D816FD" w:rsidTr="00887B77">
        <w:trPr>
          <w:jc w:val="center"/>
        </w:trPr>
        <w:tc>
          <w:tcPr>
            <w:tcW w:w="0" w:type="auto"/>
          </w:tcPr>
          <w:p w:rsidR="00D816FD" w:rsidRDefault="00CC3384">
            <w:pPr>
              <w:pStyle w:val="Compact"/>
            </w:pPr>
            <m:oMathPara>
              <m:oMath>
                <m:r>
                  <w:rPr>
                    <w:rFonts w:ascii="Cambria Math" w:hAnsi="Cambria Math"/>
                  </w:rPr>
                  <m:t>r</m:t>
                </m:r>
              </m:oMath>
            </m:oMathPara>
          </w:p>
        </w:tc>
        <w:tc>
          <w:tcPr>
            <w:tcW w:w="0" w:type="auto"/>
          </w:tcPr>
          <w:p w:rsidR="00D816FD" w:rsidRDefault="00CC3384">
            <w:pPr>
              <w:pStyle w:val="Compact"/>
            </w:pPr>
            <w:r>
              <w:t>Net number of unmarked individuals entering or leaving Chatham Strait (migration parameter)</w:t>
            </w:r>
          </w:p>
        </w:tc>
      </w:tr>
      <w:tr w:rsidR="00D816FD" w:rsidTr="00887B77">
        <w:trPr>
          <w:jc w:val="center"/>
        </w:trPr>
        <w:tc>
          <w:tcPr>
            <w:tcW w:w="0" w:type="auto"/>
          </w:tcPr>
          <w:p w:rsidR="00D816FD" w:rsidRDefault="00CC3384">
            <w:pPr>
              <w:pStyle w:val="Compact"/>
            </w:pPr>
            <m:oMathPara>
              <m:oMath>
                <m:r>
                  <w:rPr>
                    <w:rFonts w:ascii="Cambria Math" w:hAnsi="Cambria Math"/>
                  </w:rPr>
                  <m:t>q</m:t>
                </m:r>
              </m:oMath>
            </m:oMathPara>
          </w:p>
        </w:tc>
        <w:tc>
          <w:tcPr>
            <w:tcW w:w="0" w:type="auto"/>
          </w:tcPr>
          <w:p w:rsidR="00D816FD" w:rsidRDefault="00CC3384">
            <w:pPr>
              <w:pStyle w:val="Compact"/>
            </w:pPr>
            <w:r>
              <w:t xml:space="preserve">Catchability coefficient for the fishery relating fishery CPUE in period </w:t>
            </w:r>
            <m:oMath>
              <m:r>
                <w:rPr>
                  <w:rFonts w:ascii="Cambria Math" w:hAnsi="Cambria Math"/>
                </w:rPr>
                <m:t>i</m:t>
              </m:r>
            </m:oMath>
            <w:r>
              <w:t xml:space="preserve"> to sablefish abundance </w:t>
            </w:r>
            <m:oMath>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r>
                <w:rPr>
                  <w:rFonts w:ascii="Cambria Math" w:hAnsi="Cambria Math"/>
                </w:rPr>
                <m:t>q</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oMath>
          </w:p>
        </w:tc>
      </w:tr>
      <w:tr w:rsidR="00D816FD" w:rsidTr="00887B77">
        <w:trPr>
          <w:jc w:val="center"/>
        </w:trPr>
        <w:tc>
          <w:tcPr>
            <w:tcW w:w="0" w:type="auto"/>
          </w:tcPr>
          <w:p w:rsidR="00D816FD" w:rsidRDefault="00CC3384">
            <w:pPr>
              <w:pStyle w:val="Compact"/>
            </w:pPr>
            <m:oMathPara>
              <m:oMath>
                <m:r>
                  <w:rPr>
                    <w:rFonts w:ascii="Cambria Math" w:hAnsi="Cambria Math"/>
                  </w:rPr>
                  <m:t>P</m:t>
                </m:r>
              </m:oMath>
            </m:oMathPara>
          </w:p>
        </w:tc>
        <w:tc>
          <w:tcPr>
            <w:tcW w:w="0" w:type="auto"/>
          </w:tcPr>
          <w:p w:rsidR="00D816FD" w:rsidRDefault="00CC3384">
            <w:pPr>
              <w:pStyle w:val="Compact"/>
            </w:pPr>
            <w:r>
              <w:t>Total number of time periods</w:t>
            </w:r>
          </w:p>
        </w:tc>
      </w:tr>
    </w:tbl>
    <w:p w:rsidR="00887B77" w:rsidRDefault="00887B77">
      <w:pPr>
        <w:pStyle w:val="BodyText"/>
      </w:pPr>
    </w:p>
    <w:p w:rsidR="00887B77" w:rsidRDefault="00887B77" w:rsidP="00887B77">
      <w:pPr>
        <w:pStyle w:val="BodyText"/>
      </w:pPr>
      <w:r>
        <w:br w:type="page"/>
      </w:r>
    </w:p>
    <w:p w:rsidR="00D816FD" w:rsidRDefault="00CC3384">
      <w:pPr>
        <w:pStyle w:val="BodyText"/>
      </w:pPr>
      <w:r>
        <w:lastRenderedPageBreak/>
        <w:t>T</w:t>
      </w:r>
      <w:r>
        <w:t>able 2. A summary of data inputs to the mark-recapture models, including marked individuals (</w:t>
      </w:r>
      <m:oMath>
        <m:sSub>
          <m:sSubPr>
            <m:ctrlPr>
              <w:rPr>
                <w:rFonts w:ascii="Cambria Math" w:hAnsi="Cambria Math"/>
              </w:rPr>
            </m:ctrlPr>
          </m:sSubPr>
          <m:e>
            <m:r>
              <w:rPr>
                <w:rFonts w:ascii="Cambria Math" w:hAnsi="Cambria Math"/>
              </w:rPr>
              <m:t>K</m:t>
            </m:r>
          </m:e>
          <m:sub>
            <m:r>
              <w:rPr>
                <w:rFonts w:ascii="Cambria Math" w:hAnsi="Cambria Math"/>
              </w:rPr>
              <m:t>0</m:t>
            </m:r>
          </m:sub>
        </m:sSub>
      </m:oMath>
      <w:r>
        <w:t>), reca</w:t>
      </w:r>
      <w:r>
        <w:t>ptured individuals (</w:t>
      </w:r>
      <m:oMath>
        <m:r>
          <w:rPr>
            <w:rFonts w:ascii="Cambria Math" w:hAnsi="Cambria Math"/>
          </w:rPr>
          <m:t>k</m:t>
        </m:r>
      </m:oMath>
      <w:r>
        <w:t>), sampled individuals (</w:t>
      </w:r>
      <m:oMath>
        <m:r>
          <w:rPr>
            <w:rFonts w:ascii="Cambria Math" w:hAnsi="Cambria Math"/>
          </w:rPr>
          <m:t>n</m:t>
        </m:r>
      </m:oMath>
      <w:r>
        <w:t>), tags recaptured before the longline survey (</w:t>
      </w:r>
      <m:oMath>
        <m:sSub>
          <m:sSubPr>
            <m:ctrlPr>
              <w:rPr>
                <w:rFonts w:ascii="Cambria Math" w:hAnsi="Cambria Math"/>
              </w:rPr>
            </m:ctrlPr>
          </m:sSubPr>
          <m:e>
            <m:r>
              <w:rPr>
                <w:rFonts w:ascii="Cambria Math" w:hAnsi="Cambria Math"/>
              </w:rPr>
              <m:t>D</m:t>
            </m:r>
          </m:e>
          <m:sub>
            <m:r>
              <w:rPr>
                <w:rFonts w:ascii="Cambria Math" w:hAnsi="Cambria Math"/>
              </w:rPr>
              <m:t>0</m:t>
            </m:r>
          </m:sub>
        </m:sSub>
      </m:oMath>
      <w:r>
        <w:t>), and during the survey or the fishery (</w:t>
      </w:r>
      <m:oMath>
        <m:r>
          <w:rPr>
            <w:rFonts w:ascii="Cambria Math" w:hAnsi="Cambria Math"/>
          </w:rPr>
          <m:t>D</m:t>
        </m:r>
      </m:oMath>
      <w:r>
        <w:t>) for years with a mark survey from 2005 to 2017.</w:t>
      </w:r>
    </w:p>
    <w:tbl>
      <w:tblPr>
        <w:tblW w:w="0" w:type="pct"/>
        <w:jc w:val="center"/>
        <w:tblLook w:val="07E0" w:firstRow="1" w:lastRow="1" w:firstColumn="1" w:lastColumn="1" w:noHBand="1" w:noVBand="1"/>
      </w:tblPr>
      <w:tblGrid>
        <w:gridCol w:w="748"/>
        <w:gridCol w:w="797"/>
        <w:gridCol w:w="482"/>
        <w:gridCol w:w="930"/>
        <w:gridCol w:w="482"/>
        <w:gridCol w:w="482"/>
      </w:tblGrid>
      <w:tr w:rsidR="00D816FD" w:rsidTr="00887B77">
        <w:trPr>
          <w:jc w:val="center"/>
        </w:trPr>
        <w:tc>
          <w:tcPr>
            <w:tcW w:w="0" w:type="auto"/>
            <w:tcBorders>
              <w:bottom w:val="single" w:sz="0" w:space="0" w:color="auto"/>
            </w:tcBorders>
            <w:vAlign w:val="bottom"/>
          </w:tcPr>
          <w:p w:rsidR="00D816FD" w:rsidRDefault="00CC3384">
            <w:pPr>
              <w:pStyle w:val="Compact"/>
            </w:pPr>
            <w:r>
              <w:t>Year</w:t>
            </w:r>
          </w:p>
        </w:tc>
        <w:tc>
          <w:tcPr>
            <w:tcW w:w="0" w:type="auto"/>
            <w:tcBorders>
              <w:bottom w:val="single" w:sz="0" w:space="0" w:color="auto"/>
            </w:tcBorders>
            <w:vAlign w:val="bottom"/>
          </w:tcPr>
          <w:p w:rsidR="00D816FD" w:rsidRDefault="00CC3384">
            <w:pPr>
              <w:pStyle w:val="Compact"/>
              <w:jc w:val="right"/>
            </w:pPr>
            <m:oMathPara>
              <m:oMath>
                <m:sSub>
                  <m:sSubPr>
                    <m:ctrlPr>
                      <w:rPr>
                        <w:rFonts w:ascii="Cambria Math" w:hAnsi="Cambria Math"/>
                      </w:rPr>
                    </m:ctrlPr>
                  </m:sSubPr>
                  <m:e>
                    <m:r>
                      <w:rPr>
                        <w:rFonts w:ascii="Cambria Math" w:hAnsi="Cambria Math"/>
                      </w:rPr>
                      <m:t>K</m:t>
                    </m:r>
                  </m:e>
                  <m:sub>
                    <m:r>
                      <w:rPr>
                        <w:rFonts w:ascii="Cambria Math" w:hAnsi="Cambria Math"/>
                      </w:rPr>
                      <m:t>0</m:t>
                    </m:r>
                  </m:sub>
                </m:sSub>
              </m:oMath>
            </m:oMathPara>
          </w:p>
        </w:tc>
        <w:tc>
          <w:tcPr>
            <w:tcW w:w="0" w:type="auto"/>
            <w:tcBorders>
              <w:bottom w:val="single" w:sz="0" w:space="0" w:color="auto"/>
            </w:tcBorders>
            <w:vAlign w:val="bottom"/>
          </w:tcPr>
          <w:p w:rsidR="00D816FD" w:rsidRDefault="00CC3384">
            <w:pPr>
              <w:pStyle w:val="Compact"/>
              <w:jc w:val="right"/>
            </w:pPr>
            <m:oMathPara>
              <m:oMath>
                <m:r>
                  <w:rPr>
                    <w:rFonts w:ascii="Cambria Math" w:hAnsi="Cambria Math"/>
                  </w:rPr>
                  <m:t>k</m:t>
                </m:r>
              </m:oMath>
            </m:oMathPara>
          </w:p>
        </w:tc>
        <w:tc>
          <w:tcPr>
            <w:tcW w:w="0" w:type="auto"/>
            <w:tcBorders>
              <w:bottom w:val="single" w:sz="0" w:space="0" w:color="auto"/>
            </w:tcBorders>
            <w:vAlign w:val="bottom"/>
          </w:tcPr>
          <w:p w:rsidR="00D816FD" w:rsidRDefault="00CC3384">
            <w:pPr>
              <w:pStyle w:val="Compact"/>
              <w:jc w:val="right"/>
            </w:pPr>
            <m:oMathPara>
              <m:oMath>
                <m:r>
                  <w:rPr>
                    <w:rFonts w:ascii="Cambria Math" w:hAnsi="Cambria Math"/>
                  </w:rPr>
                  <m:t>n</m:t>
                </m:r>
              </m:oMath>
            </m:oMathPara>
          </w:p>
        </w:tc>
        <w:tc>
          <w:tcPr>
            <w:tcW w:w="0" w:type="auto"/>
            <w:tcBorders>
              <w:bottom w:val="single" w:sz="0" w:space="0" w:color="auto"/>
            </w:tcBorders>
            <w:vAlign w:val="bottom"/>
          </w:tcPr>
          <w:p w:rsidR="00D816FD" w:rsidRDefault="00CC3384">
            <w:pPr>
              <w:pStyle w:val="Compact"/>
              <w:jc w:val="right"/>
            </w:pPr>
            <m:oMathPara>
              <m:oMath>
                <m:sSub>
                  <m:sSubPr>
                    <m:ctrlPr>
                      <w:rPr>
                        <w:rFonts w:ascii="Cambria Math" w:hAnsi="Cambria Math"/>
                      </w:rPr>
                    </m:ctrlPr>
                  </m:sSubPr>
                  <m:e>
                    <m:r>
                      <w:rPr>
                        <w:rFonts w:ascii="Cambria Math" w:hAnsi="Cambria Math"/>
                      </w:rPr>
                      <m:t>D</m:t>
                    </m:r>
                  </m:e>
                  <m:sub>
                    <m:r>
                      <w:rPr>
                        <w:rFonts w:ascii="Cambria Math" w:hAnsi="Cambria Math"/>
                      </w:rPr>
                      <m:t>0</m:t>
                    </m:r>
                  </m:sub>
                </m:sSub>
              </m:oMath>
            </m:oMathPara>
          </w:p>
        </w:tc>
        <w:tc>
          <w:tcPr>
            <w:tcW w:w="0" w:type="auto"/>
            <w:tcBorders>
              <w:bottom w:val="single" w:sz="0" w:space="0" w:color="auto"/>
            </w:tcBorders>
            <w:vAlign w:val="bottom"/>
          </w:tcPr>
          <w:p w:rsidR="00D816FD" w:rsidRDefault="00CC3384">
            <w:pPr>
              <w:pStyle w:val="Compact"/>
              <w:jc w:val="right"/>
            </w:pPr>
            <m:oMathPara>
              <m:oMath>
                <m:r>
                  <w:rPr>
                    <w:rFonts w:ascii="Cambria Math" w:hAnsi="Cambria Math"/>
                  </w:rPr>
                  <m:t>D</m:t>
                </m:r>
              </m:oMath>
            </m:oMathPara>
          </w:p>
        </w:tc>
      </w:tr>
      <w:tr w:rsidR="00D816FD" w:rsidTr="00887B77">
        <w:trPr>
          <w:jc w:val="center"/>
        </w:trPr>
        <w:tc>
          <w:tcPr>
            <w:tcW w:w="0" w:type="auto"/>
          </w:tcPr>
          <w:p w:rsidR="00D816FD" w:rsidRDefault="00CC3384">
            <w:pPr>
              <w:pStyle w:val="Compact"/>
            </w:pPr>
            <w:r>
              <w:t>2005</w:t>
            </w:r>
          </w:p>
        </w:tc>
        <w:tc>
          <w:tcPr>
            <w:tcW w:w="0" w:type="auto"/>
          </w:tcPr>
          <w:p w:rsidR="00D816FD" w:rsidRDefault="00CC3384">
            <w:pPr>
              <w:pStyle w:val="Compact"/>
              <w:jc w:val="right"/>
            </w:pPr>
            <w:r>
              <w:t>7,118</w:t>
            </w:r>
          </w:p>
        </w:tc>
        <w:tc>
          <w:tcPr>
            <w:tcW w:w="0" w:type="auto"/>
          </w:tcPr>
          <w:p w:rsidR="00D816FD" w:rsidRDefault="00CC3384">
            <w:pPr>
              <w:pStyle w:val="Compact"/>
              <w:jc w:val="right"/>
            </w:pPr>
            <w:r>
              <w:t>60</w:t>
            </w:r>
          </w:p>
        </w:tc>
        <w:tc>
          <w:tcPr>
            <w:tcW w:w="0" w:type="auto"/>
          </w:tcPr>
          <w:p w:rsidR="00D816FD" w:rsidRDefault="00CC3384">
            <w:pPr>
              <w:pStyle w:val="Compact"/>
              <w:jc w:val="right"/>
            </w:pPr>
            <w:r>
              <w:t>17,495</w:t>
            </w:r>
          </w:p>
        </w:tc>
        <w:tc>
          <w:tcPr>
            <w:tcW w:w="0" w:type="auto"/>
          </w:tcPr>
          <w:p w:rsidR="00D816FD" w:rsidRDefault="00CC3384">
            <w:pPr>
              <w:pStyle w:val="Compact"/>
              <w:jc w:val="right"/>
            </w:pPr>
            <w:r>
              <w:t>9</w:t>
            </w:r>
          </w:p>
        </w:tc>
        <w:tc>
          <w:tcPr>
            <w:tcW w:w="0" w:type="auto"/>
          </w:tcPr>
          <w:p w:rsidR="00D816FD" w:rsidRDefault="00CC3384">
            <w:pPr>
              <w:pStyle w:val="Compact"/>
              <w:jc w:val="right"/>
            </w:pPr>
            <w:r>
              <w:t>44</w:t>
            </w:r>
          </w:p>
        </w:tc>
      </w:tr>
      <w:tr w:rsidR="00D816FD" w:rsidTr="00887B77">
        <w:trPr>
          <w:jc w:val="center"/>
        </w:trPr>
        <w:tc>
          <w:tcPr>
            <w:tcW w:w="0" w:type="auto"/>
          </w:tcPr>
          <w:p w:rsidR="00D816FD" w:rsidRDefault="00CC3384">
            <w:pPr>
              <w:pStyle w:val="Compact"/>
            </w:pPr>
            <w:r>
              <w:t>2006</w:t>
            </w:r>
          </w:p>
        </w:tc>
        <w:tc>
          <w:tcPr>
            <w:tcW w:w="0" w:type="auto"/>
          </w:tcPr>
          <w:p w:rsidR="00D816FD" w:rsidRDefault="00CC3384">
            <w:pPr>
              <w:pStyle w:val="Compact"/>
              <w:jc w:val="right"/>
            </w:pPr>
            <w:r>
              <w:t>5,325</w:t>
            </w:r>
          </w:p>
        </w:tc>
        <w:tc>
          <w:tcPr>
            <w:tcW w:w="0" w:type="auto"/>
          </w:tcPr>
          <w:p w:rsidR="00D816FD" w:rsidRDefault="00CC3384">
            <w:pPr>
              <w:pStyle w:val="Compact"/>
              <w:jc w:val="right"/>
            </w:pPr>
            <w:r>
              <w:t>26</w:t>
            </w:r>
          </w:p>
        </w:tc>
        <w:tc>
          <w:tcPr>
            <w:tcW w:w="0" w:type="auto"/>
          </w:tcPr>
          <w:p w:rsidR="00D816FD" w:rsidRDefault="00CC3384">
            <w:pPr>
              <w:pStyle w:val="Compact"/>
              <w:jc w:val="right"/>
            </w:pPr>
            <w:r>
              <w:t>14,481</w:t>
            </w:r>
          </w:p>
        </w:tc>
        <w:tc>
          <w:tcPr>
            <w:tcW w:w="0" w:type="auto"/>
          </w:tcPr>
          <w:p w:rsidR="00D816FD" w:rsidRDefault="00CC3384">
            <w:pPr>
              <w:pStyle w:val="Compact"/>
              <w:jc w:val="right"/>
            </w:pPr>
            <w:r>
              <w:t>3</w:t>
            </w:r>
          </w:p>
        </w:tc>
        <w:tc>
          <w:tcPr>
            <w:tcW w:w="0" w:type="auto"/>
          </w:tcPr>
          <w:p w:rsidR="00D816FD" w:rsidRDefault="00CC3384">
            <w:pPr>
              <w:pStyle w:val="Compact"/>
              <w:jc w:val="right"/>
            </w:pPr>
            <w:r>
              <w:t>20</w:t>
            </w:r>
          </w:p>
        </w:tc>
      </w:tr>
      <w:tr w:rsidR="00D816FD" w:rsidTr="00887B77">
        <w:trPr>
          <w:jc w:val="center"/>
        </w:trPr>
        <w:tc>
          <w:tcPr>
            <w:tcW w:w="0" w:type="auto"/>
          </w:tcPr>
          <w:p w:rsidR="00D816FD" w:rsidRDefault="00CC3384">
            <w:pPr>
              <w:pStyle w:val="Compact"/>
            </w:pPr>
            <w:r>
              <w:t>2007</w:t>
            </w:r>
          </w:p>
        </w:tc>
        <w:tc>
          <w:tcPr>
            <w:tcW w:w="0" w:type="auto"/>
          </w:tcPr>
          <w:p w:rsidR="00D816FD" w:rsidRDefault="00CC3384">
            <w:pPr>
              <w:pStyle w:val="Compact"/>
              <w:jc w:val="right"/>
            </w:pPr>
            <w:r>
              <w:t>6,157</w:t>
            </w:r>
          </w:p>
        </w:tc>
        <w:tc>
          <w:tcPr>
            <w:tcW w:w="0" w:type="auto"/>
          </w:tcPr>
          <w:p w:rsidR="00D816FD" w:rsidRDefault="00CC3384">
            <w:pPr>
              <w:pStyle w:val="Compact"/>
              <w:jc w:val="right"/>
            </w:pPr>
            <w:r>
              <w:t>33</w:t>
            </w:r>
          </w:p>
        </w:tc>
        <w:tc>
          <w:tcPr>
            <w:tcW w:w="0" w:type="auto"/>
          </w:tcPr>
          <w:p w:rsidR="00D816FD" w:rsidRDefault="00CC3384">
            <w:pPr>
              <w:pStyle w:val="Compact"/>
              <w:jc w:val="right"/>
            </w:pPr>
            <w:r>
              <w:t>15,253</w:t>
            </w:r>
          </w:p>
        </w:tc>
        <w:tc>
          <w:tcPr>
            <w:tcW w:w="0" w:type="auto"/>
          </w:tcPr>
          <w:p w:rsidR="00D816FD" w:rsidRDefault="00CC3384">
            <w:pPr>
              <w:pStyle w:val="Compact"/>
              <w:jc w:val="right"/>
            </w:pPr>
            <w:r>
              <w:t>2</w:t>
            </w:r>
          </w:p>
        </w:tc>
        <w:tc>
          <w:tcPr>
            <w:tcW w:w="0" w:type="auto"/>
          </w:tcPr>
          <w:p w:rsidR="00D816FD" w:rsidRDefault="00CC3384">
            <w:pPr>
              <w:pStyle w:val="Compact"/>
              <w:jc w:val="right"/>
            </w:pPr>
            <w:r>
              <w:t>10</w:t>
            </w:r>
          </w:p>
        </w:tc>
      </w:tr>
      <w:tr w:rsidR="00D816FD" w:rsidTr="00887B77">
        <w:trPr>
          <w:jc w:val="center"/>
        </w:trPr>
        <w:tc>
          <w:tcPr>
            <w:tcW w:w="0" w:type="auto"/>
          </w:tcPr>
          <w:p w:rsidR="00D816FD" w:rsidRDefault="00CC3384">
            <w:pPr>
              <w:pStyle w:val="Compact"/>
            </w:pPr>
            <w:r>
              <w:t>2008</w:t>
            </w:r>
          </w:p>
        </w:tc>
        <w:tc>
          <w:tcPr>
            <w:tcW w:w="0" w:type="auto"/>
          </w:tcPr>
          <w:p w:rsidR="00D816FD" w:rsidRDefault="00CC3384">
            <w:pPr>
              <w:pStyle w:val="Compact"/>
              <w:jc w:val="right"/>
            </w:pPr>
            <w:r>
              <w:t>5,450</w:t>
            </w:r>
          </w:p>
        </w:tc>
        <w:tc>
          <w:tcPr>
            <w:tcW w:w="0" w:type="auto"/>
          </w:tcPr>
          <w:p w:rsidR="00D816FD" w:rsidRDefault="00CC3384">
            <w:pPr>
              <w:pStyle w:val="Compact"/>
              <w:jc w:val="right"/>
            </w:pPr>
            <w:r>
              <w:t>42</w:t>
            </w:r>
          </w:p>
        </w:tc>
        <w:tc>
          <w:tcPr>
            <w:tcW w:w="0" w:type="auto"/>
          </w:tcPr>
          <w:p w:rsidR="00D816FD" w:rsidRDefault="00CC3384">
            <w:pPr>
              <w:pStyle w:val="Compact"/>
              <w:jc w:val="right"/>
            </w:pPr>
            <w:r>
              <w:t>15,483</w:t>
            </w:r>
          </w:p>
        </w:tc>
        <w:tc>
          <w:tcPr>
            <w:tcW w:w="0" w:type="auto"/>
          </w:tcPr>
          <w:p w:rsidR="00D816FD" w:rsidRDefault="00CC3384">
            <w:pPr>
              <w:pStyle w:val="Compact"/>
              <w:jc w:val="right"/>
            </w:pPr>
            <w:r>
              <w:t>4</w:t>
            </w:r>
          </w:p>
        </w:tc>
        <w:tc>
          <w:tcPr>
            <w:tcW w:w="0" w:type="auto"/>
          </w:tcPr>
          <w:p w:rsidR="00D816FD" w:rsidRDefault="00CC3384">
            <w:pPr>
              <w:pStyle w:val="Compact"/>
              <w:jc w:val="right"/>
            </w:pPr>
            <w:r>
              <w:t>12</w:t>
            </w:r>
          </w:p>
        </w:tc>
      </w:tr>
      <w:tr w:rsidR="00D816FD" w:rsidTr="00887B77">
        <w:trPr>
          <w:jc w:val="center"/>
        </w:trPr>
        <w:tc>
          <w:tcPr>
            <w:tcW w:w="0" w:type="auto"/>
          </w:tcPr>
          <w:p w:rsidR="00D816FD" w:rsidRDefault="00CC3384">
            <w:pPr>
              <w:pStyle w:val="Compact"/>
            </w:pPr>
            <w:r>
              <w:t>2009</w:t>
            </w:r>
          </w:p>
        </w:tc>
        <w:tc>
          <w:tcPr>
            <w:tcW w:w="0" w:type="auto"/>
          </w:tcPr>
          <w:p w:rsidR="00D816FD" w:rsidRDefault="00CC3384">
            <w:pPr>
              <w:pStyle w:val="Compact"/>
              <w:jc w:val="right"/>
            </w:pPr>
            <w:r>
              <w:t>7,071</w:t>
            </w:r>
          </w:p>
        </w:tc>
        <w:tc>
          <w:tcPr>
            <w:tcW w:w="0" w:type="auto"/>
          </w:tcPr>
          <w:p w:rsidR="00D816FD" w:rsidRDefault="00CC3384">
            <w:pPr>
              <w:pStyle w:val="Compact"/>
              <w:jc w:val="right"/>
            </w:pPr>
            <w:r>
              <w:t>42</w:t>
            </w:r>
          </w:p>
        </w:tc>
        <w:tc>
          <w:tcPr>
            <w:tcW w:w="0" w:type="auto"/>
          </w:tcPr>
          <w:p w:rsidR="00D816FD" w:rsidRDefault="00CC3384">
            <w:pPr>
              <w:pStyle w:val="Compact"/>
              <w:jc w:val="right"/>
            </w:pPr>
            <w:r>
              <w:t>14,946</w:t>
            </w:r>
          </w:p>
        </w:tc>
        <w:tc>
          <w:tcPr>
            <w:tcW w:w="0" w:type="auto"/>
          </w:tcPr>
          <w:p w:rsidR="00D816FD" w:rsidRDefault="00CC3384">
            <w:pPr>
              <w:pStyle w:val="Compact"/>
              <w:jc w:val="right"/>
            </w:pPr>
            <w:r>
              <w:t>7</w:t>
            </w:r>
          </w:p>
        </w:tc>
        <w:tc>
          <w:tcPr>
            <w:tcW w:w="0" w:type="auto"/>
          </w:tcPr>
          <w:p w:rsidR="00D816FD" w:rsidRDefault="00CC3384">
            <w:pPr>
              <w:pStyle w:val="Compact"/>
              <w:jc w:val="right"/>
            </w:pPr>
            <w:r>
              <w:t>9</w:t>
            </w:r>
          </w:p>
        </w:tc>
      </w:tr>
      <w:tr w:rsidR="00D816FD" w:rsidTr="00887B77">
        <w:trPr>
          <w:jc w:val="center"/>
        </w:trPr>
        <w:tc>
          <w:tcPr>
            <w:tcW w:w="0" w:type="auto"/>
          </w:tcPr>
          <w:p w:rsidR="00D816FD" w:rsidRDefault="00CC3384">
            <w:pPr>
              <w:pStyle w:val="Compact"/>
            </w:pPr>
            <w:r>
              <w:t>2010</w:t>
            </w:r>
          </w:p>
        </w:tc>
        <w:tc>
          <w:tcPr>
            <w:tcW w:w="0" w:type="auto"/>
          </w:tcPr>
          <w:p w:rsidR="00D816FD" w:rsidRDefault="00CC3384">
            <w:pPr>
              <w:pStyle w:val="Compact"/>
              <w:jc w:val="right"/>
            </w:pPr>
            <w:r>
              <w:t>7,443</w:t>
            </w:r>
          </w:p>
        </w:tc>
        <w:tc>
          <w:tcPr>
            <w:tcW w:w="0" w:type="auto"/>
          </w:tcPr>
          <w:p w:rsidR="00D816FD" w:rsidRDefault="00CC3384">
            <w:pPr>
              <w:pStyle w:val="Compact"/>
              <w:jc w:val="right"/>
            </w:pPr>
            <w:r>
              <w:t>54</w:t>
            </w:r>
          </w:p>
        </w:tc>
        <w:tc>
          <w:tcPr>
            <w:tcW w:w="0" w:type="auto"/>
          </w:tcPr>
          <w:p w:rsidR="00D816FD" w:rsidRDefault="00CC3384">
            <w:pPr>
              <w:pStyle w:val="Compact"/>
              <w:jc w:val="right"/>
            </w:pPr>
            <w:r>
              <w:t>14,764</w:t>
            </w:r>
          </w:p>
        </w:tc>
        <w:tc>
          <w:tcPr>
            <w:tcW w:w="0" w:type="auto"/>
          </w:tcPr>
          <w:p w:rsidR="00D816FD" w:rsidRDefault="00CC3384">
            <w:pPr>
              <w:pStyle w:val="Compact"/>
              <w:jc w:val="right"/>
            </w:pPr>
            <w:r>
              <w:t>4</w:t>
            </w:r>
          </w:p>
        </w:tc>
        <w:tc>
          <w:tcPr>
            <w:tcW w:w="0" w:type="auto"/>
          </w:tcPr>
          <w:p w:rsidR="00D816FD" w:rsidRDefault="00CC3384">
            <w:pPr>
              <w:pStyle w:val="Compact"/>
              <w:jc w:val="right"/>
            </w:pPr>
            <w:r>
              <w:t>6</w:t>
            </w:r>
          </w:p>
        </w:tc>
      </w:tr>
      <w:tr w:rsidR="00D816FD" w:rsidTr="00887B77">
        <w:trPr>
          <w:jc w:val="center"/>
        </w:trPr>
        <w:tc>
          <w:tcPr>
            <w:tcW w:w="0" w:type="auto"/>
          </w:tcPr>
          <w:p w:rsidR="00D816FD" w:rsidRDefault="00CC3384">
            <w:pPr>
              <w:pStyle w:val="Compact"/>
            </w:pPr>
            <w:r>
              <w:t>2012</w:t>
            </w:r>
          </w:p>
        </w:tc>
        <w:tc>
          <w:tcPr>
            <w:tcW w:w="0" w:type="auto"/>
          </w:tcPr>
          <w:p w:rsidR="00D816FD" w:rsidRDefault="00CC3384">
            <w:pPr>
              <w:pStyle w:val="Compact"/>
              <w:jc w:val="right"/>
            </w:pPr>
            <w:r>
              <w:t>7,582</w:t>
            </w:r>
          </w:p>
        </w:tc>
        <w:tc>
          <w:tcPr>
            <w:tcW w:w="0" w:type="auto"/>
          </w:tcPr>
          <w:p w:rsidR="00D816FD" w:rsidRDefault="00CC3384">
            <w:pPr>
              <w:pStyle w:val="Compact"/>
              <w:jc w:val="right"/>
            </w:pPr>
            <w:r>
              <w:t>66</w:t>
            </w:r>
          </w:p>
        </w:tc>
        <w:tc>
          <w:tcPr>
            <w:tcW w:w="0" w:type="auto"/>
          </w:tcPr>
          <w:p w:rsidR="00D816FD" w:rsidRDefault="00CC3384">
            <w:pPr>
              <w:pStyle w:val="Compact"/>
              <w:jc w:val="right"/>
            </w:pPr>
            <w:r>
              <w:t>18,047</w:t>
            </w:r>
          </w:p>
        </w:tc>
        <w:tc>
          <w:tcPr>
            <w:tcW w:w="0" w:type="auto"/>
          </w:tcPr>
          <w:p w:rsidR="00D816FD" w:rsidRDefault="00CC3384">
            <w:pPr>
              <w:pStyle w:val="Compact"/>
              <w:jc w:val="right"/>
            </w:pPr>
            <w:r>
              <w:t>23</w:t>
            </w:r>
          </w:p>
        </w:tc>
        <w:tc>
          <w:tcPr>
            <w:tcW w:w="0" w:type="auto"/>
          </w:tcPr>
          <w:p w:rsidR="00D816FD" w:rsidRDefault="00CC3384">
            <w:pPr>
              <w:pStyle w:val="Compact"/>
              <w:jc w:val="right"/>
            </w:pPr>
            <w:r>
              <w:t>4</w:t>
            </w:r>
          </w:p>
        </w:tc>
      </w:tr>
      <w:tr w:rsidR="00D816FD" w:rsidTr="00887B77">
        <w:trPr>
          <w:jc w:val="center"/>
        </w:trPr>
        <w:tc>
          <w:tcPr>
            <w:tcW w:w="0" w:type="auto"/>
          </w:tcPr>
          <w:p w:rsidR="00D816FD" w:rsidRDefault="00CC3384">
            <w:pPr>
              <w:pStyle w:val="Compact"/>
            </w:pPr>
            <w:r>
              <w:t>2013</w:t>
            </w:r>
          </w:p>
        </w:tc>
        <w:tc>
          <w:tcPr>
            <w:tcW w:w="0" w:type="auto"/>
          </w:tcPr>
          <w:p w:rsidR="00D816FD" w:rsidRDefault="00CC3384">
            <w:pPr>
              <w:pStyle w:val="Compact"/>
              <w:jc w:val="right"/>
            </w:pPr>
            <w:r>
              <w:t>7,961</w:t>
            </w:r>
          </w:p>
        </w:tc>
        <w:tc>
          <w:tcPr>
            <w:tcW w:w="0" w:type="auto"/>
          </w:tcPr>
          <w:p w:rsidR="00D816FD" w:rsidRDefault="00CC3384">
            <w:pPr>
              <w:pStyle w:val="Compact"/>
              <w:jc w:val="right"/>
            </w:pPr>
            <w:r>
              <w:t>86</w:t>
            </w:r>
          </w:p>
        </w:tc>
        <w:tc>
          <w:tcPr>
            <w:tcW w:w="0" w:type="auto"/>
          </w:tcPr>
          <w:p w:rsidR="00D816FD" w:rsidRDefault="00CC3384">
            <w:pPr>
              <w:pStyle w:val="Compact"/>
              <w:jc w:val="right"/>
            </w:pPr>
            <w:r>
              <w:t>13,570</w:t>
            </w:r>
          </w:p>
        </w:tc>
        <w:tc>
          <w:tcPr>
            <w:tcW w:w="0" w:type="auto"/>
          </w:tcPr>
          <w:p w:rsidR="00D816FD" w:rsidRDefault="00CC3384">
            <w:pPr>
              <w:pStyle w:val="Compact"/>
              <w:jc w:val="right"/>
            </w:pPr>
            <w:r>
              <w:t>24</w:t>
            </w:r>
          </w:p>
        </w:tc>
        <w:tc>
          <w:tcPr>
            <w:tcW w:w="0" w:type="auto"/>
          </w:tcPr>
          <w:p w:rsidR="00D816FD" w:rsidRDefault="00CC3384">
            <w:pPr>
              <w:pStyle w:val="Compact"/>
              <w:jc w:val="right"/>
            </w:pPr>
            <w:r>
              <w:t>3</w:t>
            </w:r>
          </w:p>
        </w:tc>
      </w:tr>
      <w:tr w:rsidR="00D816FD" w:rsidTr="00887B77">
        <w:trPr>
          <w:jc w:val="center"/>
        </w:trPr>
        <w:tc>
          <w:tcPr>
            <w:tcW w:w="0" w:type="auto"/>
          </w:tcPr>
          <w:p w:rsidR="00D816FD" w:rsidRDefault="00CC3384">
            <w:pPr>
              <w:pStyle w:val="Compact"/>
            </w:pPr>
            <w:r>
              <w:t>2015</w:t>
            </w:r>
          </w:p>
        </w:tc>
        <w:tc>
          <w:tcPr>
            <w:tcW w:w="0" w:type="auto"/>
          </w:tcPr>
          <w:p w:rsidR="00D816FD" w:rsidRDefault="00CC3384">
            <w:pPr>
              <w:pStyle w:val="Compact"/>
              <w:jc w:val="right"/>
            </w:pPr>
            <w:r>
              <w:t>6,862</w:t>
            </w:r>
          </w:p>
        </w:tc>
        <w:tc>
          <w:tcPr>
            <w:tcW w:w="0" w:type="auto"/>
          </w:tcPr>
          <w:p w:rsidR="00D816FD" w:rsidRDefault="00CC3384">
            <w:pPr>
              <w:pStyle w:val="Compact"/>
              <w:jc w:val="right"/>
            </w:pPr>
            <w:r>
              <w:t>63</w:t>
            </w:r>
          </w:p>
        </w:tc>
        <w:tc>
          <w:tcPr>
            <w:tcW w:w="0" w:type="auto"/>
          </w:tcPr>
          <w:p w:rsidR="00D816FD" w:rsidRDefault="00CC3384">
            <w:pPr>
              <w:pStyle w:val="Compact"/>
              <w:jc w:val="right"/>
            </w:pPr>
            <w:r>
              <w:t>12,274</w:t>
            </w:r>
          </w:p>
        </w:tc>
        <w:tc>
          <w:tcPr>
            <w:tcW w:w="0" w:type="auto"/>
          </w:tcPr>
          <w:p w:rsidR="00D816FD" w:rsidRDefault="00CC3384">
            <w:pPr>
              <w:pStyle w:val="Compact"/>
              <w:jc w:val="right"/>
            </w:pPr>
            <w:r>
              <w:t>1</w:t>
            </w:r>
          </w:p>
        </w:tc>
        <w:tc>
          <w:tcPr>
            <w:tcW w:w="0" w:type="auto"/>
          </w:tcPr>
          <w:p w:rsidR="00D816FD" w:rsidRDefault="00CC3384">
            <w:pPr>
              <w:pStyle w:val="Compact"/>
              <w:jc w:val="right"/>
            </w:pPr>
            <w:r>
              <w:t>10</w:t>
            </w:r>
          </w:p>
        </w:tc>
      </w:tr>
      <w:tr w:rsidR="00D816FD" w:rsidTr="00887B77">
        <w:trPr>
          <w:jc w:val="center"/>
        </w:trPr>
        <w:tc>
          <w:tcPr>
            <w:tcW w:w="0" w:type="auto"/>
          </w:tcPr>
          <w:p w:rsidR="00D816FD" w:rsidRDefault="00CC3384">
            <w:pPr>
              <w:pStyle w:val="Compact"/>
            </w:pPr>
            <w:r>
              <w:t>2017</w:t>
            </w:r>
          </w:p>
        </w:tc>
        <w:tc>
          <w:tcPr>
            <w:tcW w:w="0" w:type="auto"/>
          </w:tcPr>
          <w:p w:rsidR="00D816FD" w:rsidRDefault="00CC3384">
            <w:pPr>
              <w:pStyle w:val="Compact"/>
              <w:jc w:val="right"/>
            </w:pPr>
            <w:r>
              <w:t>7,096</w:t>
            </w:r>
          </w:p>
        </w:tc>
        <w:tc>
          <w:tcPr>
            <w:tcW w:w="0" w:type="auto"/>
          </w:tcPr>
          <w:p w:rsidR="00D816FD" w:rsidRDefault="00CC3384">
            <w:pPr>
              <w:pStyle w:val="Compact"/>
              <w:jc w:val="right"/>
            </w:pPr>
            <w:r>
              <w:t>39</w:t>
            </w:r>
          </w:p>
        </w:tc>
        <w:tc>
          <w:tcPr>
            <w:tcW w:w="0" w:type="auto"/>
          </w:tcPr>
          <w:p w:rsidR="00D816FD" w:rsidRDefault="00CC3384">
            <w:pPr>
              <w:pStyle w:val="Compact"/>
              <w:jc w:val="right"/>
            </w:pPr>
            <w:r>
              <w:t>14,200</w:t>
            </w:r>
          </w:p>
        </w:tc>
        <w:tc>
          <w:tcPr>
            <w:tcW w:w="0" w:type="auto"/>
          </w:tcPr>
          <w:p w:rsidR="00D816FD" w:rsidRDefault="00CC3384">
            <w:pPr>
              <w:pStyle w:val="Compact"/>
              <w:jc w:val="right"/>
            </w:pPr>
            <w:r>
              <w:t>3</w:t>
            </w:r>
          </w:p>
        </w:tc>
        <w:tc>
          <w:tcPr>
            <w:tcW w:w="0" w:type="auto"/>
          </w:tcPr>
          <w:p w:rsidR="00D816FD" w:rsidRDefault="00CC3384">
            <w:pPr>
              <w:pStyle w:val="Compact"/>
              <w:jc w:val="right"/>
            </w:pPr>
            <w:r>
              <w:t>3</w:t>
            </w:r>
          </w:p>
        </w:tc>
      </w:tr>
    </w:tbl>
    <w:p w:rsidR="00887B77" w:rsidRDefault="00887B77">
      <w:pPr>
        <w:pStyle w:val="BodyText"/>
      </w:pPr>
    </w:p>
    <w:p w:rsidR="00887B77" w:rsidRDefault="00887B77" w:rsidP="00887B77">
      <w:pPr>
        <w:pStyle w:val="BodyText"/>
      </w:pPr>
      <w:r>
        <w:br w:type="page"/>
      </w:r>
    </w:p>
    <w:p w:rsidR="00D816FD" w:rsidRDefault="00CC3384">
      <w:pPr>
        <w:pStyle w:val="BodyText"/>
      </w:pPr>
      <w:r>
        <w:lastRenderedPageBreak/>
        <w:t>T</w:t>
      </w:r>
      <w:r>
        <w:t>able 3. A description of the mark-recapture models compared in 2017.</w:t>
      </w:r>
    </w:p>
    <w:tbl>
      <w:tblPr>
        <w:tblW w:w="0" w:type="pct"/>
        <w:jc w:val="center"/>
        <w:tblLook w:val="07E0" w:firstRow="1" w:lastRow="1" w:firstColumn="1" w:lastColumn="1" w:noHBand="1" w:noVBand="1"/>
      </w:tblPr>
      <w:tblGrid>
        <w:gridCol w:w="1041"/>
        <w:gridCol w:w="6104"/>
        <w:gridCol w:w="1404"/>
      </w:tblGrid>
      <w:tr w:rsidR="00D816FD" w:rsidTr="00887B77">
        <w:trPr>
          <w:jc w:val="center"/>
        </w:trPr>
        <w:tc>
          <w:tcPr>
            <w:tcW w:w="0" w:type="auto"/>
            <w:tcBorders>
              <w:bottom w:val="single" w:sz="0" w:space="0" w:color="auto"/>
            </w:tcBorders>
            <w:vAlign w:val="bottom"/>
          </w:tcPr>
          <w:p w:rsidR="00D816FD" w:rsidRDefault="00CC3384">
            <w:pPr>
              <w:pStyle w:val="Compact"/>
            </w:pPr>
            <w:r>
              <w:t>Model</w:t>
            </w:r>
          </w:p>
        </w:tc>
        <w:tc>
          <w:tcPr>
            <w:tcW w:w="0" w:type="auto"/>
            <w:tcBorders>
              <w:bottom w:val="single" w:sz="0" w:space="0" w:color="auto"/>
            </w:tcBorders>
            <w:vAlign w:val="bottom"/>
          </w:tcPr>
          <w:p w:rsidR="00D816FD" w:rsidRDefault="00CC3384">
            <w:pPr>
              <w:pStyle w:val="Compact"/>
            </w:pPr>
            <w:r>
              <w:t>Description</w:t>
            </w:r>
          </w:p>
        </w:tc>
        <w:tc>
          <w:tcPr>
            <w:tcW w:w="0" w:type="auto"/>
            <w:tcBorders>
              <w:bottom w:val="single" w:sz="0" w:space="0" w:color="auto"/>
            </w:tcBorders>
            <w:vAlign w:val="bottom"/>
          </w:tcPr>
          <w:p w:rsidR="00D816FD" w:rsidRDefault="00CC3384">
            <w:pPr>
              <w:pStyle w:val="Compact"/>
            </w:pPr>
            <w:r>
              <w:t>Parameters</w:t>
            </w:r>
          </w:p>
        </w:tc>
      </w:tr>
      <w:tr w:rsidR="00D816FD" w:rsidTr="00887B77">
        <w:trPr>
          <w:jc w:val="center"/>
        </w:trPr>
        <w:tc>
          <w:tcPr>
            <w:tcW w:w="0" w:type="auto"/>
          </w:tcPr>
          <w:p w:rsidR="00D816FD" w:rsidRDefault="00CC3384">
            <w:pPr>
              <w:pStyle w:val="Compact"/>
            </w:pPr>
            <w:r>
              <w:t>Model 0</w:t>
            </w:r>
          </w:p>
        </w:tc>
        <w:tc>
          <w:tcPr>
            <w:tcW w:w="0" w:type="auto"/>
          </w:tcPr>
          <w:p w:rsidR="00D816FD" w:rsidRDefault="00CC3384">
            <w:pPr>
              <w:pStyle w:val="Compact"/>
            </w:pPr>
            <w:r>
              <w:t>Chapman estimator</w:t>
            </w:r>
          </w:p>
        </w:tc>
        <w:tc>
          <w:tcPr>
            <w:tcW w:w="0" w:type="auto"/>
          </w:tcPr>
          <w:p w:rsidR="00D816FD" w:rsidRDefault="00CC3384">
            <w:pPr>
              <w:pStyle w:val="Compact"/>
            </w:pPr>
            <m:oMathPara>
              <m:oMath>
                <m:r>
                  <w:rPr>
                    <w:rFonts w:ascii="Cambria Math" w:hAnsi="Cambria Math"/>
                  </w:rPr>
                  <m:t>N</m:t>
                </m:r>
              </m:oMath>
            </m:oMathPara>
          </w:p>
        </w:tc>
      </w:tr>
      <w:tr w:rsidR="00D816FD" w:rsidTr="00887B77">
        <w:trPr>
          <w:jc w:val="center"/>
        </w:trPr>
        <w:tc>
          <w:tcPr>
            <w:tcW w:w="0" w:type="auto"/>
          </w:tcPr>
          <w:p w:rsidR="00D816FD" w:rsidRDefault="00CC3384">
            <w:pPr>
              <w:pStyle w:val="Compact"/>
            </w:pPr>
            <w:r>
              <w:t>Model 1</w:t>
            </w:r>
          </w:p>
        </w:tc>
        <w:tc>
          <w:tcPr>
            <w:tcW w:w="0" w:type="auto"/>
          </w:tcPr>
          <w:p w:rsidR="00D816FD" w:rsidRDefault="00CC3384">
            <w:pPr>
              <w:pStyle w:val="Compact"/>
            </w:pPr>
            <w:r>
              <w:t>Time-stratified Peterson estimator with natural mortality</w:t>
            </w:r>
          </w:p>
        </w:tc>
        <w:tc>
          <w:tcPr>
            <w:tcW w:w="0" w:type="auto"/>
          </w:tcPr>
          <w:p w:rsidR="00D816FD" w:rsidRDefault="00CC3384">
            <w:pPr>
              <w:pStyle w:val="Compact"/>
            </w:pPr>
            <m:oMath>
              <m:r>
                <w:rPr>
                  <w:rFonts w:ascii="Cambria Math" w:hAnsi="Cambria Math"/>
                </w:rPr>
                <m:t>N</m:t>
              </m:r>
            </m:oMath>
            <w:r>
              <w:t xml:space="preserve">, </w:t>
            </w:r>
            <m:oMath>
              <m:r>
                <w:rPr>
                  <w:rFonts w:ascii="Cambria Math" w:hAnsi="Cambria Math"/>
                </w:rPr>
                <m:t>p</m:t>
              </m:r>
            </m:oMath>
          </w:p>
        </w:tc>
      </w:tr>
      <w:tr w:rsidR="00D816FD" w:rsidTr="00887B77">
        <w:trPr>
          <w:jc w:val="center"/>
        </w:trPr>
        <w:tc>
          <w:tcPr>
            <w:tcW w:w="0" w:type="auto"/>
          </w:tcPr>
          <w:p w:rsidR="00D816FD" w:rsidRDefault="00CC3384">
            <w:pPr>
              <w:pStyle w:val="Compact"/>
            </w:pPr>
            <w:r>
              <w:t>Model 2</w:t>
            </w:r>
          </w:p>
        </w:tc>
        <w:tc>
          <w:tcPr>
            <w:tcW w:w="0" w:type="auto"/>
          </w:tcPr>
          <w:p w:rsidR="00D816FD" w:rsidRDefault="00CC3384">
            <w:pPr>
              <w:pStyle w:val="Compact"/>
            </w:pPr>
            <w:r>
              <w:t>Model 1 with migration</w:t>
            </w:r>
          </w:p>
        </w:tc>
        <w:tc>
          <w:tcPr>
            <w:tcW w:w="0" w:type="auto"/>
          </w:tcPr>
          <w:p w:rsidR="00D816FD" w:rsidRDefault="00CC3384">
            <w:pPr>
              <w:pStyle w:val="Compact"/>
            </w:pPr>
            <m:oMath>
              <m:r>
                <w:rPr>
                  <w:rFonts w:ascii="Cambria Math" w:hAnsi="Cambria Math"/>
                </w:rPr>
                <m:t>N</m:t>
              </m:r>
            </m:oMath>
            <w:r>
              <w:t xml:space="preserve">, </w:t>
            </w:r>
            <m:oMath>
              <m:r>
                <w:rPr>
                  <w:rFonts w:ascii="Cambria Math" w:hAnsi="Cambria Math"/>
                </w:rPr>
                <m:t>p</m:t>
              </m:r>
            </m:oMath>
            <w:r>
              <w:t xml:space="preserve">, </w:t>
            </w:r>
            <m:oMath>
              <m:r>
                <w:rPr>
                  <w:rFonts w:ascii="Cambria Math" w:hAnsi="Cambria Math"/>
                </w:rPr>
                <m:t>r</m:t>
              </m:r>
            </m:oMath>
          </w:p>
        </w:tc>
      </w:tr>
      <w:tr w:rsidR="00D816FD" w:rsidTr="00887B77">
        <w:trPr>
          <w:jc w:val="center"/>
        </w:trPr>
        <w:tc>
          <w:tcPr>
            <w:tcW w:w="0" w:type="auto"/>
          </w:tcPr>
          <w:p w:rsidR="00D816FD" w:rsidRDefault="00CC3384">
            <w:pPr>
              <w:pStyle w:val="Compact"/>
            </w:pPr>
            <w:r>
              <w:t>Model 3</w:t>
            </w:r>
          </w:p>
        </w:tc>
        <w:tc>
          <w:tcPr>
            <w:tcW w:w="0" w:type="auto"/>
          </w:tcPr>
          <w:p w:rsidR="00D816FD" w:rsidRDefault="00CC3384">
            <w:pPr>
              <w:pStyle w:val="Compact"/>
            </w:pPr>
            <w:r>
              <w:t>Model 1 with fishery CPUE data</w:t>
            </w:r>
          </w:p>
        </w:tc>
        <w:tc>
          <w:tcPr>
            <w:tcW w:w="0" w:type="auto"/>
          </w:tcPr>
          <w:p w:rsidR="00D816FD" w:rsidRDefault="00CC3384">
            <w:pPr>
              <w:pStyle w:val="Compact"/>
            </w:pPr>
            <m:oMath>
              <m:r>
                <w:rPr>
                  <w:rFonts w:ascii="Cambria Math" w:hAnsi="Cambria Math"/>
                </w:rPr>
                <m:t>N</m:t>
              </m:r>
            </m:oMath>
            <w:r>
              <w:t xml:space="preserve">, </w:t>
            </w:r>
            <m:oMath>
              <m:r>
                <w:rPr>
                  <w:rFonts w:ascii="Cambria Math" w:hAnsi="Cambria Math"/>
                </w:rPr>
                <m:t>p</m:t>
              </m:r>
            </m:oMath>
            <w:r>
              <w:t xml:space="preserve">, </w:t>
            </w:r>
            <m:oMath>
              <m:r>
                <w:rPr>
                  <w:rFonts w:ascii="Cambria Math" w:hAnsi="Cambria Math"/>
                </w:rPr>
                <m:t>q</m:t>
              </m:r>
            </m:oMath>
          </w:p>
        </w:tc>
      </w:tr>
      <w:tr w:rsidR="00D816FD" w:rsidTr="00887B77">
        <w:trPr>
          <w:jc w:val="center"/>
        </w:trPr>
        <w:tc>
          <w:tcPr>
            <w:tcW w:w="0" w:type="auto"/>
          </w:tcPr>
          <w:p w:rsidR="00D816FD" w:rsidRDefault="00CC3384">
            <w:pPr>
              <w:pStyle w:val="Compact"/>
            </w:pPr>
            <w:r>
              <w:t>Model 4</w:t>
            </w:r>
          </w:p>
        </w:tc>
        <w:tc>
          <w:tcPr>
            <w:tcW w:w="0" w:type="auto"/>
          </w:tcPr>
          <w:p w:rsidR="00D816FD" w:rsidRDefault="00CC3384">
            <w:pPr>
              <w:pStyle w:val="Compact"/>
            </w:pPr>
            <w:r>
              <w:t>Model 1 with migration and fishery CPUE data</w:t>
            </w:r>
          </w:p>
        </w:tc>
        <w:tc>
          <w:tcPr>
            <w:tcW w:w="0" w:type="auto"/>
          </w:tcPr>
          <w:p w:rsidR="00D816FD" w:rsidRDefault="00CC3384">
            <w:pPr>
              <w:pStyle w:val="Compact"/>
            </w:pPr>
            <m:oMath>
              <m:r>
                <w:rPr>
                  <w:rFonts w:ascii="Cambria Math" w:hAnsi="Cambria Math"/>
                </w:rPr>
                <m:t>N</m:t>
              </m:r>
            </m:oMath>
            <w:r>
              <w:t xml:space="preserve">, </w:t>
            </w:r>
            <m:oMath>
              <m:r>
                <w:rPr>
                  <w:rFonts w:ascii="Cambria Math" w:hAnsi="Cambria Math"/>
                </w:rPr>
                <m:t>p</m:t>
              </m:r>
            </m:oMath>
            <w:r>
              <w:t xml:space="preserve">, </w:t>
            </w:r>
            <m:oMath>
              <m:r>
                <w:rPr>
                  <w:rFonts w:ascii="Cambria Math" w:hAnsi="Cambria Math"/>
                </w:rPr>
                <m:t>r</m:t>
              </m:r>
            </m:oMath>
            <w:r>
              <w:t xml:space="preserve">, </w:t>
            </w:r>
            <m:oMath>
              <m:r>
                <w:rPr>
                  <w:rFonts w:ascii="Cambria Math" w:hAnsi="Cambria Math"/>
                </w:rPr>
                <m:t>q</m:t>
              </m:r>
            </m:oMath>
          </w:p>
        </w:tc>
      </w:tr>
    </w:tbl>
    <w:p w:rsidR="00887B77" w:rsidRDefault="00887B77">
      <w:pPr>
        <w:pStyle w:val="BodyText"/>
      </w:pPr>
    </w:p>
    <w:p w:rsidR="00887B77" w:rsidRDefault="00887B77" w:rsidP="00887B77">
      <w:pPr>
        <w:pStyle w:val="BodyText"/>
      </w:pPr>
      <w:r>
        <w:br w:type="page"/>
      </w:r>
    </w:p>
    <w:p w:rsidR="00D816FD" w:rsidRDefault="00CC3384">
      <w:pPr>
        <w:pStyle w:val="BodyText"/>
      </w:pPr>
      <w:r>
        <w:lastRenderedPageBreak/>
        <w:t>T</w:t>
      </w:r>
      <w:r>
        <w:t>able 4. Results from candidate models in 2017, including abundance estimate (median) and 95% credibility intervals, deviance, parameter penalty</w:t>
      </w:r>
      <w:r>
        <w:t>, and delta DIC (DIC = 0 is the model with the most support).</w:t>
      </w:r>
    </w:p>
    <w:tbl>
      <w:tblPr>
        <w:tblW w:w="0" w:type="pct"/>
        <w:jc w:val="center"/>
        <w:tblLook w:val="07E0" w:firstRow="1" w:lastRow="1" w:firstColumn="1" w:lastColumn="1" w:noHBand="1" w:noVBand="1"/>
      </w:tblPr>
      <w:tblGrid>
        <w:gridCol w:w="988"/>
        <w:gridCol w:w="1245"/>
        <w:gridCol w:w="1245"/>
        <w:gridCol w:w="1245"/>
        <w:gridCol w:w="1154"/>
        <w:gridCol w:w="2123"/>
        <w:gridCol w:w="1155"/>
      </w:tblGrid>
      <w:tr w:rsidR="00D816FD" w:rsidTr="00887B77">
        <w:trPr>
          <w:jc w:val="center"/>
        </w:trPr>
        <w:tc>
          <w:tcPr>
            <w:tcW w:w="0" w:type="auto"/>
            <w:tcBorders>
              <w:bottom w:val="single" w:sz="0" w:space="0" w:color="auto"/>
            </w:tcBorders>
            <w:vAlign w:val="bottom"/>
          </w:tcPr>
          <w:p w:rsidR="00D816FD" w:rsidRDefault="00CC3384">
            <w:pPr>
              <w:pStyle w:val="Compact"/>
            </w:pPr>
            <w:r>
              <w:t>Model</w:t>
            </w:r>
          </w:p>
        </w:tc>
        <w:tc>
          <w:tcPr>
            <w:tcW w:w="0" w:type="auto"/>
            <w:tcBorders>
              <w:bottom w:val="single" w:sz="0" w:space="0" w:color="auto"/>
            </w:tcBorders>
            <w:vAlign w:val="bottom"/>
          </w:tcPr>
          <w:p w:rsidR="00D816FD" w:rsidRDefault="00CC3384">
            <w:pPr>
              <w:pStyle w:val="Compact"/>
              <w:jc w:val="right"/>
            </w:pPr>
            <w:r>
              <w:t>Estimate</w:t>
            </w:r>
          </w:p>
        </w:tc>
        <w:tc>
          <w:tcPr>
            <w:tcW w:w="0" w:type="auto"/>
            <w:tcBorders>
              <w:bottom w:val="single" w:sz="0" w:space="0" w:color="auto"/>
            </w:tcBorders>
            <w:vAlign w:val="bottom"/>
          </w:tcPr>
          <w:p w:rsidR="00D816FD" w:rsidRDefault="00CC3384">
            <w:pPr>
              <w:pStyle w:val="Compact"/>
              <w:jc w:val="right"/>
            </w:pPr>
            <w:r>
              <w:t>Upper CI</w:t>
            </w:r>
          </w:p>
        </w:tc>
        <w:tc>
          <w:tcPr>
            <w:tcW w:w="0" w:type="auto"/>
            <w:tcBorders>
              <w:bottom w:val="single" w:sz="0" w:space="0" w:color="auto"/>
            </w:tcBorders>
            <w:vAlign w:val="bottom"/>
          </w:tcPr>
          <w:p w:rsidR="00D816FD" w:rsidRDefault="00CC3384">
            <w:pPr>
              <w:pStyle w:val="Compact"/>
              <w:jc w:val="right"/>
            </w:pPr>
            <w:r>
              <w:t>Lower CI</w:t>
            </w:r>
          </w:p>
        </w:tc>
        <w:tc>
          <w:tcPr>
            <w:tcW w:w="0" w:type="auto"/>
            <w:tcBorders>
              <w:bottom w:val="single" w:sz="0" w:space="0" w:color="auto"/>
            </w:tcBorders>
            <w:vAlign w:val="bottom"/>
          </w:tcPr>
          <w:p w:rsidR="00D816FD" w:rsidRDefault="00CC3384">
            <w:pPr>
              <w:pStyle w:val="Compact"/>
              <w:jc w:val="right"/>
            </w:pPr>
            <w:r>
              <w:t>Deviance</w:t>
            </w:r>
          </w:p>
        </w:tc>
        <w:tc>
          <w:tcPr>
            <w:tcW w:w="0" w:type="auto"/>
            <w:tcBorders>
              <w:bottom w:val="single" w:sz="0" w:space="0" w:color="auto"/>
            </w:tcBorders>
            <w:vAlign w:val="bottom"/>
          </w:tcPr>
          <w:p w:rsidR="00D816FD" w:rsidRDefault="00CC3384">
            <w:pPr>
              <w:pStyle w:val="Compact"/>
              <w:jc w:val="right"/>
            </w:pPr>
            <w:r>
              <w:t>Parameter penalty</w:t>
            </w:r>
          </w:p>
        </w:tc>
        <w:tc>
          <w:tcPr>
            <w:tcW w:w="0" w:type="auto"/>
            <w:tcBorders>
              <w:bottom w:val="single" w:sz="0" w:space="0" w:color="auto"/>
            </w:tcBorders>
            <w:vAlign w:val="bottom"/>
          </w:tcPr>
          <w:p w:rsidR="00D816FD" w:rsidRDefault="00CC3384">
            <w:pPr>
              <w:pStyle w:val="Compact"/>
              <w:jc w:val="right"/>
            </w:pPr>
            <w:r>
              <w:t>delta DIC</w:t>
            </w:r>
          </w:p>
        </w:tc>
      </w:tr>
      <w:tr w:rsidR="00D816FD" w:rsidTr="00887B77">
        <w:trPr>
          <w:jc w:val="center"/>
        </w:trPr>
        <w:tc>
          <w:tcPr>
            <w:tcW w:w="0" w:type="auto"/>
          </w:tcPr>
          <w:p w:rsidR="00D816FD" w:rsidRDefault="00CC3384">
            <w:pPr>
              <w:pStyle w:val="Compact"/>
            </w:pPr>
            <w:r>
              <w:t>Model0</w:t>
            </w:r>
          </w:p>
        </w:tc>
        <w:tc>
          <w:tcPr>
            <w:tcW w:w="0" w:type="auto"/>
          </w:tcPr>
          <w:p w:rsidR="00D816FD" w:rsidRDefault="00CC3384">
            <w:pPr>
              <w:pStyle w:val="Compact"/>
              <w:jc w:val="right"/>
            </w:pPr>
            <w:r>
              <w:t>2,517,481</w:t>
            </w:r>
          </w:p>
        </w:tc>
        <w:tc>
          <w:tcPr>
            <w:tcW w:w="0" w:type="auto"/>
          </w:tcPr>
          <w:p w:rsidR="00D816FD" w:rsidRDefault="00CC3384">
            <w:pPr>
              <w:pStyle w:val="Compact"/>
              <w:jc w:val="right"/>
            </w:pPr>
            <w:r>
              <w:t>NA</w:t>
            </w:r>
          </w:p>
        </w:tc>
        <w:tc>
          <w:tcPr>
            <w:tcW w:w="0" w:type="auto"/>
          </w:tcPr>
          <w:p w:rsidR="00D816FD" w:rsidRDefault="00CC3384">
            <w:pPr>
              <w:pStyle w:val="Compact"/>
              <w:jc w:val="right"/>
            </w:pPr>
            <w:r>
              <w:t>NA</w:t>
            </w:r>
          </w:p>
        </w:tc>
        <w:tc>
          <w:tcPr>
            <w:tcW w:w="0" w:type="auto"/>
          </w:tcPr>
          <w:p w:rsidR="00D816FD" w:rsidRDefault="00CC3384">
            <w:pPr>
              <w:pStyle w:val="Compact"/>
              <w:jc w:val="right"/>
            </w:pPr>
            <w:r>
              <w:t>NA</w:t>
            </w:r>
          </w:p>
        </w:tc>
        <w:tc>
          <w:tcPr>
            <w:tcW w:w="0" w:type="auto"/>
          </w:tcPr>
          <w:p w:rsidR="00D816FD" w:rsidRDefault="00CC3384">
            <w:pPr>
              <w:pStyle w:val="Compact"/>
              <w:jc w:val="right"/>
            </w:pPr>
            <w:r>
              <w:t>NA</w:t>
            </w:r>
          </w:p>
        </w:tc>
        <w:tc>
          <w:tcPr>
            <w:tcW w:w="0" w:type="auto"/>
          </w:tcPr>
          <w:p w:rsidR="00D816FD" w:rsidRDefault="00CC3384">
            <w:pPr>
              <w:pStyle w:val="Compact"/>
              <w:jc w:val="right"/>
            </w:pPr>
            <w:r>
              <w:t>NA</w:t>
            </w:r>
          </w:p>
        </w:tc>
      </w:tr>
      <w:tr w:rsidR="00D816FD" w:rsidTr="00887B77">
        <w:trPr>
          <w:jc w:val="center"/>
        </w:trPr>
        <w:tc>
          <w:tcPr>
            <w:tcW w:w="0" w:type="auto"/>
          </w:tcPr>
          <w:p w:rsidR="00D816FD" w:rsidRDefault="00CC3384">
            <w:pPr>
              <w:pStyle w:val="Compact"/>
            </w:pPr>
            <w:r>
              <w:t>Model1</w:t>
            </w:r>
          </w:p>
        </w:tc>
        <w:tc>
          <w:tcPr>
            <w:tcW w:w="0" w:type="auto"/>
          </w:tcPr>
          <w:p w:rsidR="00D816FD" w:rsidRDefault="00CC3384">
            <w:pPr>
              <w:pStyle w:val="Compact"/>
              <w:jc w:val="right"/>
            </w:pPr>
            <w:r>
              <w:t>2,122,673</w:t>
            </w:r>
          </w:p>
        </w:tc>
        <w:tc>
          <w:tcPr>
            <w:tcW w:w="0" w:type="auto"/>
          </w:tcPr>
          <w:p w:rsidR="00D816FD" w:rsidRDefault="00CC3384">
            <w:pPr>
              <w:pStyle w:val="Compact"/>
              <w:jc w:val="right"/>
            </w:pPr>
            <w:r>
              <w:t>2,585,530</w:t>
            </w:r>
          </w:p>
        </w:tc>
        <w:tc>
          <w:tcPr>
            <w:tcW w:w="0" w:type="auto"/>
          </w:tcPr>
          <w:p w:rsidR="00D816FD" w:rsidRDefault="00CC3384">
            <w:pPr>
              <w:pStyle w:val="Compact"/>
              <w:jc w:val="right"/>
            </w:pPr>
            <w:r>
              <w:t>1,778,852</w:t>
            </w:r>
          </w:p>
        </w:tc>
        <w:tc>
          <w:tcPr>
            <w:tcW w:w="0" w:type="auto"/>
          </w:tcPr>
          <w:p w:rsidR="00D816FD" w:rsidRDefault="00CC3384">
            <w:pPr>
              <w:pStyle w:val="Compact"/>
              <w:jc w:val="right"/>
            </w:pPr>
            <w:r>
              <w:t>38.11</w:t>
            </w:r>
          </w:p>
        </w:tc>
        <w:tc>
          <w:tcPr>
            <w:tcW w:w="0" w:type="auto"/>
          </w:tcPr>
          <w:p w:rsidR="00D816FD" w:rsidRDefault="00CC3384">
            <w:pPr>
              <w:pStyle w:val="Compact"/>
              <w:jc w:val="right"/>
            </w:pPr>
            <w:r>
              <w:t>3.66</w:t>
            </w:r>
          </w:p>
        </w:tc>
        <w:tc>
          <w:tcPr>
            <w:tcW w:w="0" w:type="auto"/>
          </w:tcPr>
          <w:p w:rsidR="00D816FD" w:rsidRDefault="00CC3384">
            <w:pPr>
              <w:pStyle w:val="Compact"/>
              <w:jc w:val="right"/>
            </w:pPr>
            <w:r>
              <w:t>0.00</w:t>
            </w:r>
          </w:p>
        </w:tc>
      </w:tr>
      <w:tr w:rsidR="00D816FD" w:rsidTr="00887B77">
        <w:trPr>
          <w:jc w:val="center"/>
        </w:trPr>
        <w:tc>
          <w:tcPr>
            <w:tcW w:w="0" w:type="auto"/>
          </w:tcPr>
          <w:p w:rsidR="00D816FD" w:rsidRDefault="00CC3384">
            <w:pPr>
              <w:pStyle w:val="Compact"/>
            </w:pPr>
            <w:r>
              <w:t>Model2</w:t>
            </w:r>
          </w:p>
        </w:tc>
        <w:tc>
          <w:tcPr>
            <w:tcW w:w="0" w:type="auto"/>
          </w:tcPr>
          <w:p w:rsidR="00D816FD" w:rsidRDefault="00CC3384">
            <w:pPr>
              <w:pStyle w:val="Compact"/>
              <w:jc w:val="right"/>
            </w:pPr>
            <w:r>
              <w:t>2,145,708</w:t>
            </w:r>
          </w:p>
        </w:tc>
        <w:tc>
          <w:tcPr>
            <w:tcW w:w="0" w:type="auto"/>
          </w:tcPr>
          <w:p w:rsidR="00D816FD" w:rsidRDefault="00CC3384">
            <w:pPr>
              <w:pStyle w:val="Compact"/>
              <w:jc w:val="right"/>
            </w:pPr>
            <w:r>
              <w:t>2,665,681</w:t>
            </w:r>
          </w:p>
        </w:tc>
        <w:tc>
          <w:tcPr>
            <w:tcW w:w="0" w:type="auto"/>
          </w:tcPr>
          <w:p w:rsidR="00D816FD" w:rsidRDefault="00CC3384">
            <w:pPr>
              <w:pStyle w:val="Compact"/>
              <w:jc w:val="right"/>
            </w:pPr>
            <w:r>
              <w:t>1,774,421</w:t>
            </w:r>
          </w:p>
        </w:tc>
        <w:tc>
          <w:tcPr>
            <w:tcW w:w="0" w:type="auto"/>
          </w:tcPr>
          <w:p w:rsidR="00D816FD" w:rsidRDefault="00CC3384">
            <w:pPr>
              <w:pStyle w:val="Compact"/>
              <w:jc w:val="right"/>
            </w:pPr>
            <w:r>
              <w:t>38.54</w:t>
            </w:r>
          </w:p>
        </w:tc>
        <w:tc>
          <w:tcPr>
            <w:tcW w:w="0" w:type="auto"/>
          </w:tcPr>
          <w:p w:rsidR="00D816FD" w:rsidRDefault="00CC3384">
            <w:pPr>
              <w:pStyle w:val="Compact"/>
              <w:jc w:val="right"/>
            </w:pPr>
            <w:r>
              <w:t>4.05</w:t>
            </w:r>
          </w:p>
        </w:tc>
        <w:tc>
          <w:tcPr>
            <w:tcW w:w="0" w:type="auto"/>
          </w:tcPr>
          <w:p w:rsidR="00D816FD" w:rsidRDefault="00CC3384">
            <w:pPr>
              <w:pStyle w:val="Compact"/>
              <w:jc w:val="right"/>
            </w:pPr>
            <w:r>
              <w:t>0.82</w:t>
            </w:r>
          </w:p>
        </w:tc>
      </w:tr>
      <w:tr w:rsidR="00D816FD" w:rsidTr="00887B77">
        <w:trPr>
          <w:jc w:val="center"/>
        </w:trPr>
        <w:tc>
          <w:tcPr>
            <w:tcW w:w="0" w:type="auto"/>
          </w:tcPr>
          <w:p w:rsidR="00D816FD" w:rsidRDefault="00CC3384">
            <w:pPr>
              <w:pStyle w:val="Compact"/>
            </w:pPr>
            <w:r>
              <w:t>Model3</w:t>
            </w:r>
          </w:p>
        </w:tc>
        <w:tc>
          <w:tcPr>
            <w:tcW w:w="0" w:type="auto"/>
          </w:tcPr>
          <w:p w:rsidR="00D816FD" w:rsidRDefault="00CC3384">
            <w:pPr>
              <w:pStyle w:val="Compact"/>
              <w:jc w:val="right"/>
            </w:pPr>
            <w:r>
              <w:t>2,107,460</w:t>
            </w:r>
          </w:p>
        </w:tc>
        <w:tc>
          <w:tcPr>
            <w:tcW w:w="0" w:type="auto"/>
          </w:tcPr>
          <w:p w:rsidR="00D816FD" w:rsidRDefault="00CC3384">
            <w:pPr>
              <w:pStyle w:val="Compact"/>
              <w:jc w:val="right"/>
            </w:pPr>
            <w:r>
              <w:t>2,566,178</w:t>
            </w:r>
          </w:p>
        </w:tc>
        <w:tc>
          <w:tcPr>
            <w:tcW w:w="0" w:type="auto"/>
          </w:tcPr>
          <w:p w:rsidR="00D816FD" w:rsidRDefault="00CC3384">
            <w:pPr>
              <w:pStyle w:val="Compact"/>
              <w:jc w:val="right"/>
            </w:pPr>
            <w:r>
              <w:t>1,755,491</w:t>
            </w:r>
          </w:p>
        </w:tc>
        <w:tc>
          <w:tcPr>
            <w:tcW w:w="0" w:type="auto"/>
          </w:tcPr>
          <w:p w:rsidR="00D816FD" w:rsidRDefault="00CC3384">
            <w:pPr>
              <w:pStyle w:val="Compact"/>
              <w:jc w:val="right"/>
            </w:pPr>
            <w:r>
              <w:t>87.01</w:t>
            </w:r>
          </w:p>
        </w:tc>
        <w:tc>
          <w:tcPr>
            <w:tcW w:w="0" w:type="auto"/>
          </w:tcPr>
          <w:p w:rsidR="00D816FD" w:rsidRDefault="00CC3384">
            <w:pPr>
              <w:pStyle w:val="Compact"/>
              <w:jc w:val="right"/>
            </w:pPr>
            <w:r>
              <w:t>7.49</w:t>
            </w:r>
          </w:p>
        </w:tc>
        <w:tc>
          <w:tcPr>
            <w:tcW w:w="0" w:type="auto"/>
          </w:tcPr>
          <w:p w:rsidR="00D816FD" w:rsidRDefault="00CC3384">
            <w:pPr>
              <w:pStyle w:val="Compact"/>
              <w:jc w:val="right"/>
            </w:pPr>
            <w:r>
              <w:t>52.73</w:t>
            </w:r>
          </w:p>
        </w:tc>
      </w:tr>
      <w:tr w:rsidR="00D816FD" w:rsidTr="00887B77">
        <w:trPr>
          <w:jc w:val="center"/>
        </w:trPr>
        <w:tc>
          <w:tcPr>
            <w:tcW w:w="0" w:type="auto"/>
          </w:tcPr>
          <w:p w:rsidR="00D816FD" w:rsidRDefault="00CC3384">
            <w:pPr>
              <w:pStyle w:val="Compact"/>
            </w:pPr>
            <w:r>
              <w:t>Model4</w:t>
            </w:r>
          </w:p>
        </w:tc>
        <w:tc>
          <w:tcPr>
            <w:tcW w:w="0" w:type="auto"/>
          </w:tcPr>
          <w:p w:rsidR="00D816FD" w:rsidRDefault="00CC3384">
            <w:pPr>
              <w:pStyle w:val="Compact"/>
              <w:jc w:val="right"/>
            </w:pPr>
            <w:r>
              <w:t>2,202,930</w:t>
            </w:r>
          </w:p>
        </w:tc>
        <w:tc>
          <w:tcPr>
            <w:tcW w:w="0" w:type="auto"/>
          </w:tcPr>
          <w:p w:rsidR="00D816FD" w:rsidRDefault="00CC3384">
            <w:pPr>
              <w:pStyle w:val="Compact"/>
              <w:jc w:val="right"/>
            </w:pPr>
            <w:r>
              <w:t>2,765,639</w:t>
            </w:r>
          </w:p>
        </w:tc>
        <w:tc>
          <w:tcPr>
            <w:tcW w:w="0" w:type="auto"/>
          </w:tcPr>
          <w:p w:rsidR="00D816FD" w:rsidRDefault="00CC3384">
            <w:pPr>
              <w:pStyle w:val="Compact"/>
              <w:jc w:val="right"/>
            </w:pPr>
            <w:r>
              <w:t>1,806,800</w:t>
            </w:r>
          </w:p>
        </w:tc>
        <w:tc>
          <w:tcPr>
            <w:tcW w:w="0" w:type="auto"/>
          </w:tcPr>
          <w:p w:rsidR="00D816FD" w:rsidRDefault="00CC3384">
            <w:pPr>
              <w:pStyle w:val="Compact"/>
              <w:jc w:val="right"/>
            </w:pPr>
            <w:r>
              <w:t>86.23</w:t>
            </w:r>
          </w:p>
        </w:tc>
        <w:tc>
          <w:tcPr>
            <w:tcW w:w="0" w:type="auto"/>
          </w:tcPr>
          <w:p w:rsidR="00D816FD" w:rsidRDefault="00CC3384">
            <w:pPr>
              <w:pStyle w:val="Compact"/>
              <w:jc w:val="right"/>
            </w:pPr>
            <w:r>
              <w:t>9.32</w:t>
            </w:r>
          </w:p>
        </w:tc>
        <w:tc>
          <w:tcPr>
            <w:tcW w:w="0" w:type="auto"/>
          </w:tcPr>
          <w:p w:rsidR="00D816FD" w:rsidRDefault="00CC3384">
            <w:pPr>
              <w:pStyle w:val="Compact"/>
              <w:jc w:val="right"/>
            </w:pPr>
            <w:r>
              <w:t>53.78</w:t>
            </w:r>
          </w:p>
        </w:tc>
      </w:tr>
    </w:tbl>
    <w:p w:rsidR="00887B77" w:rsidRDefault="00887B77">
      <w:pPr>
        <w:pStyle w:val="Heading1"/>
      </w:pPr>
      <w:bookmarkStart w:id="14" w:name="figures"/>
      <w:bookmarkEnd w:id="14"/>
    </w:p>
    <w:p w:rsidR="00887B77" w:rsidRDefault="00887B77" w:rsidP="00887B77">
      <w:pPr>
        <w:pStyle w:val="BodyText"/>
        <w:rPr>
          <w:rFonts w:ascii="Times New Roman" w:eastAsiaTheme="majorEastAsia" w:hAnsi="Times New Roman" w:cs="Times New Roman"/>
          <w:sz w:val="28"/>
          <w:szCs w:val="28"/>
        </w:rPr>
      </w:pPr>
      <w:r>
        <w:br w:type="page"/>
      </w:r>
    </w:p>
    <w:p w:rsidR="00D816FD" w:rsidRDefault="00CC3384">
      <w:pPr>
        <w:pStyle w:val="Heading1"/>
      </w:pPr>
      <w:bookmarkStart w:id="15" w:name="_GoBack"/>
      <w:bookmarkEnd w:id="15"/>
      <w:r>
        <w:lastRenderedPageBreak/>
        <w:t>F</w:t>
      </w:r>
      <w:r>
        <w:t>igures</w:t>
      </w:r>
    </w:p>
    <w:p w:rsidR="00D816FD" w:rsidRDefault="00CC3384">
      <w:pPr>
        <w:pStyle w:val="FirstParagraph"/>
      </w:pPr>
      <w:r>
        <w:rPr>
          <w:noProof/>
        </w:rPr>
        <w:drawing>
          <wp:inline distT="0" distB="0" distL="0" distR="0">
            <wp:extent cx="5943600" cy="26416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model1_N_retrospective_2005_2017.png"/>
                    <pic:cNvPicPr>
                      <a:picLocks noChangeAspect="1" noChangeArrowheads="1"/>
                    </pic:cNvPicPr>
                  </pic:nvPicPr>
                  <pic:blipFill>
                    <a:blip r:embed="rId10"/>
                    <a:stretch>
                      <a:fillRect/>
                    </a:stretch>
                  </pic:blipFill>
                  <pic:spPr bwMode="auto">
                    <a:xfrm>
                      <a:off x="0" y="0"/>
                      <a:ext cx="5943600" cy="2641600"/>
                    </a:xfrm>
                    <a:prstGeom prst="rect">
                      <a:avLst/>
                    </a:prstGeom>
                    <a:noFill/>
                    <a:ln w="9525">
                      <a:noFill/>
                      <a:headEnd/>
                      <a:tailEnd/>
                    </a:ln>
                  </pic:spPr>
                </pic:pic>
              </a:graphicData>
            </a:graphic>
          </wp:inline>
        </w:drawing>
      </w:r>
    </w:p>
    <w:p w:rsidR="00887B77" w:rsidRDefault="00CC3384">
      <w:pPr>
        <w:pStyle w:val="BodyText"/>
      </w:pPr>
      <w:r>
        <w:t>Figure 1. Abundance estimates from the current model (light green), adjusted current model (dark green), and previous against previous estimates of abundance (gold) from 2005 - 2017. Shaded areas indicate 95% credibility intervals from the posterior distri</w:t>
      </w:r>
      <w:r>
        <w:t>bution. The gold star shows the past forecast of abundance in 2017, which was poorly estimated due to a lack of a mark survey in 2016.</w:t>
      </w:r>
    </w:p>
    <w:p w:rsidR="00887B77" w:rsidRDefault="00887B77" w:rsidP="00887B77">
      <w:pPr>
        <w:pStyle w:val="BodyText"/>
      </w:pPr>
      <w:r>
        <w:br w:type="page"/>
      </w:r>
    </w:p>
    <w:p w:rsidR="00D816FD" w:rsidRDefault="00D816FD">
      <w:pPr>
        <w:pStyle w:val="BodyText"/>
      </w:pPr>
    </w:p>
    <w:p w:rsidR="00D816FD" w:rsidRDefault="00CC3384">
      <w:pPr>
        <w:pStyle w:val="BodyText"/>
      </w:pPr>
      <w:r>
        <w:rPr>
          <w:noProof/>
        </w:rPr>
        <w:drawing>
          <wp:inline distT="0" distB="0" distL="0" distR="0">
            <wp:extent cx="4587290" cy="366983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s/proportion_fembyage.png"/>
                    <pic:cNvPicPr>
                      <a:picLocks noChangeAspect="1" noChangeArrowheads="1"/>
                    </pic:cNvPicPr>
                  </pic:nvPicPr>
                  <pic:blipFill>
                    <a:blip r:embed="rId11"/>
                    <a:stretch>
                      <a:fillRect/>
                    </a:stretch>
                  </pic:blipFill>
                  <pic:spPr bwMode="auto">
                    <a:xfrm>
                      <a:off x="0" y="0"/>
                      <a:ext cx="4587290" cy="3669832"/>
                    </a:xfrm>
                    <a:prstGeom prst="rect">
                      <a:avLst/>
                    </a:prstGeom>
                    <a:noFill/>
                    <a:ln w="9525">
                      <a:noFill/>
                      <a:headEnd/>
                      <a:tailEnd/>
                    </a:ln>
                  </pic:spPr>
                </pic:pic>
              </a:graphicData>
            </a:graphic>
          </wp:inline>
        </w:drawing>
      </w:r>
    </w:p>
    <w:p w:rsidR="00887B77" w:rsidRDefault="00CC3384">
      <w:pPr>
        <w:pStyle w:val="BodyText"/>
      </w:pPr>
      <w:r>
        <w:t>Figure 2. Proportion of females at age in the commercial longline fishery (black) 2002 to 2017 and longline survey (gre</w:t>
      </w:r>
      <w:r>
        <w:t>y) 1988 to 2017. Shaded areas and smoothed curves are the predicted values and standard errors from a generalized additive model.</w:t>
      </w:r>
    </w:p>
    <w:p w:rsidR="00887B77" w:rsidRDefault="00887B77" w:rsidP="00887B77">
      <w:pPr>
        <w:pStyle w:val="BodyText"/>
      </w:pPr>
      <w:r>
        <w:br w:type="page"/>
      </w:r>
    </w:p>
    <w:p w:rsidR="00D816FD" w:rsidRDefault="00D816FD">
      <w:pPr>
        <w:pStyle w:val="BodyText"/>
      </w:pPr>
    </w:p>
    <w:p w:rsidR="00D816FD" w:rsidRDefault="00CC3384">
      <w:pPr>
        <w:pStyle w:val="BodyText"/>
      </w:pPr>
      <w:r>
        <w:rPr>
          <w:noProof/>
        </w:rPr>
        <w:drawing>
          <wp:inline distT="0" distB="0" distL="0" distR="0">
            <wp:extent cx="4587290" cy="366983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ures/proportion_fembyyear.png"/>
                    <pic:cNvPicPr>
                      <a:picLocks noChangeAspect="1" noChangeArrowheads="1"/>
                    </pic:cNvPicPr>
                  </pic:nvPicPr>
                  <pic:blipFill>
                    <a:blip r:embed="rId12"/>
                    <a:stretch>
                      <a:fillRect/>
                    </a:stretch>
                  </pic:blipFill>
                  <pic:spPr bwMode="auto">
                    <a:xfrm>
                      <a:off x="0" y="0"/>
                      <a:ext cx="4587290" cy="3669832"/>
                    </a:xfrm>
                    <a:prstGeom prst="rect">
                      <a:avLst/>
                    </a:prstGeom>
                    <a:noFill/>
                    <a:ln w="9525">
                      <a:noFill/>
                      <a:headEnd/>
                      <a:tailEnd/>
                    </a:ln>
                  </pic:spPr>
                </pic:pic>
              </a:graphicData>
            </a:graphic>
          </wp:inline>
        </w:drawing>
      </w:r>
    </w:p>
    <w:p w:rsidR="00887B77" w:rsidRDefault="00CC3384">
      <w:pPr>
        <w:pStyle w:val="BodyText"/>
      </w:pPr>
      <w:r>
        <w:t>Figure 3. Proportion of females in the commercial longline fishery (black) from 2002 to 2017 and longline survey (grey) from 1988 to 2017. Shaded areas and smoothed curves are the predicted values and standard errors from a generalized additive model.</w:t>
      </w:r>
    </w:p>
    <w:p w:rsidR="00887B77" w:rsidRDefault="00887B77" w:rsidP="00887B77">
      <w:pPr>
        <w:pStyle w:val="BodyText"/>
      </w:pPr>
      <w:r>
        <w:br w:type="page"/>
      </w:r>
    </w:p>
    <w:p w:rsidR="00D816FD" w:rsidRDefault="00D816FD">
      <w:pPr>
        <w:pStyle w:val="BodyText"/>
      </w:pPr>
    </w:p>
    <w:p w:rsidR="00D816FD" w:rsidRDefault="00CC3384">
      <w:pPr>
        <w:pStyle w:val="BodyText"/>
      </w:pPr>
      <w:r>
        <w:rPr>
          <w:noProof/>
        </w:rPr>
        <w:drawing>
          <wp:inline distT="0" distB="0" distL="0" distR="0">
            <wp:extent cx="5943600" cy="3396342"/>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ures/npue_llsrv.png"/>
                    <pic:cNvPicPr>
                      <a:picLocks noChangeAspect="1" noChangeArrowheads="1"/>
                    </pic:cNvPicPr>
                  </pic:nvPicPr>
                  <pic:blipFill>
                    <a:blip r:embed="rId13"/>
                    <a:stretch>
                      <a:fillRect/>
                    </a:stretch>
                  </pic:blipFill>
                  <pic:spPr bwMode="auto">
                    <a:xfrm>
                      <a:off x="0" y="0"/>
                      <a:ext cx="5943600" cy="3396342"/>
                    </a:xfrm>
                    <a:prstGeom prst="rect">
                      <a:avLst/>
                    </a:prstGeom>
                    <a:noFill/>
                    <a:ln w="9525">
                      <a:noFill/>
                      <a:headEnd/>
                      <a:tailEnd/>
                    </a:ln>
                  </pic:spPr>
                </pic:pic>
              </a:graphicData>
            </a:graphic>
          </wp:inline>
        </w:drawing>
      </w:r>
    </w:p>
    <w:p w:rsidR="00887B77" w:rsidRDefault="00CC3384">
      <w:pPr>
        <w:pStyle w:val="BodyText"/>
      </w:pPr>
      <w:r>
        <w:t>Fi</w:t>
      </w:r>
      <w:r>
        <w:t>gure 4. Longline survey CPUE in sablefish per hook (+/- 1 standard deviation), 1997 - 2017.</w:t>
      </w:r>
    </w:p>
    <w:p w:rsidR="00887B77" w:rsidRDefault="00887B77" w:rsidP="00887B77">
      <w:pPr>
        <w:pStyle w:val="BodyText"/>
      </w:pPr>
      <w:r>
        <w:br w:type="page"/>
      </w:r>
    </w:p>
    <w:p w:rsidR="00D816FD" w:rsidRDefault="00D816FD">
      <w:pPr>
        <w:pStyle w:val="BodyText"/>
      </w:pPr>
    </w:p>
    <w:p w:rsidR="00D816FD" w:rsidRDefault="00CC3384">
      <w:pPr>
        <w:pStyle w:val="BodyText"/>
      </w:pPr>
      <w:r>
        <w:rPr>
          <w:noProof/>
        </w:rPr>
        <w:drawing>
          <wp:inline distT="0" distB="0" distL="0" distR="0">
            <wp:extent cx="5943600" cy="339634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gures/fshcpue_1997_2017.png"/>
                    <pic:cNvPicPr>
                      <a:picLocks noChangeAspect="1" noChangeArrowheads="1"/>
                    </pic:cNvPicPr>
                  </pic:nvPicPr>
                  <pic:blipFill>
                    <a:blip r:embed="rId14"/>
                    <a:stretch>
                      <a:fillRect/>
                    </a:stretch>
                  </pic:blipFill>
                  <pic:spPr bwMode="auto">
                    <a:xfrm>
                      <a:off x="0" y="0"/>
                      <a:ext cx="5943600" cy="3396342"/>
                    </a:xfrm>
                    <a:prstGeom prst="rect">
                      <a:avLst/>
                    </a:prstGeom>
                    <a:noFill/>
                    <a:ln w="9525">
                      <a:noFill/>
                      <a:headEnd/>
                      <a:tailEnd/>
                    </a:ln>
                  </pic:spPr>
                </pic:pic>
              </a:graphicData>
            </a:graphic>
          </wp:inline>
        </w:drawing>
      </w:r>
    </w:p>
    <w:p w:rsidR="00887B77" w:rsidRDefault="00CC3384">
      <w:pPr>
        <w:pStyle w:val="BodyText"/>
      </w:pPr>
      <w:r>
        <w:t>Figure 5. Commercial longline fishery CPUE in round pounds per hook (+/- 1 standard deviation), 1997 - 2017.</w:t>
      </w:r>
    </w:p>
    <w:p w:rsidR="00887B77" w:rsidRDefault="00887B77" w:rsidP="00887B77">
      <w:pPr>
        <w:pStyle w:val="BodyText"/>
      </w:pPr>
      <w:r>
        <w:br w:type="page"/>
      </w:r>
    </w:p>
    <w:p w:rsidR="00D816FD" w:rsidRDefault="00D816FD">
      <w:pPr>
        <w:pStyle w:val="BodyText"/>
      </w:pPr>
    </w:p>
    <w:p w:rsidR="00D816FD" w:rsidRDefault="00CC3384">
      <w:pPr>
        <w:pStyle w:val="BodyText"/>
      </w:pPr>
      <w:r>
        <w:rPr>
          <w:noProof/>
        </w:rPr>
        <w:drawing>
          <wp:inline distT="0" distB="0" distL="0" distR="0">
            <wp:extent cx="5943600" cy="3962399"/>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gures/bubble_survey_agecomp_byyear.png"/>
                    <pic:cNvPicPr>
                      <a:picLocks noChangeAspect="1" noChangeArrowheads="1"/>
                    </pic:cNvPicPr>
                  </pic:nvPicPr>
                  <pic:blipFill>
                    <a:blip r:embed="rId15"/>
                    <a:stretch>
                      <a:fillRect/>
                    </a:stretch>
                  </pic:blipFill>
                  <pic:spPr bwMode="auto">
                    <a:xfrm>
                      <a:off x="0" y="0"/>
                      <a:ext cx="5943600" cy="3962399"/>
                    </a:xfrm>
                    <a:prstGeom prst="rect">
                      <a:avLst/>
                    </a:prstGeom>
                    <a:noFill/>
                    <a:ln w="9525">
                      <a:noFill/>
                      <a:headEnd/>
                      <a:tailEnd/>
                    </a:ln>
                  </pic:spPr>
                </pic:pic>
              </a:graphicData>
            </a:graphic>
          </wp:inline>
        </w:drawing>
      </w:r>
    </w:p>
    <w:p w:rsidR="00887B77" w:rsidRDefault="00CC3384">
      <w:pPr>
        <w:pStyle w:val="BodyText"/>
      </w:pPr>
      <w:r>
        <w:t xml:space="preserve">Figure 6. Proportions-at-age for males and females </w:t>
      </w:r>
      <w:r>
        <w:t>in the ADF&amp;G longline survey, 1997 - 2017.</w:t>
      </w:r>
    </w:p>
    <w:p w:rsidR="00887B77" w:rsidRDefault="00887B77" w:rsidP="00887B77">
      <w:pPr>
        <w:pStyle w:val="BodyText"/>
      </w:pPr>
      <w:r>
        <w:br w:type="page"/>
      </w:r>
    </w:p>
    <w:p w:rsidR="00D816FD" w:rsidRDefault="00D816FD">
      <w:pPr>
        <w:pStyle w:val="BodyText"/>
      </w:pPr>
    </w:p>
    <w:p w:rsidR="00D816FD" w:rsidRDefault="00CC3384">
      <w:pPr>
        <w:pStyle w:val="BodyText"/>
      </w:pPr>
      <w:r>
        <w:rPr>
          <w:noProof/>
        </w:rPr>
        <w:drawing>
          <wp:inline distT="0" distB="0" distL="0" distR="0">
            <wp:extent cx="5943600" cy="3962399"/>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gures/bubble_fishery_agecomp_byyear.png"/>
                    <pic:cNvPicPr>
                      <a:picLocks noChangeAspect="1" noChangeArrowheads="1"/>
                    </pic:cNvPicPr>
                  </pic:nvPicPr>
                  <pic:blipFill>
                    <a:blip r:embed="rId16"/>
                    <a:stretch>
                      <a:fillRect/>
                    </a:stretch>
                  </pic:blipFill>
                  <pic:spPr bwMode="auto">
                    <a:xfrm>
                      <a:off x="0" y="0"/>
                      <a:ext cx="5943600" cy="3962399"/>
                    </a:xfrm>
                    <a:prstGeom prst="rect">
                      <a:avLst/>
                    </a:prstGeom>
                    <a:noFill/>
                    <a:ln w="9525">
                      <a:noFill/>
                      <a:headEnd/>
                      <a:tailEnd/>
                    </a:ln>
                  </pic:spPr>
                </pic:pic>
              </a:graphicData>
            </a:graphic>
          </wp:inline>
        </w:drawing>
      </w:r>
    </w:p>
    <w:p w:rsidR="00887B77" w:rsidRDefault="00CC3384">
      <w:pPr>
        <w:pStyle w:val="BodyText"/>
      </w:pPr>
      <w:r>
        <w:t>Figure 7. Proportions-at-age for males and females in the longline fishery, 2002 - 2017.</w:t>
      </w:r>
    </w:p>
    <w:p w:rsidR="00887B77" w:rsidRDefault="00887B77" w:rsidP="00887B77">
      <w:pPr>
        <w:pStyle w:val="BodyText"/>
      </w:pPr>
      <w:r>
        <w:br w:type="page"/>
      </w:r>
    </w:p>
    <w:p w:rsidR="00D816FD" w:rsidRDefault="00D816FD">
      <w:pPr>
        <w:pStyle w:val="BodyText"/>
      </w:pPr>
    </w:p>
    <w:p w:rsidR="00D816FD" w:rsidRDefault="00CC3384" w:rsidP="00887B77">
      <w:pPr>
        <w:pStyle w:val="BodyText"/>
        <w:jc w:val="center"/>
      </w:pPr>
      <w:r>
        <w:rPr>
          <w:noProof/>
        </w:rPr>
        <w:drawing>
          <wp:inline distT="0" distB="0" distL="0" distR="0">
            <wp:extent cx="3669832" cy="3669832"/>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gures/mod1_Nposterior_adjustment.png"/>
                    <pic:cNvPicPr>
                      <a:picLocks noChangeAspect="1" noChangeArrowheads="1"/>
                    </pic:cNvPicPr>
                  </pic:nvPicPr>
                  <pic:blipFill>
                    <a:blip r:embed="rId17"/>
                    <a:stretch>
                      <a:fillRect/>
                    </a:stretch>
                  </pic:blipFill>
                  <pic:spPr bwMode="auto">
                    <a:xfrm>
                      <a:off x="0" y="0"/>
                      <a:ext cx="3669832" cy="3669832"/>
                    </a:xfrm>
                    <a:prstGeom prst="rect">
                      <a:avLst/>
                    </a:prstGeom>
                    <a:noFill/>
                    <a:ln w="9525">
                      <a:noFill/>
                      <a:headEnd/>
                      <a:tailEnd/>
                    </a:ln>
                  </pic:spPr>
                </pic:pic>
              </a:graphicData>
            </a:graphic>
          </wp:inline>
        </w:drawing>
      </w:r>
    </w:p>
    <w:p w:rsidR="00D816FD" w:rsidRDefault="00CC3384">
      <w:pPr>
        <w:pStyle w:val="BodyText"/>
      </w:pPr>
      <w:r>
        <w:t>Figure 8. The posterior distribution of abundance (sablefish in millions) in 2017. The dark shaded area represents the 9</w:t>
      </w:r>
      <w:r>
        <w:t>5% credibility interval, the solid grey line is the median abundance estimate, and the dashed grey line is the adjusted abundance estimate (15th percentile) recommended for the 2018 forecast.</w:t>
      </w:r>
    </w:p>
    <w:p w:rsidR="00D816FD" w:rsidRDefault="00CC3384">
      <w:pPr>
        <w:pStyle w:val="BodyText"/>
      </w:pPr>
      <w:r>
        <w:rPr>
          <w:noProof/>
        </w:rPr>
        <w:lastRenderedPageBreak/>
        <w:drawing>
          <wp:inline distT="0" distB="0" distL="0" distR="0">
            <wp:extent cx="5943600" cy="6736079"/>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gures/rel_rec_cumproplength_2005_2017.png"/>
                    <pic:cNvPicPr>
                      <a:picLocks noChangeAspect="1" noChangeArrowheads="1"/>
                    </pic:cNvPicPr>
                  </pic:nvPicPr>
                  <pic:blipFill>
                    <a:blip r:embed="rId18"/>
                    <a:stretch>
                      <a:fillRect/>
                    </a:stretch>
                  </pic:blipFill>
                  <pic:spPr bwMode="auto">
                    <a:xfrm>
                      <a:off x="0" y="0"/>
                      <a:ext cx="5943600" cy="6736079"/>
                    </a:xfrm>
                    <a:prstGeom prst="rect">
                      <a:avLst/>
                    </a:prstGeom>
                    <a:noFill/>
                    <a:ln w="9525">
                      <a:noFill/>
                      <a:headEnd/>
                      <a:tailEnd/>
                    </a:ln>
                  </pic:spPr>
                </pic:pic>
              </a:graphicData>
            </a:graphic>
          </wp:inline>
        </w:drawing>
      </w:r>
    </w:p>
    <w:p w:rsidR="00D816FD" w:rsidRDefault="00CC3384">
      <w:pPr>
        <w:pStyle w:val="BodyText"/>
      </w:pPr>
      <w:r>
        <w:t xml:space="preserve">Figure 9. The proportion at length released, predicted growth </w:t>
      </w:r>
      <w:r>
        <w:t>after release, and recaptured in Chatham Strait by 5-cm length bins, 2005 - 2017. Statistical areas are arranged roughly north to south along each axis.</w:t>
      </w:r>
    </w:p>
    <w:p w:rsidR="00D816FD" w:rsidRDefault="00CC3384">
      <w:pPr>
        <w:pStyle w:val="BodyText"/>
      </w:pPr>
      <w:r>
        <w:rPr>
          <w:noProof/>
        </w:rPr>
        <w:lastRenderedPageBreak/>
        <w:drawing>
          <wp:inline distT="0" distB="0" distL="0" distR="0">
            <wp:extent cx="5943600" cy="6736079"/>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gures/movement_matrix_2005_2017.png"/>
                    <pic:cNvPicPr>
                      <a:picLocks noChangeAspect="1" noChangeArrowheads="1"/>
                    </pic:cNvPicPr>
                  </pic:nvPicPr>
                  <pic:blipFill>
                    <a:blip r:embed="rId19"/>
                    <a:stretch>
                      <a:fillRect/>
                    </a:stretch>
                  </pic:blipFill>
                  <pic:spPr bwMode="auto">
                    <a:xfrm>
                      <a:off x="0" y="0"/>
                      <a:ext cx="5943600" cy="6736079"/>
                    </a:xfrm>
                    <a:prstGeom prst="rect">
                      <a:avLst/>
                    </a:prstGeom>
                    <a:noFill/>
                    <a:ln w="9525">
                      <a:noFill/>
                      <a:headEnd/>
                      <a:tailEnd/>
                    </a:ln>
                  </pic:spPr>
                </pic:pic>
              </a:graphicData>
            </a:graphic>
          </wp:inline>
        </w:drawing>
      </w:r>
    </w:p>
    <w:p w:rsidR="00D816FD" w:rsidRDefault="00CC3384">
      <w:pPr>
        <w:pStyle w:val="BodyText"/>
      </w:pPr>
      <w:r>
        <w:t>Figure 10. The probability of being recaptured in a statistical area given release area, 2005 - 2017.</w:t>
      </w:r>
      <w:r>
        <w:t xml:space="preserve"> Statistical areas are arranged roughly north to south along each axis.</w:t>
      </w:r>
    </w:p>
    <w:p w:rsidR="00D816FD" w:rsidRDefault="00CC3384">
      <w:pPr>
        <w:pStyle w:val="BodyText"/>
      </w:pPr>
      <w:r>
        <w:rPr>
          <w:noProof/>
        </w:rPr>
        <w:lastRenderedPageBreak/>
        <w:drawing>
          <wp:inline distT="0" distB="0" distL="0" distR="0">
            <wp:extent cx="5943600" cy="59436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gures/N_scaledwithin_2005_2017.png"/>
                    <pic:cNvPicPr>
                      <a:picLocks noChangeAspect="1" noChangeArrowheads="1"/>
                    </pic:cNvPicPr>
                  </pic:nvPicPr>
                  <pic:blipFill>
                    <a:blip r:embed="rId20"/>
                    <a:stretch>
                      <a:fillRect/>
                    </a:stretch>
                  </pic:blipFill>
                  <pic:spPr bwMode="auto">
                    <a:xfrm>
                      <a:off x="0" y="0"/>
                      <a:ext cx="5943600" cy="5943600"/>
                    </a:xfrm>
                    <a:prstGeom prst="rect">
                      <a:avLst/>
                    </a:prstGeom>
                    <a:noFill/>
                    <a:ln w="9525">
                      <a:noFill/>
                      <a:headEnd/>
                      <a:tailEnd/>
                    </a:ln>
                  </pic:spPr>
                </pic:pic>
              </a:graphicData>
            </a:graphic>
          </wp:inline>
        </w:drawing>
      </w:r>
    </w:p>
    <w:p w:rsidR="00D816FD" w:rsidRDefault="00CC3384">
      <w:pPr>
        <w:pStyle w:val="BodyText"/>
      </w:pPr>
      <w:r>
        <w:t>Figure 11. Centered and scaled abundance estimates from four mark-recapture models over a range of different numbers of time periods for years with a mark survey, 2005 - 2017.</w:t>
      </w:r>
    </w:p>
    <w:p w:rsidR="00D816FD" w:rsidRDefault="00CC3384">
      <w:pPr>
        <w:pStyle w:val="BodyText"/>
      </w:pPr>
      <w:r>
        <w:rPr>
          <w:noProof/>
        </w:rPr>
        <w:lastRenderedPageBreak/>
        <w:drawing>
          <wp:inline distT="0" distB="0" distL="0" distR="0">
            <wp:extent cx="5943600" cy="6736079"/>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gures/net_migration_estimates.png"/>
                    <pic:cNvPicPr>
                      <a:picLocks noChangeAspect="1" noChangeArrowheads="1"/>
                    </pic:cNvPicPr>
                  </pic:nvPicPr>
                  <pic:blipFill>
                    <a:blip r:embed="rId21"/>
                    <a:stretch>
                      <a:fillRect/>
                    </a:stretch>
                  </pic:blipFill>
                  <pic:spPr bwMode="auto">
                    <a:xfrm>
                      <a:off x="0" y="0"/>
                      <a:ext cx="5943600" cy="6736079"/>
                    </a:xfrm>
                    <a:prstGeom prst="rect">
                      <a:avLst/>
                    </a:prstGeom>
                    <a:noFill/>
                    <a:ln w="9525">
                      <a:noFill/>
                      <a:headEnd/>
                      <a:tailEnd/>
                    </a:ln>
                  </pic:spPr>
                </pic:pic>
              </a:graphicData>
            </a:graphic>
          </wp:inline>
        </w:drawing>
      </w:r>
    </w:p>
    <w:p w:rsidR="00D816FD" w:rsidRDefault="00CC3384">
      <w:pPr>
        <w:pStyle w:val="BodyText"/>
      </w:pPr>
      <w:r>
        <w:t>Figu</w:t>
      </w:r>
      <w:r>
        <w:t>re 12. Posterior distribution of net migration into Chatham Strait with 95% credibility intervals shaded (Model 2, P=6). The median point estimate is denoted in the red dashed line. The solid blue line at net 0 migration aids in visualization of results ac</w:t>
      </w:r>
      <w:r>
        <w:t>ross years with a mark survey, 2005 - 2017.</w:t>
      </w:r>
    </w:p>
    <w:p w:rsidR="00D816FD" w:rsidRDefault="00CC3384">
      <w:pPr>
        <w:pStyle w:val="BodyText"/>
      </w:pPr>
      <w:r>
        <w:rPr>
          <w:noProof/>
        </w:rPr>
        <w:lastRenderedPageBreak/>
        <w:drawing>
          <wp:inline distT="0" distB="0" distL="0" distR="0">
            <wp:extent cx="5943600" cy="6736079"/>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gures/NPUE_obsvsfitted.png"/>
                    <pic:cNvPicPr>
                      <a:picLocks noChangeAspect="1" noChangeArrowheads="1"/>
                    </pic:cNvPicPr>
                  </pic:nvPicPr>
                  <pic:blipFill>
                    <a:blip r:embed="rId22"/>
                    <a:stretch>
                      <a:fillRect/>
                    </a:stretch>
                  </pic:blipFill>
                  <pic:spPr bwMode="auto">
                    <a:xfrm>
                      <a:off x="0" y="0"/>
                      <a:ext cx="5943600" cy="6736079"/>
                    </a:xfrm>
                    <a:prstGeom prst="rect">
                      <a:avLst/>
                    </a:prstGeom>
                    <a:noFill/>
                    <a:ln w="9525">
                      <a:noFill/>
                      <a:headEnd/>
                      <a:tailEnd/>
                    </a:ln>
                  </pic:spPr>
                </pic:pic>
              </a:graphicData>
            </a:graphic>
          </wp:inline>
        </w:drawing>
      </w:r>
    </w:p>
    <w:p w:rsidR="00D816FD" w:rsidRDefault="00CC3384">
      <w:pPr>
        <w:pStyle w:val="BodyText"/>
      </w:pPr>
      <w:r>
        <w:t>Figure 13. Observed (black) versus fitted (grey) CPUE (sablefish per 1000 hooks) in the longline fishery (Model 3, P=6) for years with a mark survey, 2005 - 2017. Grey shaded areas indicate 95% credibility inte</w:t>
      </w:r>
      <w:r>
        <w:t>rvals from the posterior distribution.</w:t>
      </w:r>
    </w:p>
    <w:sectPr w:rsidR="00D816FD">
      <w:footerReference w:type="default" r:id="rId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3384" w:rsidRDefault="00CC3384">
      <w:pPr>
        <w:spacing w:after="0"/>
      </w:pPr>
      <w:r>
        <w:separator/>
      </w:r>
    </w:p>
  </w:endnote>
  <w:endnote w:type="continuationSeparator" w:id="0">
    <w:p w:rsidR="00CC3384" w:rsidRDefault="00CC33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4178694"/>
      <w:docPartObj>
        <w:docPartGallery w:val="Page Numbers (Bottom of Page)"/>
        <w:docPartUnique/>
      </w:docPartObj>
    </w:sdtPr>
    <w:sdtEndPr>
      <w:rPr>
        <w:noProof/>
      </w:rPr>
    </w:sdtEndPr>
    <w:sdtContent>
      <w:p w:rsidR="00887B77" w:rsidRDefault="00887B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87B77" w:rsidRDefault="00887B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3384" w:rsidRDefault="00CC3384">
      <w:r>
        <w:separator/>
      </w:r>
    </w:p>
  </w:footnote>
  <w:footnote w:type="continuationSeparator" w:id="0">
    <w:p w:rsidR="00CC3384" w:rsidRDefault="00CC33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C5E22D"/>
    <w:multiLevelType w:val="multilevel"/>
    <w:tmpl w:val="323A31B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2FA57B8"/>
    <w:multiLevelType w:val="multilevel"/>
    <w:tmpl w:val="8084D8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0DCE0B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1F60B6C5"/>
    <w:multiLevelType w:val="multilevel"/>
    <w:tmpl w:val="6E1CAD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3619AA8"/>
    <w:multiLevelType w:val="multilevel"/>
    <w:tmpl w:val="DFE031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5087B5B1"/>
    <w:multiLevelType w:val="multilevel"/>
    <w:tmpl w:val="094E447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6698CFA4"/>
    <w:multiLevelType w:val="multilevel"/>
    <w:tmpl w:val="A29CDD3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3"/>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num>
  <w:num w:numId="8">
    <w:abstractNumId w:val="6"/>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87B77"/>
    <w:rsid w:val="008D6863"/>
    <w:rsid w:val="00B86B75"/>
    <w:rsid w:val="00BC48D5"/>
    <w:rsid w:val="00C36279"/>
    <w:rsid w:val="00CC3384"/>
    <w:rsid w:val="00D816F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570DE"/>
  <w15:docId w15:val="{8444B1F5-A91C-4225-84F8-7837257E2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16726C"/>
    <w:pPr>
      <w:keepNext/>
      <w:keepLines/>
      <w:spacing w:before="480" w:after="0" w:line="480" w:lineRule="auto"/>
      <w:outlineLvl w:val="0"/>
    </w:pPr>
    <w:rPr>
      <w:rFonts w:ascii="Times New Roman" w:eastAsiaTheme="majorEastAsia" w:hAnsi="Times New Roman" w:cs="Times New Roman"/>
      <w:b/>
      <w:bCs/>
      <w:sz w:val="28"/>
      <w:szCs w:val="28"/>
    </w:rPr>
  </w:style>
  <w:style w:type="paragraph" w:styleId="Heading2">
    <w:name w:val="heading 2"/>
    <w:basedOn w:val="Normal"/>
    <w:next w:val="BodyText"/>
    <w:uiPriority w:val="9"/>
    <w:unhideWhenUsed/>
    <w:qFormat/>
    <w:rsid w:val="0016726C"/>
    <w:pPr>
      <w:keepNext/>
      <w:keepLines/>
      <w:spacing w:before="200" w:after="0"/>
      <w:outlineLvl w:val="1"/>
    </w:pPr>
    <w:rPr>
      <w:rFonts w:ascii="Times New Roman" w:eastAsiaTheme="majorEastAsia" w:hAnsi="Times New Roman" w:cs="Times New Roman"/>
      <w:b/>
      <w:bCs/>
      <w:i/>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74DDC"/>
    <w:pPr>
      <w:keepNext/>
      <w:keepLines/>
      <w:spacing w:before="480" w:after="240"/>
      <w:jc w:val="center"/>
    </w:pPr>
    <w:rPr>
      <w:rFonts w:ascii="Times New Roman" w:eastAsiaTheme="majorEastAsia" w:hAnsi="Times New Roman" w:cs="Times New Roman"/>
      <w:b/>
      <w:bCs/>
      <w:sz w:val="32"/>
      <w:szCs w:val="28"/>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887B77"/>
    <w:pPr>
      <w:tabs>
        <w:tab w:val="center" w:pos="4680"/>
        <w:tab w:val="right" w:pos="9360"/>
      </w:tabs>
      <w:spacing w:after="0"/>
    </w:pPr>
  </w:style>
  <w:style w:type="character" w:customStyle="1" w:styleId="HeaderChar">
    <w:name w:val="Header Char"/>
    <w:basedOn w:val="DefaultParagraphFont"/>
    <w:link w:val="Header"/>
    <w:rsid w:val="00887B77"/>
  </w:style>
  <w:style w:type="paragraph" w:styleId="Footer">
    <w:name w:val="footer"/>
    <w:basedOn w:val="Normal"/>
    <w:link w:val="FooterChar"/>
    <w:uiPriority w:val="99"/>
    <w:unhideWhenUsed/>
    <w:rsid w:val="00887B77"/>
    <w:pPr>
      <w:tabs>
        <w:tab w:val="center" w:pos="4680"/>
        <w:tab w:val="right" w:pos="9360"/>
      </w:tabs>
      <w:spacing w:after="0"/>
    </w:pPr>
  </w:style>
  <w:style w:type="character" w:customStyle="1" w:styleId="FooterChar">
    <w:name w:val="Footer Char"/>
    <w:basedOn w:val="DefaultParagraphFont"/>
    <w:link w:val="Footer"/>
    <w:uiPriority w:val="99"/>
    <w:rsid w:val="00887B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cholarship.org/uc/item/9050x4r4"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github.com/commfish/seak_sablefish"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epwww.stanford.edu/doku.php?id=sep:research:reproducible:cip"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4275</Words>
  <Characters>24371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2018 Chatham Strait Sablefish Stock Assessment</vt:lpstr>
    </vt:vector>
  </TitlesOfParts>
  <Company/>
  <LinksUpToDate>false</LinksUpToDate>
  <CharactersWithSpaces>28589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2018 Chatham Strait Sablefish Stock Assessment</dc:title>
  <dc:creator>Sullivan, Jane Y (DFG)</dc:creator>
  <cp:lastModifiedBy>Sullivan, Jane Y (DFG)</cp:lastModifiedBy>
  <cp:revision>2</cp:revision>
  <dcterms:created xsi:type="dcterms:W3CDTF">2018-05-03T00:10:00Z</dcterms:created>
  <dcterms:modified xsi:type="dcterms:W3CDTF">2018-05-03T00:10:00Z</dcterms:modified>
</cp:coreProperties>
</file>