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изучения языка ассемблера, использование подпрограмм и знакомство с методами отладки при помощи GDB.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каталог для 9 лабораторной работы, создадим файл и не забудем скопировать файл in_out.asm в этот же каталог(рис. ??).</w:t>
      </w:r>
    </w:p>
    <w:p>
      <w:pPr>
        <w:pStyle w:val="CaptionedFigure"/>
      </w:pPr>
      <w:r>
        <w:drawing>
          <wp:inline>
            <wp:extent cx="3733800" cy="916580"/>
            <wp:effectExtent b="0" l="0" r="0" t="0"/>
            <wp:docPr descr="Создание каталога и файл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Затем заполним файл текстом из Листинга 9.1, создадим исполняемый файл и запустим(рис. ??).</w:t>
      </w:r>
    </w:p>
    <w:p>
      <w:pPr>
        <w:pStyle w:val="CaptionedFigure"/>
      </w:pPr>
      <w:r>
        <w:drawing>
          <wp:inline>
            <wp:extent cx="3733800" cy="776705"/>
            <wp:effectExtent b="0" l="0" r="0" t="0"/>
            <wp:docPr descr="Запуск программ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Потом изменим программу, добавив подпрограмму _subcalcul и также запустим ее(рис. ??).</w:t>
      </w:r>
    </w:p>
    <w:p>
      <w:pPr>
        <w:pStyle w:val="CaptionedFigure"/>
      </w:pPr>
      <w:r>
        <w:drawing>
          <wp:inline>
            <wp:extent cx="3733800" cy="817654"/>
            <wp:effectExtent b="0" l="0" r="0" t="0"/>
            <wp:docPr descr="Создание подпрограммы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подпрограммы</w:t>
      </w:r>
    </w:p>
    <w:p>
      <w:pPr>
        <w:pStyle w:val="BodyText"/>
      </w:pPr>
      <w:r>
        <w:t xml:space="preserve">Далее добавим файл lab09-2.asm с текстом программы из Листинга 9.2, создадим исполняемый файл с ключом -g для отладочной информации и загрузим его в отладчик(рис. ??).</w:t>
      </w:r>
    </w:p>
    <w:p>
      <w:pPr>
        <w:pStyle w:val="CaptionedFigure"/>
      </w:pPr>
      <w:r>
        <w:drawing>
          <wp:inline>
            <wp:extent cx="3733800" cy="2117524"/>
            <wp:effectExtent b="0" l="0" r="0" t="0"/>
            <wp:docPr descr="Загрузка в отладчик(и создание файла)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 отладчик(и создание файла)</w:t>
      </w:r>
    </w:p>
    <w:p>
      <w:pPr>
        <w:pStyle w:val="BodyText"/>
      </w:pPr>
      <w:r>
        <w:t xml:space="preserve">Затем командой run запустим программу(рис. ??), также добавим брейкпоинт и еще раз запустим ее(рис. ??).</w:t>
      </w:r>
    </w:p>
    <w:p>
      <w:pPr>
        <w:pStyle w:val="CaptionedFigure"/>
      </w:pPr>
      <w:r>
        <w:drawing>
          <wp:inline>
            <wp:extent cx="3733800" cy="787645"/>
            <wp:effectExtent b="0" l="0" r="0" t="0"/>
            <wp:docPr descr="Запуск программы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CaptionedFigure"/>
      </w:pPr>
      <w:r>
        <w:drawing>
          <wp:inline>
            <wp:extent cx="3733800" cy="1218712"/>
            <wp:effectExtent b="0" l="0" r="0" t="0"/>
            <wp:docPr descr="Установка брейкпоинта и запуск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</w:t>
      </w:r>
    </w:p>
    <w:p>
      <w:pPr>
        <w:pStyle w:val="BodyText"/>
      </w:pPr>
      <w:r>
        <w:t xml:space="preserve">Посмотрим дисассимилированный код программы командой disassemble(рис. ??), также переключимся на отображение с Intel’овским синтаксисом(рис. ??).</w:t>
      </w:r>
      <w:r>
        <w:t xml:space="preserve"> </w:t>
      </w:r>
      <w:r>
        <w:t xml:space="preserve">Отличаются порядком операндов, записью числовых констант, наличием/отсутствием % перед именем регистра и тд.</w:t>
      </w:r>
    </w:p>
    <w:p>
      <w:pPr>
        <w:pStyle w:val="CaptionedFigure"/>
      </w:pPr>
      <w:r>
        <w:drawing>
          <wp:inline>
            <wp:extent cx="3733800" cy="3071090"/>
            <wp:effectExtent b="0" l="0" r="0" t="0"/>
            <wp:docPr descr="Дисассимилированный код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</w:t>
      </w:r>
    </w:p>
    <w:p>
      <w:pPr>
        <w:pStyle w:val="CaptionedFigure"/>
      </w:pPr>
      <w:r>
        <w:drawing>
          <wp:inline>
            <wp:extent cx="3733800" cy="2975810"/>
            <wp:effectExtent b="0" l="0" r="0" t="0"/>
            <wp:docPr descr="Дисассимилированный код с Intel’овским синтаксисом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с Intel’овским синтаксисом</w:t>
      </w:r>
    </w:p>
    <w:p>
      <w:pPr>
        <w:pStyle w:val="BodyText"/>
      </w:pPr>
      <w:r>
        <w:t xml:space="preserve">Далее включим режим псевдографики и сразу посмотрим уже установленные ранее точки останова(рис. ??)</w:t>
      </w:r>
    </w:p>
    <w:p>
      <w:pPr>
        <w:pStyle w:val="CaptionedFigure"/>
      </w:pPr>
      <w:r>
        <w:drawing>
          <wp:inline>
            <wp:extent cx="3733800" cy="2214529"/>
            <wp:effectExtent b="0" l="0" r="0" t="0"/>
            <wp:docPr descr="Режим псевдографики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4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Установим еще один брейкпоинт и еще раз проверим информацию о всех точках останова(рис. ??).</w:t>
      </w:r>
    </w:p>
    <w:p>
      <w:pPr>
        <w:pStyle w:val="CaptionedFigure"/>
      </w:pPr>
      <w:r>
        <w:drawing>
          <wp:inline>
            <wp:extent cx="3733800" cy="3474118"/>
            <wp:effectExtent b="0" l="0" r="0" t="0"/>
            <wp:docPr descr="Установка и просмотр точек останова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 просмотр точек останова</w:t>
      </w:r>
    </w:p>
    <w:p>
      <w:pPr>
        <w:pStyle w:val="BodyText"/>
      </w:pPr>
      <w:r>
        <w:t xml:space="preserve">Чтобы посмотреть содержимое регистров введем info registers(рис. ??).</w:t>
      </w:r>
    </w:p>
    <w:p>
      <w:pPr>
        <w:pStyle w:val="CaptionedFigure"/>
      </w:pPr>
      <w:r>
        <w:drawing>
          <wp:inline>
            <wp:extent cx="3733800" cy="2503223"/>
            <wp:effectExtent b="0" l="0" r="0" t="0"/>
            <wp:docPr descr="info registers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info registers</w:t>
      </w:r>
    </w:p>
    <w:p>
      <w:pPr>
        <w:pStyle w:val="BodyText"/>
      </w:pPr>
      <w:r>
        <w:t xml:space="preserve">Затем посмотрим значение переменной msg1 по имени и msg2 по адресу(рис. ??).</w:t>
      </w:r>
    </w:p>
    <w:p>
      <w:pPr>
        <w:pStyle w:val="CaptionedFigure"/>
      </w:pPr>
      <w:r>
        <w:drawing>
          <wp:inline>
            <wp:extent cx="3733800" cy="3696684"/>
            <wp:effectExtent b="0" l="0" r="0" t="0"/>
            <wp:docPr descr="Просмотр значений переменных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6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После инструкцией set изменим символы в переменных msg1 и msg2(рис. ??)</w:t>
      </w:r>
    </w:p>
    <w:p>
      <w:pPr>
        <w:pStyle w:val="CaptionedFigure"/>
      </w:pPr>
      <w:r>
        <w:drawing>
          <wp:inline>
            <wp:extent cx="3733800" cy="770096"/>
            <wp:effectExtent b="0" l="0" r="0" t="0"/>
            <wp:docPr descr="Изменение символов в переменных" title="fig: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символов в переменных</w:t>
      </w:r>
    </w:p>
    <w:p>
      <w:pPr>
        <w:pStyle w:val="BodyText"/>
      </w:pPr>
      <w:r>
        <w:t xml:space="preserve">Наконец командой print посмотрим значения регистра(в 16ричном,2оичном и символьном форматах)(рис. ??) и изменим значение регистра ebx(симол и число)(рис. ??).</w:t>
      </w:r>
    </w:p>
    <w:p>
      <w:pPr>
        <w:pStyle w:val="CaptionedFigure"/>
      </w:pPr>
      <w:r>
        <w:drawing>
          <wp:inline>
            <wp:extent cx="3733800" cy="3389897"/>
            <wp:effectExtent b="0" l="0" r="0" t="0"/>
            <wp:docPr descr="Просмотр значения edx" title="fig: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edx</w:t>
      </w:r>
    </w:p>
    <w:p>
      <w:pPr>
        <w:pStyle w:val="CaptionedFigure"/>
      </w:pPr>
      <w:r>
        <w:drawing>
          <wp:inline>
            <wp:extent cx="3733800" cy="3106638"/>
            <wp:effectExtent b="0" l="0" r="0" t="0"/>
            <wp:docPr descr="Изменение регистра еbx" title="fig:" id="64" name="Picture"/>
            <a:graphic>
              <a:graphicData uri="http://schemas.openxmlformats.org/drawingml/2006/picture">
                <pic:pic>
                  <pic:nvPicPr>
                    <pic:cNvPr descr="image/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еbx</w:t>
      </w:r>
    </w:p>
    <w:p>
      <w:pPr>
        <w:pStyle w:val="BodyText"/>
      </w:pPr>
      <w:r>
        <w:t xml:space="preserve">Следующим этапом скопируем файл из предыдущией работы и создадим исполняемый файл(рис. ??).</w:t>
      </w:r>
    </w:p>
    <w:p>
      <w:pPr>
        <w:pStyle w:val="CaptionedFigure"/>
      </w:pPr>
      <w:r>
        <w:drawing>
          <wp:inline>
            <wp:extent cx="3733800" cy="751945"/>
            <wp:effectExtent b="0" l="0" r="0" t="0"/>
            <wp:docPr descr="Копирование файла" title="fig: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Загрузим эту программу в отладчик использовав ключ –args, установим точку останова и запустим ее(рис. ??).</w:t>
      </w:r>
    </w:p>
    <w:p>
      <w:pPr>
        <w:pStyle w:val="CaptionedFigure"/>
      </w:pPr>
      <w:r>
        <w:drawing>
          <wp:inline>
            <wp:extent cx="3733800" cy="2658508"/>
            <wp:effectExtent b="0" l="0" r="0" t="0"/>
            <wp:docPr descr="Запуск прораммы в отладчике" title="fig: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прораммы в отладчике</w:t>
      </w:r>
    </w:p>
    <w:p>
      <w:pPr>
        <w:pStyle w:val="BodyText"/>
      </w:pPr>
      <w:r>
        <w:t xml:space="preserve">В конце посмотрим, что число аргументов равно 5 - посмотрим остальные позиции стека по адресу(рис. ??).</w:t>
      </w:r>
    </w:p>
    <w:p>
      <w:pPr>
        <w:pStyle w:val="CaptionedFigure"/>
      </w:pPr>
      <w:r>
        <w:drawing>
          <wp:inline>
            <wp:extent cx="3733800" cy="1642035"/>
            <wp:effectExtent b="0" l="0" r="0" t="0"/>
            <wp:docPr descr="Просмотр позиций стека" title="fig: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позиций стека</w:t>
      </w:r>
    </w:p>
    <w:bookmarkEnd w:id="75"/>
    <w:bookmarkStart w:id="85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Преобразуем программу из 8 лабораторной работы, реализовав вычисление функции как подпрограммы(рис.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Код и запуск программы" title="fig: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и запуск программы</w:t>
      </w:r>
    </w:p>
    <w:p>
      <w:pPr>
        <w:numPr>
          <w:ilvl w:val="0"/>
          <w:numId w:val="1002"/>
        </w:numPr>
        <w:pStyle w:val="Compact"/>
      </w:pPr>
      <w:r>
        <w:t xml:space="preserve">Определение и исправление ошибки из Лиситнга 9.3</w:t>
      </w:r>
      <w:r>
        <w:t xml:space="preserve"> </w:t>
      </w:r>
      <w:r>
        <w:t xml:space="preserve">C помощью отладчика gdb, поочередно выполняя команды и следя за значениями регистров, видим, что ошибка возникает из-за неправильной записи резултата сложения в регистр ebx, а не eax, так как при последующем умножении, умножается именно регистр eax(рис. ??).</w:t>
      </w:r>
    </w:p>
    <w:p>
      <w:pPr>
        <w:pStyle w:val="CaptionedFigure"/>
      </w:pPr>
      <w:r>
        <w:drawing>
          <wp:inline>
            <wp:extent cx="3733800" cy="2398166"/>
            <wp:effectExtent b="0" l="0" r="0" t="0"/>
            <wp:docPr descr="Поиск ошибки" title="fig: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ошибки</w:t>
      </w:r>
    </w:p>
    <w:p>
      <w:pPr>
        <w:pStyle w:val="BodyText"/>
      </w:pPr>
      <w:r>
        <w:t xml:space="preserve">Исправим код программы и запустим ее(рис. ??).</w:t>
      </w:r>
    </w:p>
    <w:p>
      <w:pPr>
        <w:pStyle w:val="CaptionedFigure"/>
      </w:pPr>
      <w:r>
        <w:drawing>
          <wp:inline>
            <wp:extent cx="3733800" cy="1290311"/>
            <wp:effectExtent b="0" l="0" r="0" t="0"/>
            <wp:docPr descr="Код и запуск программы" title="fig: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и запуск программы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было произведено знакомство с методами и возможностями отладки программ, применены подпрограммы.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Жибицкая Евгения Дмитриевна</dc:creator>
  <dc:language>ru-RU</dc:language>
  <cp:keywords/>
  <dcterms:created xsi:type="dcterms:W3CDTF">2023-12-09T13:25:46Z</dcterms:created>
  <dcterms:modified xsi:type="dcterms:W3CDTF">2023-12-09T13:25:46Z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