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480" w:after="120"/>
        <w:rPr/>
      </w:pPr>
      <w:bookmarkStart w:id="0" w:name="_4zlx2r7yfscd"/>
      <w:bookmarkEnd w:id="0"/>
      <w:r>
        <w:rPr/>
        <w:t>Employing co-expression networks to identify transcriptome diversification in maize lines</w:t>
      </w:r>
    </w:p>
    <w:p>
      <w:pPr>
        <w:pStyle w:val="Subtitle"/>
        <w:jc w:val="left"/>
        <w:rPr/>
      </w:pPr>
      <w:bookmarkStart w:id="1" w:name="_tkxiaxvqikis"/>
      <w:bookmarkEnd w:id="1"/>
      <w:r>
        <w:rPr>
          <w:b/>
          <w:i w:val="false"/>
          <w:sz w:val="26"/>
          <w:szCs w:val="26"/>
        </w:rPr>
        <w:t>Author:</w:t>
      </w:r>
      <w:r>
        <w:rPr>
          <w:i w:val="false"/>
          <w:sz w:val="26"/>
          <w:szCs w:val="26"/>
        </w:rPr>
        <w:t xml:space="preserve"> Jan Izquierdo i Ramos</w:t>
        <w:br/>
      </w:r>
      <w:r>
        <w:rPr>
          <w:b/>
          <w:i w:val="false"/>
          <w:sz w:val="26"/>
          <w:szCs w:val="26"/>
        </w:rPr>
        <w:t>Scientific director:</w:t>
      </w:r>
      <w:r>
        <w:rPr>
          <w:i w:val="false"/>
          <w:sz w:val="26"/>
          <w:szCs w:val="26"/>
        </w:rPr>
        <w:t xml:space="preserve"> Dr. Georg Haberer</w:t>
      </w:r>
    </w:p>
    <w:p>
      <w:pPr>
        <w:pStyle w:val="LOnormal"/>
        <w:rPr/>
      </w:pPr>
      <w:r>
        <w:rPr/>
      </w:r>
    </w:p>
    <w:p>
      <w:pPr>
        <w:pStyle w:val="Subtitle"/>
        <w:jc w:val="both"/>
        <w:rPr>
          <w:sz w:val="21"/>
          <w:szCs w:val="21"/>
        </w:rPr>
      </w:pPr>
      <w:bookmarkStart w:id="2" w:name="_nlx4ohp840vc"/>
      <w:bookmarkEnd w:id="2"/>
      <w:r>
        <w:rPr>
          <w:sz w:val="21"/>
          <w:szCs w:val="21"/>
        </w:rPr>
        <w:t xml:space="preserve">Plant Genome and Systems Biology, Environmental Health Center, Helmholtz Munich. </w:t>
      </w:r>
    </w:p>
    <w:p>
      <w:pPr>
        <w:pStyle w:val="Subtitle"/>
        <w:jc w:val="both"/>
        <w:rPr>
          <w:sz w:val="21"/>
          <w:szCs w:val="21"/>
        </w:rPr>
      </w:pPr>
      <w:bookmarkStart w:id="3" w:name="_vscglt2n1leg"/>
      <w:bookmarkEnd w:id="3"/>
      <w:r>
        <w:rPr>
          <w:sz w:val="21"/>
          <w:szCs w:val="21"/>
        </w:rPr>
        <w:t>Address: Ingolstädter Landstraße 1, 85764 Neuherberg, Munich</w:t>
      </w:r>
    </w:p>
    <w:p>
      <w:pPr>
        <w:pStyle w:val="LOnormal"/>
        <w:rPr/>
      </w:pPr>
      <w:r>
        <w:rPr/>
        <mc:AlternateContent>
          <mc:Choice Requires="wps">
            <w:drawing>
              <wp:inline distT="0" distB="0" distL="0" distR="0">
                <wp:extent cx="6120765" cy="19050"/>
                <wp:effectExtent l="0" t="0" r="0" b="0"/>
                <wp:docPr id="1" name="Shape1"/>
                <a:graphic xmlns:a="http://schemas.openxmlformats.org/drawingml/2006/main">
                  <a:graphicData uri="http://schemas.microsoft.com/office/word/2010/wordprocessingShape">
                    <wps:wsp>
                      <wps:cNvSpPr/>
                      <wps:spPr>
                        <a:xfrm>
                          <a:off x="0" y="0"/>
                          <a:ext cx="612072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 path="m0,0l-2147483645,0l-2147483645,-2147483646l0,-2147483646xe" fillcolor="#a0a0a0" stroked="f" o:allowincell="f" style="position:absolute;margin-left:0pt;margin-top:-1.55pt;width:481.9pt;height:1.45pt;mso-wrap-style:none;v-text-anchor:middle;mso-position-vertical:top">
                <v:fill o:detectmouseclick="t" type="solid" color2="#5f5f5f"/>
                <v:stroke color="#3465a4" joinstyle="round" endcap="flat"/>
                <w10:wrap type="square"/>
              </v:rect>
            </w:pict>
          </mc:Fallback>
        </mc:AlternateContent>
      </w:r>
    </w:p>
    <w:p>
      <w:pPr>
        <w:pStyle w:val="Articleinfo"/>
        <w:rPr>
          <w:i/>
          <w:i/>
          <w:sz w:val="28"/>
          <w:szCs w:val="28"/>
        </w:rPr>
      </w:pPr>
      <w:r>
        <w:rPr>
          <w:i/>
          <w:sz w:val="28"/>
          <w:szCs w:val="28"/>
        </w:rPr>
      </w:r>
    </w:p>
    <w:p>
      <w:pPr>
        <w:pStyle w:val="Articleinfo"/>
        <w:rPr/>
      </w:pPr>
      <w:r>
        <w:rPr>
          <w:i/>
          <w:sz w:val="28"/>
          <w:szCs w:val="28"/>
        </w:rPr>
        <w:t>Bachelor’s De</w:t>
      </w:r>
      <w:bookmarkStart w:id="4" w:name="_GoBack"/>
      <w:bookmarkEnd w:id="4"/>
      <w:r>
        <w:rPr>
          <w:i/>
          <w:sz w:val="28"/>
          <w:szCs w:val="28"/>
        </w:rPr>
        <w:t>gree in Bioinformatics (UPF-UPC-UB)</w:t>
      </w:r>
    </w:p>
    <w:p>
      <w:pPr>
        <w:pStyle w:val="Articleinfo"/>
        <w:rPr>
          <w:i/>
          <w:i/>
          <w:sz w:val="28"/>
          <w:szCs w:val="28"/>
        </w:rPr>
      </w:pPr>
      <w:r>
        <w:rPr>
          <w:i/>
          <w:sz w:val="28"/>
          <w:szCs w:val="28"/>
        </w:rPr>
      </w:r>
    </w:p>
    <w:p>
      <w:pPr>
        <w:pStyle w:val="Articleinfo"/>
        <w:rPr>
          <w:i/>
          <w:i/>
          <w:sz w:val="28"/>
          <w:szCs w:val="28"/>
        </w:rPr>
      </w:pPr>
      <w:r>
        <w:rPr>
          <w:i/>
          <w:sz w:val="28"/>
          <w:szCs w:val="28"/>
        </w:rPr>
        <w:t>Final Grade Project</w:t>
      </w:r>
    </w:p>
    <w:p>
      <w:pPr>
        <w:pStyle w:val="AbstractHead"/>
        <w:spacing w:lineRule="exact" w:line="14"/>
        <w:rPr/>
      </w:pPr>
      <w:r>
        <w:rPr/>
      </w:r>
    </w:p>
    <w:tbl>
      <w:tblPr>
        <w:tblW w:w="8320" w:type="dxa"/>
        <w:jc w:val="left"/>
        <w:tblInd w:w="0" w:type="dxa"/>
        <w:tblLayout w:type="fixed"/>
        <w:tblCellMar>
          <w:top w:w="0" w:type="dxa"/>
          <w:left w:w="115" w:type="dxa"/>
          <w:bottom w:w="216" w:type="dxa"/>
          <w:right w:w="115" w:type="dxa"/>
        </w:tblCellMar>
      </w:tblPr>
      <w:tblGrid>
        <w:gridCol w:w="8320"/>
      </w:tblGrid>
      <w:tr>
        <w:trPr/>
        <w:tc>
          <w:tcPr>
            <w:tcW w:w="8320" w:type="dxa"/>
            <w:tcBorders>
              <w:top w:val="single" w:sz="24" w:space="0" w:color="000000"/>
              <w:bottom w:val="single" w:sz="24" w:space="0" w:color="000000"/>
            </w:tcBorders>
          </w:tcPr>
          <w:p>
            <w:pPr>
              <w:pStyle w:val="Title"/>
              <w:widowControl w:val="false"/>
              <w:spacing w:before="480" w:after="120"/>
              <w:rPr>
                <w:rFonts w:eastAsia="Times New Roman" w:cs="Times New Roman"/>
                <w:kern w:val="0"/>
                <w:lang w:bidi="ar-SA"/>
              </w:rPr>
            </w:pPr>
            <w:r>
              <w:rPr>
                <w:rFonts w:eastAsia="Times New Roman" w:cs="Times New Roman"/>
                <w:kern w:val="0"/>
                <w:lang w:bidi="ar-SA"/>
              </w:rPr>
              <w:t>Employing co-expression networks to identify transcriptome diversification in maize lines</w:t>
            </w:r>
          </w:p>
          <w:p>
            <w:pPr>
              <w:pStyle w:val="AuthorGroup"/>
              <w:widowControl w:val="false"/>
              <w:rPr/>
            </w:pPr>
            <w:r>
              <w:rPr>
                <w:rFonts w:eastAsia="Times New Roman" w:cs="Times New Roman"/>
                <w:kern w:val="0"/>
                <w:lang w:bidi="ar-SA"/>
              </w:rPr>
              <w:t>Jan Izquierdo i Ramos</w:t>
            </w:r>
            <w:r>
              <w:rPr>
                <w:rFonts w:eastAsia="Times New Roman" w:cs="Times New Roman"/>
                <w:kern w:val="0"/>
                <w:vertAlign w:val="superscript"/>
                <w:lang w:bidi="ar-SA"/>
              </w:rPr>
              <w:t>1</w:t>
            </w:r>
          </w:p>
          <w:p>
            <w:pPr>
              <w:pStyle w:val="HistoryDates"/>
              <w:widowControl w:val="false"/>
              <w:rPr/>
            </w:pPr>
            <w:r>
              <w:rPr>
                <w:rFonts w:eastAsia="Times New Roman" w:cs="Times New Roman"/>
                <w:kern w:val="0"/>
                <w:lang w:bidi="ar-SA"/>
              </w:rPr>
              <w:t>Scientific director: Dr. Georg Haberer</w:t>
            </w:r>
            <w:r>
              <w:rPr>
                <w:rFonts w:eastAsia="Times New Roman" w:cs="Times New Roman"/>
                <w:kern w:val="0"/>
                <w:sz w:val="24"/>
                <w:szCs w:val="24"/>
                <w:vertAlign w:val="superscript"/>
                <w:lang w:bidi="ar-SA"/>
              </w:rPr>
              <w:t>1</w:t>
            </w:r>
          </w:p>
          <w:p>
            <w:pPr>
              <w:pStyle w:val="AuthorAffiliation"/>
              <w:widowControl w:val="false"/>
              <w:spacing w:lineRule="auto" w:line="240" w:before="0" w:after="0"/>
              <w:rPr/>
            </w:pPr>
            <w:r>
              <w:rPr>
                <w:rFonts w:eastAsia="Times New Roman" w:cs="Times New Roman"/>
                <w:kern w:val="0"/>
                <w:vertAlign w:val="superscript"/>
                <w:lang w:bidi="ar-SA"/>
              </w:rPr>
              <w:t>1</w:t>
            </w:r>
            <w:r>
              <w:rPr>
                <w:rFonts w:eastAsia="Times New Roman" w:cs="Times New Roman"/>
                <w:kern w:val="0"/>
                <w:sz w:val="12"/>
                <w:szCs w:val="12"/>
                <w:lang w:bidi="ar-SA"/>
              </w:rPr>
              <w:t>Plant Genome and Systems Biology, Environmental Health Center, Helmholtz Munich, Ingolstädter Landstraße 1, 85764 Neuherberg, Munich</w:t>
            </w:r>
          </w:p>
          <w:p>
            <w:pPr>
              <w:pStyle w:val="AbstractHead1"/>
              <w:widowControl w:val="false"/>
              <w:rPr>
                <w:rFonts w:eastAsia="Times New Roman" w:cs="Times New Roman"/>
                <w:kern w:val="0"/>
                <w:szCs w:val="20"/>
                <w:lang w:bidi="ar-SA"/>
              </w:rPr>
            </w:pPr>
            <w:r>
              <w:rPr>
                <w:rFonts w:eastAsia="Times New Roman" w:cs="Times New Roman"/>
                <w:kern w:val="0"/>
                <w:szCs w:val="20"/>
                <w:lang w:bidi="ar-SA"/>
              </w:rPr>
              <w:t>Abstract</w:t>
            </w:r>
          </w:p>
          <w:p>
            <w:pPr>
              <w:pStyle w:val="AbstractText1"/>
              <w:widowControl w:val="false"/>
              <w:spacing w:before="0" w:after="0"/>
              <w:rPr/>
            </w:pPr>
            <w:r>
              <w:rPr>
                <w:rFonts w:eastAsia="Times New Roman" w:cs="Times New Roman"/>
                <w:b/>
                <w:bCs/>
                <w:kern w:val="0"/>
                <w:lang w:bidi="ar-SA"/>
              </w:rPr>
              <w:t>Motivation:</w:t>
            </w:r>
            <w:r>
              <w:rPr>
                <w:rFonts w:eastAsia="Times New Roman" w:cs="Times New Roman"/>
                <w:kern w:val="0"/>
                <w:lang w:bidi="ar-SA"/>
              </w:rPr>
              <w:t xml:space="preserve"> The quick brown fox jumps over the lazy dog. The quick brown fox jumps over the lazy dog. The quick brown fox jumps over the lazy dog. The quick brown fox jumps over the lazy dog. The quick brown fox jumps over the lazy dog. The quick brown fox jumps over the lazy dog.</w:t>
            </w:r>
          </w:p>
          <w:p>
            <w:pPr>
              <w:pStyle w:val="AbstractText1"/>
              <w:widowControl w:val="false"/>
              <w:spacing w:before="0" w:after="0"/>
              <w:rPr/>
            </w:pPr>
            <w:r>
              <w:rPr>
                <w:rFonts w:eastAsia="Times New Roman" w:cs="Times New Roman"/>
                <w:b/>
                <w:kern w:val="0"/>
                <w:lang w:bidi="ar-SA"/>
              </w:rPr>
              <w:t>Results:</w:t>
            </w:r>
            <w:r>
              <w:rPr>
                <w:rFonts w:eastAsia="Times New Roman" w:cs="Times New Roman"/>
                <w:kern w:val="0"/>
                <w:lang w:bidi="ar-SA"/>
              </w:rPr>
              <w:t xml:space="preserve"> The quick brown fox jumps over the lazy dog. The quick brown fox jumps over the lazy dog. The quick brown fox jumps over the lazy dog. The quick brown fox jumps over the lazy dog. The quick brown fox jumps over the lazy dog. The quick brown fox jumps over the lazy dog.</w:t>
            </w:r>
          </w:p>
          <w:p>
            <w:pPr>
              <w:pStyle w:val="AbstractText1"/>
              <w:widowControl w:val="false"/>
              <w:spacing w:before="0" w:after="0"/>
              <w:rPr/>
            </w:pPr>
            <w:r>
              <w:rPr>
                <w:rFonts w:eastAsia="Times New Roman"/>
                <w:b/>
                <w:kern w:val="0"/>
                <w:lang w:val="en-GB" w:eastAsia="en-IN" w:bidi="ar-SA"/>
              </w:rPr>
              <w:t>Supplementary information:</w:t>
            </w:r>
            <w:r>
              <w:rPr>
                <w:rFonts w:eastAsia="Times New Roman" w:cs="AdvPS2A83" w:ascii="AdvPS2A83" w:hAnsi="AdvPS2A83"/>
                <w:color w:val="0000FF"/>
                <w:kern w:val="0"/>
                <w:lang w:val="en-GB" w:eastAsia="en-IN" w:bidi="ar-SA"/>
              </w:rPr>
              <w:t xml:space="preserve"> </w:t>
            </w:r>
            <w:r>
              <w:rPr>
                <w:rFonts w:eastAsia="Times New Roman" w:cs="AdvPS2A83" w:ascii="AdvPS2A83" w:hAnsi="AdvPS2A83"/>
                <w:color w:val="000000"/>
                <w:kern w:val="0"/>
                <w:lang w:val="en-GB" w:eastAsia="en-IN" w:bidi="ar-SA"/>
              </w:rPr>
              <w:t xml:space="preserve">Supplementary material and code available at GitHub: </w:t>
            </w:r>
            <w:hyperlink r:id="rId2">
              <w:r>
                <w:rPr>
                  <w:rFonts w:eastAsia="Times New Roman" w:cs="AdvPS2A83" w:ascii="AdvPS2A83" w:hAnsi="AdvPS2A83"/>
                  <w:color w:val="1155CC"/>
                  <w:kern w:val="0"/>
                  <w:u w:val="single"/>
                  <w:lang w:val="en-GB" w:eastAsia="en-IN" w:bidi="ar-SA"/>
                </w:rPr>
                <w:t>https://github.com/Janek21/BDBI_TFG_MaizeCoexpression</w:t>
              </w:r>
            </w:hyperlink>
            <w:r>
              <w:rPr>
                <w:rFonts w:eastAsia="Times New Roman" w:cs="AdvPS2A83" w:ascii="AdvPS2A83" w:hAnsi="AdvPS2A83"/>
                <w:color w:val="000000"/>
                <w:kern w:val="0"/>
                <w:lang w:val="en-GB" w:eastAsia="en-IN" w:bidi="ar-SA"/>
              </w:rPr>
              <w:t xml:space="preserve"> </w:t>
            </w:r>
          </w:p>
        </w:tc>
      </w:tr>
    </w:tbl>
    <w:p>
      <w:pPr>
        <w:sectPr>
          <w:type w:val="nextPage"/>
          <w:pgSz w:w="11906" w:h="16838"/>
          <w:pgMar w:left="1134" w:right="1134" w:gutter="0" w:header="0" w:top="1134" w:footer="0" w:bottom="1134"/>
          <w:pgNumType w:start="1" w:fmt="decimal"/>
          <w:formProt w:val="false"/>
          <w:textDirection w:val="lrTb"/>
          <w:docGrid w:type="default" w:linePitch="600" w:charSpace="36864"/>
        </w:sectPr>
      </w:pPr>
      <w:r>
        <w:br w:type="page"/>
      </w:r>
    </w:p>
    <w:p>
      <w:pPr>
        <w:pStyle w:val="LOnormal"/>
        <w:rPr/>
      </w:pPr>
      <w:r>
        <w:rPr/>
      </w:r>
    </w:p>
    <w:p>
      <w:pPr>
        <w:pStyle w:val="Title"/>
        <w:rPr/>
      </w:pPr>
      <w:bookmarkStart w:id="5" w:name="_1hae4hq56bu0"/>
      <w:bookmarkEnd w:id="5"/>
      <w:r>
        <w:rPr/>
        <w:t>Supplementary material</w:t>
      </w:r>
    </w:p>
    <w:p>
      <w:pPr>
        <w:pStyle w:val="LOnormal"/>
        <w:jc w:val="both"/>
        <w:rPr/>
      </w:pPr>
      <w:r>
        <w:rPr>
          <w:i w:val="false"/>
          <w:iCs w:val="false"/>
          <w:sz w:val="22"/>
          <w:szCs w:val="22"/>
        </w:rPr>
        <w:t xml:space="preserve">GitHub material: </w:t>
      </w:r>
      <w:hyperlink r:id="rId3">
        <w:r>
          <w:rPr>
            <w:i w:val="false"/>
            <w:iCs w:val="false"/>
            <w:color w:val="1155CC"/>
            <w:sz w:val="22"/>
            <w:szCs w:val="22"/>
            <w:u w:val="single"/>
          </w:rPr>
          <w:t>https://github.com/Janek21/BDBI_TFG_MaizeCoexpression/tree/main/all_figures</w:t>
        </w:r>
      </w:hyperlink>
    </w:p>
    <w:p>
      <w:pPr>
        <w:pStyle w:val="LOnormal"/>
        <w:rPr/>
      </w:pPr>
      <w:r>
        <w:rPr/>
      </w:r>
    </w:p>
    <w:p>
      <w:pPr>
        <w:pStyle w:val="LOnormal"/>
        <w:jc w:val="both"/>
        <w:rPr/>
      </w:pPr>
      <w:r>
        <w:rPr/>
      </w:r>
      <w:r>
        <mc:AlternateContent>
          <mc:Choice Requires="wps">
            <w:drawing>
              <wp:inline distT="0" distB="0" distL="0" distR="0">
                <wp:extent cx="6120130" cy="3549650"/>
                <wp:effectExtent l="0" t="0" r="0" b="0"/>
                <wp:docPr id="2" name="Frame1"/>
                <a:graphic xmlns:a="http://schemas.openxmlformats.org/drawingml/2006/main">
                  <a:graphicData uri="http://schemas.microsoft.com/office/word/2010/wordprocessingShape">
                    <wps:wsp>
                      <wps:cNvSpPr txBox="1"/>
                      <wps:spPr>
                        <a:xfrm>
                          <a:off x="0" y="0"/>
                          <a:ext cx="6120130" cy="3549650"/>
                        </a:xfrm>
                        <a:prstGeom prst="rect"/>
                        <a:solidFill>
                          <a:srgbClr val="FFFFFF"/>
                        </a:solidFill>
                      </wps:spPr>
                      <wps:txbx>
                        <w:txbxContent>
                          <w:p>
                            <w:pPr>
                              <w:pStyle w:val="Figure"/>
                              <w:spacing w:before="120" w:after="120"/>
                              <w:rPr/>
                            </w:pPr>
                            <w:r>
                              <w:rPr/>
                              <w:drawing>
                                <wp:inline distT="0" distB="0" distL="0" distR="0">
                                  <wp:extent cx="6120130" cy="3060700"/>
                                  <wp:effectExtent l="0" t="0" r="0" b="0"/>
                                  <wp:docPr id="3"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png" descr=""/>
                                          <pic:cNvPicPr>
                                            <a:picLocks noChangeAspect="1" noChangeArrowheads="1"/>
                                          </pic:cNvPicPr>
                                        </pic:nvPicPr>
                                        <pic:blipFill>
                                          <a:blip r:embed="rId4"/>
                                          <a:stretch>
                                            <a:fillRect/>
                                          </a:stretch>
                                        </pic:blipFill>
                                        <pic:spPr bwMode="auto">
                                          <a:xfrm>
                                            <a:off x="0" y="0"/>
                                            <a:ext cx="6120130" cy="30607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CPM distribution for 2 tissues of each line, the distribution shows overrepresentation in lowly expressed genes, even after filtering.</w:t>
                            </w:r>
                          </w:p>
                        </w:txbxContent>
                      </wps:txbx>
                      <wps:bodyPr anchor="t" lIns="0" tIns="0" rIns="0" bIns="0">
                        <a:noAutofit/>
                      </wps:bodyPr>
                    </wps:wsp>
                  </a:graphicData>
                </a:graphic>
              </wp:inline>
            </w:drawing>
          </mc:Choice>
          <mc:Fallback>
            <w:pict>
              <v:rect style="position:absolute;rotation:-0;width:481.9pt;height:279.5pt;mso-wrap-distance-left:0pt;mso-wrap-distance-right:0pt;mso-wrap-distance-top:0pt;mso-wrap-distance-bottom:0pt;margin-top:-279.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120130" cy="3060700"/>
                            <wp:effectExtent l="0" t="0" r="0" b="0"/>
                            <wp:docPr id="4"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png" descr=""/>
                                    <pic:cNvPicPr>
                                      <a:picLocks noChangeAspect="1" noChangeArrowheads="1"/>
                                    </pic:cNvPicPr>
                                  </pic:nvPicPr>
                                  <pic:blipFill>
                                    <a:blip r:embed="rId5"/>
                                    <a:stretch>
                                      <a:fillRect/>
                                    </a:stretch>
                                  </pic:blipFill>
                                  <pic:spPr bwMode="auto">
                                    <a:xfrm>
                                      <a:off x="0" y="0"/>
                                      <a:ext cx="6120130" cy="30607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CPM distribution for 2 tissues of each line, the distribution shows overrepresentation in lowly expressed genes, even after filtering.</w:t>
                      </w:r>
                    </w:p>
                  </w:txbxContent>
                </v:textbox>
                <w10:wrap type="square" side="largest"/>
              </v:rect>
            </w:pict>
          </mc:Fallback>
        </mc:AlternateContent>
      </w:r>
    </w:p>
    <w:p>
      <w:pPr>
        <w:pStyle w:val="LOnormal"/>
        <w:jc w:val="both"/>
        <w:rPr>
          <w:i/>
          <w:i/>
          <w:sz w:val="20"/>
          <w:szCs w:val="20"/>
        </w:rPr>
      </w:pPr>
      <w:r>
        <w:rPr>
          <w:i/>
          <w:sz w:val="20"/>
          <w:szCs w:val="20"/>
        </w:rPr>
      </w:r>
    </w:p>
    <w:p>
      <w:pPr>
        <w:pStyle w:val="LOnormal"/>
        <w:jc w:val="both"/>
        <w:rPr/>
      </w:pPr>
      <w:r>
        <w:rPr/>
      </w:r>
      <w:r>
        <mc:AlternateContent>
          <mc:Choice Requires="wps">
            <w:drawing>
              <wp:inline distT="0" distB="0" distL="0" distR="0">
                <wp:extent cx="6120130" cy="3549650"/>
                <wp:effectExtent l="0" t="0" r="0" b="0"/>
                <wp:docPr id="5" name="Frame2"/>
                <a:graphic xmlns:a="http://schemas.openxmlformats.org/drawingml/2006/main">
                  <a:graphicData uri="http://schemas.microsoft.com/office/word/2010/wordprocessingShape">
                    <wps:wsp>
                      <wps:cNvSpPr txBox="1"/>
                      <wps:spPr>
                        <a:xfrm>
                          <a:off x="0" y="0"/>
                          <a:ext cx="6120130" cy="3549650"/>
                        </a:xfrm>
                        <a:prstGeom prst="rect"/>
                        <a:solidFill>
                          <a:srgbClr val="FFFFFF"/>
                        </a:solidFill>
                      </wps:spPr>
                      <wps:txbx>
                        <w:txbxContent>
                          <w:p>
                            <w:pPr>
                              <w:pStyle w:val="Figure"/>
                              <w:spacing w:before="120" w:after="120"/>
                              <w:rPr/>
                            </w:pPr>
                            <w:r>
                              <w:rPr/>
                              <w:drawing>
                                <wp:inline distT="0" distB="0" distL="0" distR="0">
                                  <wp:extent cx="6120130" cy="3060700"/>
                                  <wp:effectExtent l="0" t="0" r="0" b="0"/>
                                  <wp:docPr id="6"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png" descr=""/>
                                          <pic:cNvPicPr>
                                            <a:picLocks noChangeAspect="1" noChangeArrowheads="1"/>
                                          </pic:cNvPicPr>
                                        </pic:nvPicPr>
                                        <pic:blipFill>
                                          <a:blip r:embed="rId6"/>
                                          <a:stretch>
                                            <a:fillRect/>
                                          </a:stretch>
                                        </pic:blipFill>
                                        <pic:spPr bwMode="auto">
                                          <a:xfrm>
                                            <a:off x="0" y="0"/>
                                            <a:ext cx="6120130" cy="30607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w:t>
                            </w:r>
                            <w:r>
                              <w:rPr/>
                              <w:fldChar w:fldCharType="end"/>
                            </w:r>
                            <w:r>
                              <w:rPr/>
                              <w:t>: Representations of gene expression colored according to tissue. The representation is a PCA where clusters by expression similarity can be observed.</w:t>
                            </w:r>
                          </w:p>
                        </w:txbxContent>
                      </wps:txbx>
                      <wps:bodyPr anchor="t" lIns="0" tIns="0" rIns="0" bIns="0">
                        <a:noAutofit/>
                      </wps:bodyPr>
                    </wps:wsp>
                  </a:graphicData>
                </a:graphic>
              </wp:inline>
            </w:drawing>
          </mc:Choice>
          <mc:Fallback>
            <w:pict>
              <v:rect style="position:absolute;rotation:-0;width:481.9pt;height:279.5pt;mso-wrap-distance-left:0pt;mso-wrap-distance-right:0pt;mso-wrap-distance-top:0pt;mso-wrap-distance-bottom:0pt;margin-top:-279.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120130" cy="3060700"/>
                            <wp:effectExtent l="0" t="0" r="0" b="0"/>
                            <wp:docPr id="7"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png" descr=""/>
                                    <pic:cNvPicPr>
                                      <a:picLocks noChangeAspect="1" noChangeArrowheads="1"/>
                                    </pic:cNvPicPr>
                                  </pic:nvPicPr>
                                  <pic:blipFill>
                                    <a:blip r:embed="rId7"/>
                                    <a:stretch>
                                      <a:fillRect/>
                                    </a:stretch>
                                  </pic:blipFill>
                                  <pic:spPr bwMode="auto">
                                    <a:xfrm>
                                      <a:off x="0" y="0"/>
                                      <a:ext cx="6120130" cy="30607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w:t>
                      </w:r>
                      <w:r>
                        <w:rPr/>
                        <w:fldChar w:fldCharType="end"/>
                      </w:r>
                      <w:r>
                        <w:rPr/>
                        <w:t>: Representations of gene expression colored according to tissue. The representation is a PCA where clusters by expression similarity can be observed.</w:t>
                      </w:r>
                    </w:p>
                  </w:txbxContent>
                </v:textbox>
                <w10:wrap type="square" side="largest"/>
              </v:rect>
            </w:pict>
          </mc:Fallback>
        </mc:AlternateContent>
      </w:r>
    </w:p>
    <w:p>
      <w:pPr>
        <w:pStyle w:val="LOnormal"/>
        <w:rPr>
          <w:i/>
          <w:i/>
          <w:sz w:val="20"/>
          <w:szCs w:val="20"/>
        </w:rPr>
      </w:pPr>
      <w:r>
        <w:rPr/>
      </w:r>
    </w:p>
    <w:p>
      <w:pPr>
        <w:pStyle w:val="LOnormal"/>
        <w:jc w:val="both"/>
        <w:rPr/>
      </w:pPr>
      <w:r>
        <w:rPr/>
        <w:t xml:space="preserve">  </w:t>
      </w:r>
      <w:r>
        <w:rPr/>
      </w:r>
      <w:r>
        <mc:AlternateContent>
          <mc:Choice Requires="wps">
            <w:drawing>
              <wp:inline distT="0" distB="0" distL="0" distR="0">
                <wp:extent cx="6120130" cy="3717925"/>
                <wp:effectExtent l="0" t="0" r="0" b="0"/>
                <wp:docPr id="8" name="Frame3"/>
                <a:graphic xmlns:a="http://schemas.openxmlformats.org/drawingml/2006/main">
                  <a:graphicData uri="http://schemas.microsoft.com/office/word/2010/wordprocessingShape">
                    <wps:wsp>
                      <wps:cNvSpPr txBox="1"/>
                      <wps:spPr>
                        <a:xfrm>
                          <a:off x="0" y="0"/>
                          <a:ext cx="6120130" cy="3717925"/>
                        </a:xfrm>
                        <a:prstGeom prst="rect"/>
                        <a:solidFill>
                          <a:srgbClr val="FFFFFF"/>
                        </a:solidFill>
                      </wps:spPr>
                      <wps:txbx>
                        <w:txbxContent>
                          <w:p>
                            <w:pPr>
                              <w:pStyle w:val="Figure"/>
                              <w:spacing w:before="120" w:after="120"/>
                              <w:rPr/>
                            </w:pPr>
                            <w:r>
                              <w:rPr/>
                              <w:drawing>
                                <wp:inline distT="0" distB="0" distL="0" distR="0">
                                  <wp:extent cx="6120130" cy="3060700"/>
                                  <wp:effectExtent l="0" t="0" r="0" b="0"/>
                                  <wp:docPr id="9"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png" descr=""/>
                                          <pic:cNvPicPr>
                                            <a:picLocks noChangeAspect="1" noChangeArrowheads="1"/>
                                          </pic:cNvPicPr>
                                        </pic:nvPicPr>
                                        <pic:blipFill>
                                          <a:blip r:embed="rId8"/>
                                          <a:stretch>
                                            <a:fillRect/>
                                          </a:stretch>
                                        </pic:blipFill>
                                        <pic:spPr bwMode="auto">
                                          <a:xfrm>
                                            <a:off x="0" y="0"/>
                                            <a:ext cx="6120130" cy="30607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w:t>
                            </w:r>
                            <w:r>
                              <w:rPr/>
                              <w:fldChar w:fldCharType="end"/>
                            </w:r>
                            <w:r>
                              <w:rPr/>
                              <w:t>: Classification of genes per module according to the network construction. The size of a module can also reflect its significance, since highly correlated genes tend to be involved in similar biological processes. This suggests that the function they perform is essential, as it is carried out by many different genes. (Kitano, 2004)</w:t>
                            </w:r>
                          </w:p>
                        </w:txbxContent>
                      </wps:txbx>
                      <wps:bodyPr anchor="t" lIns="0" tIns="0" rIns="0" bIns="0">
                        <a:noAutofit/>
                      </wps:bodyPr>
                    </wps:wsp>
                  </a:graphicData>
                </a:graphic>
              </wp:inline>
            </w:drawing>
          </mc:Choice>
          <mc:Fallback>
            <w:pict>
              <v:rect style="position:absolute;rotation:-0;width:481.9pt;height:292.75pt;mso-wrap-distance-left:0pt;mso-wrap-distance-right:0pt;mso-wrap-distance-top:0pt;mso-wrap-distance-bottom:0pt;margin-top:-292.7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120130" cy="3060700"/>
                            <wp:effectExtent l="0" t="0" r="0" b="0"/>
                            <wp:docPr id="10"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descr=""/>
                                    <pic:cNvPicPr>
                                      <a:picLocks noChangeAspect="1" noChangeArrowheads="1"/>
                                    </pic:cNvPicPr>
                                  </pic:nvPicPr>
                                  <pic:blipFill>
                                    <a:blip r:embed="rId9"/>
                                    <a:stretch>
                                      <a:fillRect/>
                                    </a:stretch>
                                  </pic:blipFill>
                                  <pic:spPr bwMode="auto">
                                    <a:xfrm>
                                      <a:off x="0" y="0"/>
                                      <a:ext cx="6120130" cy="30607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w:t>
                      </w:r>
                      <w:r>
                        <w:rPr/>
                        <w:fldChar w:fldCharType="end"/>
                      </w:r>
                      <w:r>
                        <w:rPr/>
                        <w:t>: Classification of genes per module according to the network construction. The size of a module can also reflect its significance, since highly correlated genes tend to be involved in similar biological processes. This suggests that the function they perform is essential, as it is carried out by many different genes. (Kitano, 2004)</w:t>
                      </w:r>
                    </w:p>
                  </w:txbxContent>
                </v:textbox>
                <w10:wrap type="square" side="largest"/>
              </v:rect>
            </w:pict>
          </mc:Fallback>
        </mc:AlternateContent>
      </w:r>
    </w:p>
    <w:p>
      <w:pPr>
        <w:pStyle w:val="Subtitle"/>
        <w:jc w:val="both"/>
        <w:rPr/>
      </w:pPr>
      <w:r>
        <w:rPr/>
      </w:r>
      <w:bookmarkStart w:id="6" w:name="_esth6r7y3pny"/>
      <w:bookmarkStart w:id="7" w:name="_esth6r7y3pny"/>
      <w:bookmarkEnd w:id="7"/>
    </w:p>
    <w:p>
      <w:pPr>
        <w:pStyle w:val="Subtitle"/>
        <w:jc w:val="both"/>
        <w:rPr>
          <w:i w:val="false"/>
          <w:i w:val="false"/>
          <w:sz w:val="22"/>
          <w:szCs w:val="22"/>
        </w:rPr>
      </w:pPr>
      <w:r>
        <w:rPr>
          <w:i w:val="false"/>
          <w:sz w:val="22"/>
          <w:szCs w:val="22"/>
        </w:rPr>
      </w:r>
      <w:bookmarkStart w:id="8" w:name="_g7fjtnff2uon"/>
      <w:bookmarkStart w:id="9" w:name="_g7fjtnff2uon"/>
      <w:bookmarkEnd w:id="9"/>
    </w:p>
    <w:p>
      <w:pPr>
        <w:pStyle w:val="LOnormal"/>
        <w:jc w:val="both"/>
        <w:rPr/>
      </w:pPr>
      <w:r>
        <w:rPr/>
      </w:r>
      <w:r>
        <mc:AlternateContent>
          <mc:Choice Requires="wps">
            <w:drawing>
              <wp:inline distT="0" distB="0" distL="0" distR="0">
                <wp:extent cx="6120130" cy="3381375"/>
                <wp:effectExtent l="0" t="0" r="0" b="0"/>
                <wp:docPr id="11" name="Frame4"/>
                <a:graphic xmlns:a="http://schemas.openxmlformats.org/drawingml/2006/main">
                  <a:graphicData uri="http://schemas.microsoft.com/office/word/2010/wordprocessingShape">
                    <wps:wsp>
                      <wps:cNvSpPr txBox="1"/>
                      <wps:spPr>
                        <a:xfrm>
                          <a:off x="0" y="0"/>
                          <a:ext cx="6120130" cy="3381375"/>
                        </a:xfrm>
                        <a:prstGeom prst="rect"/>
                        <a:solidFill>
                          <a:srgbClr val="FFFFFF"/>
                        </a:solidFill>
                      </wps:spPr>
                      <wps:txbx>
                        <w:txbxContent>
                          <w:p>
                            <w:pPr>
                              <w:pStyle w:val="Figure"/>
                              <w:spacing w:before="120" w:after="120"/>
                              <w:rPr/>
                            </w:pPr>
                            <w:r>
                              <w:rPr/>
                              <w:drawing>
                                <wp:inline distT="0" distB="0" distL="0" distR="0">
                                  <wp:extent cx="6120130" cy="3060700"/>
                                  <wp:effectExtent l="0" t="0" r="0" b="0"/>
                                  <wp:docPr id="1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descr=""/>
                                          <pic:cNvPicPr>
                                            <a:picLocks noChangeAspect="1" noChangeArrowheads="1"/>
                                          </pic:cNvPicPr>
                                        </pic:nvPicPr>
                                        <pic:blipFill>
                                          <a:blip r:embed="rId10"/>
                                          <a:stretch>
                                            <a:fillRect/>
                                          </a:stretch>
                                        </pic:blipFill>
                                        <pic:spPr bwMode="auto">
                                          <a:xfrm>
                                            <a:off x="0" y="0"/>
                                            <a:ext cx="6120130" cy="30607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w:t>
                            </w:r>
                            <w:r>
                              <w:rPr/>
                              <w:fldChar w:fldCharType="end"/>
                            </w:r>
                            <w:r>
                              <w:rPr/>
                              <w:t>: 10 most significant functions for all modules.</w:t>
                            </w:r>
                          </w:p>
                        </w:txbxContent>
                      </wps:txbx>
                      <wps:bodyPr anchor="t" lIns="0" tIns="0" rIns="0" bIns="0">
                        <a:noAutofit/>
                      </wps:bodyPr>
                    </wps:wsp>
                  </a:graphicData>
                </a:graphic>
              </wp:inline>
            </w:drawing>
          </mc:Choice>
          <mc:Fallback>
            <w:pict>
              <v:rect style="position:absolute;rotation:-0;width:481.9pt;height:266.25pt;mso-wrap-distance-left:0pt;mso-wrap-distance-right:0pt;mso-wrap-distance-top:0pt;mso-wrap-distance-bottom:0pt;margin-top:-266.2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120130" cy="3060700"/>
                            <wp:effectExtent l="0" t="0" r="0" b="0"/>
                            <wp:docPr id="13"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png" descr=""/>
                                    <pic:cNvPicPr>
                                      <a:picLocks noChangeAspect="1" noChangeArrowheads="1"/>
                                    </pic:cNvPicPr>
                                  </pic:nvPicPr>
                                  <pic:blipFill>
                                    <a:blip r:embed="rId11"/>
                                    <a:stretch>
                                      <a:fillRect/>
                                    </a:stretch>
                                  </pic:blipFill>
                                  <pic:spPr bwMode="auto">
                                    <a:xfrm>
                                      <a:off x="0" y="0"/>
                                      <a:ext cx="6120130" cy="30607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w:t>
                      </w:r>
                      <w:r>
                        <w:rPr/>
                        <w:fldChar w:fldCharType="end"/>
                      </w:r>
                      <w:r>
                        <w:rPr/>
                        <w:t>: 10 most significant functions for all modules.</w:t>
                      </w:r>
                    </w:p>
                  </w:txbxContent>
                </v:textbox>
                <w10:wrap type="square" side="largest"/>
              </v:rect>
            </w:pict>
          </mc:Fallback>
        </mc:AlternateContent>
      </w:r>
    </w:p>
    <w:p>
      <w:pPr>
        <w:pStyle w:val="Subtitle"/>
        <w:jc w:val="both"/>
        <w:rPr/>
      </w:pPr>
      <w:r>
        <w:rPr/>
      </w:r>
    </w:p>
    <w:p>
      <w:pPr>
        <w:pStyle w:val="LOnormal"/>
        <w:keepNext w:val="false"/>
        <w:keepLines w:val="false"/>
        <w:pageBreakBefore w:val="false"/>
        <w:widowControl w:val="false"/>
        <w:spacing w:lineRule="auto" w:line="480" w:before="0" w:after="0"/>
        <w:ind w:left="0" w:right="0" w:hanging="0"/>
        <w:jc w:val="both"/>
        <w:rPr>
          <w:b/>
          <w:b/>
        </w:rPr>
      </w:pPr>
      <w:r>
        <w:rPr>
          <w:b/>
        </w:rPr>
      </w:r>
    </w:p>
    <w:p>
      <w:pPr>
        <w:pStyle w:val="LOnormal"/>
        <w:jc w:val="both"/>
        <w:rPr/>
      </w:pPr>
      <w:r>
        <w:rPr/>
      </w:r>
      <w:r>
        <mc:AlternateContent>
          <mc:Choice Requires="wps">
            <w:drawing>
              <wp:inline distT="0" distB="0" distL="0" distR="0">
                <wp:extent cx="6120130" cy="3381375"/>
                <wp:effectExtent l="0" t="0" r="0" b="0"/>
                <wp:docPr id="14" name="Frame5"/>
                <a:graphic xmlns:a="http://schemas.openxmlformats.org/drawingml/2006/main">
                  <a:graphicData uri="http://schemas.microsoft.com/office/word/2010/wordprocessingShape">
                    <wps:wsp>
                      <wps:cNvSpPr txBox="1"/>
                      <wps:spPr>
                        <a:xfrm>
                          <a:off x="0" y="0"/>
                          <a:ext cx="6120130" cy="3381375"/>
                        </a:xfrm>
                        <a:prstGeom prst="rect"/>
                        <a:solidFill>
                          <a:srgbClr val="FFFFFF"/>
                        </a:solidFill>
                      </wps:spPr>
                      <wps:txbx>
                        <w:txbxContent>
                          <w:p>
                            <w:pPr>
                              <w:pStyle w:val="Figure"/>
                              <w:spacing w:before="120" w:after="120"/>
                              <w:rPr/>
                            </w:pPr>
                            <w:r>
                              <w:rPr/>
                              <w:drawing>
                                <wp:inline distT="0" distB="0" distL="0" distR="0">
                                  <wp:extent cx="6120130" cy="3060700"/>
                                  <wp:effectExtent l="0" t="0" r="0" b="0"/>
                                  <wp:docPr id="15"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png" descr=""/>
                                          <pic:cNvPicPr>
                                            <a:picLocks noChangeAspect="1" noChangeArrowheads="1"/>
                                          </pic:cNvPicPr>
                                        </pic:nvPicPr>
                                        <pic:blipFill>
                                          <a:blip r:embed="rId12"/>
                                          <a:stretch>
                                            <a:fillRect/>
                                          </a:stretch>
                                        </pic:blipFill>
                                        <pic:spPr bwMode="auto">
                                          <a:xfrm>
                                            <a:off x="0" y="0"/>
                                            <a:ext cx="6120130" cy="30607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5</w:t>
                            </w:r>
                            <w:r>
                              <w:rPr/>
                              <w:fldChar w:fldCharType="end"/>
                            </w:r>
                            <w:r>
                              <w:rPr/>
                              <w:t>: PCA of the gene co-expression in the turquoise module, colored by the 3 clusters determined by K-means</w:t>
                            </w:r>
                          </w:p>
                        </w:txbxContent>
                      </wps:txbx>
                      <wps:bodyPr anchor="t" lIns="0" tIns="0" rIns="0" bIns="0">
                        <a:noAutofit/>
                      </wps:bodyPr>
                    </wps:wsp>
                  </a:graphicData>
                </a:graphic>
              </wp:inline>
            </w:drawing>
          </mc:Choice>
          <mc:Fallback>
            <w:pict>
              <v:rect style="position:absolute;rotation:-0;width:481.9pt;height:266.25pt;mso-wrap-distance-left:0pt;mso-wrap-distance-right:0pt;mso-wrap-distance-top:0pt;mso-wrap-distance-bottom:0pt;margin-top:-266.2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120130" cy="3060700"/>
                            <wp:effectExtent l="0" t="0" r="0" b="0"/>
                            <wp:docPr id="16"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png" descr=""/>
                                    <pic:cNvPicPr>
                                      <a:picLocks noChangeAspect="1" noChangeArrowheads="1"/>
                                    </pic:cNvPicPr>
                                  </pic:nvPicPr>
                                  <pic:blipFill>
                                    <a:blip r:embed="rId13"/>
                                    <a:stretch>
                                      <a:fillRect/>
                                    </a:stretch>
                                  </pic:blipFill>
                                  <pic:spPr bwMode="auto">
                                    <a:xfrm>
                                      <a:off x="0" y="0"/>
                                      <a:ext cx="6120130" cy="30607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5</w:t>
                      </w:r>
                      <w:r>
                        <w:rPr/>
                        <w:fldChar w:fldCharType="end"/>
                      </w:r>
                      <w:r>
                        <w:rPr/>
                        <w:t>: PCA of the gene co-expression in the turquoise module, colored by the 3 clusters determined by K-means</w:t>
                      </w:r>
                    </w:p>
                  </w:txbxContent>
                </v:textbox>
                <w10:wrap type="square" side="largest"/>
              </v:rect>
            </w:pict>
          </mc:Fallback>
        </mc:AlternateContent>
      </w:r>
    </w:p>
    <w:p>
      <w:pPr>
        <w:pStyle w:val="LOnormal"/>
        <w:jc w:val="both"/>
        <w:rPr>
          <w:i/>
          <w:i/>
          <w:sz w:val="20"/>
          <w:szCs w:val="20"/>
        </w:rPr>
      </w:pPr>
      <w:r>
        <w:rPr>
          <w:i/>
          <w:sz w:val="20"/>
          <w:szCs w:val="20"/>
        </w:rPr>
      </w:r>
    </w:p>
    <w:p>
      <w:pPr>
        <w:pStyle w:val="LOnormal"/>
        <w:jc w:val="both"/>
        <w:rPr/>
      </w:pPr>
      <w:r>
        <w:rPr/>
      </w:r>
      <w:r>
        <mc:AlternateContent>
          <mc:Choice Requires="wps">
            <w:drawing>
              <wp:inline distT="0" distB="0" distL="0" distR="0">
                <wp:extent cx="6120130" cy="3990975"/>
                <wp:effectExtent l="0" t="0" r="0" b="0"/>
                <wp:docPr id="17" name="Frame6"/>
                <a:graphic xmlns:a="http://schemas.openxmlformats.org/drawingml/2006/main">
                  <a:graphicData uri="http://schemas.microsoft.com/office/word/2010/wordprocessingShape">
                    <wps:wsp>
                      <wps:cNvSpPr txBox="1"/>
                      <wps:spPr>
                        <a:xfrm>
                          <a:off x="0" y="0"/>
                          <a:ext cx="6120130" cy="3990975"/>
                        </a:xfrm>
                        <a:prstGeom prst="rect"/>
                        <a:solidFill>
                          <a:srgbClr val="FFFFFF"/>
                        </a:solidFill>
                      </wps:spPr>
                      <wps:txbx>
                        <w:txbxContent>
                          <w:p>
                            <w:pPr>
                              <w:pStyle w:val="Figure"/>
                              <w:spacing w:before="120" w:after="120"/>
                              <w:rPr/>
                            </w:pPr>
                            <w:r>
                              <w:rPr/>
                              <w:drawing>
                                <wp:inline distT="0" distB="0" distL="0" distR="0">
                                  <wp:extent cx="6120130" cy="3670300"/>
                                  <wp:effectExtent l="0" t="0" r="0" b="0"/>
                                  <wp:docPr id="18"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descr=""/>
                                          <pic:cNvPicPr>
                                            <a:picLocks noChangeAspect="1" noChangeArrowheads="1"/>
                                          </pic:cNvPicPr>
                                        </pic:nvPicPr>
                                        <pic:blipFill>
                                          <a:blip r:embed="rId14"/>
                                          <a:stretch>
                                            <a:fillRect/>
                                          </a:stretch>
                                        </pic:blipFill>
                                        <pic:spPr bwMode="auto">
                                          <a:xfrm>
                                            <a:off x="0" y="0"/>
                                            <a:ext cx="6120130" cy="36703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6</w:t>
                            </w:r>
                            <w:r>
                              <w:rPr/>
                              <w:fldChar w:fldCharType="end"/>
                            </w:r>
                            <w:r>
                              <w:rPr/>
                              <w:t>: Complete visualization of the turquoise module colored according to communities.</w:t>
                            </w:r>
                          </w:p>
                        </w:txbxContent>
                      </wps:txbx>
                      <wps:bodyPr anchor="t" lIns="0" tIns="0" rIns="0" bIns="0">
                        <a:noAutofit/>
                      </wps:bodyPr>
                    </wps:wsp>
                  </a:graphicData>
                </a:graphic>
              </wp:inline>
            </w:drawing>
          </mc:Choice>
          <mc:Fallback>
            <w:pict>
              <v:rect style="position:absolute;rotation:-0;width:481.9pt;height:314.25pt;mso-wrap-distance-left:0pt;mso-wrap-distance-right:0pt;mso-wrap-distance-top:0pt;mso-wrap-distance-bottom:0pt;margin-top:-314.2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120130" cy="3670300"/>
                            <wp:effectExtent l="0" t="0" r="0" b="0"/>
                            <wp:docPr id="19"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png" descr=""/>
                                    <pic:cNvPicPr>
                                      <a:picLocks noChangeAspect="1" noChangeArrowheads="1"/>
                                    </pic:cNvPicPr>
                                  </pic:nvPicPr>
                                  <pic:blipFill>
                                    <a:blip r:embed="rId15"/>
                                    <a:stretch>
                                      <a:fillRect/>
                                    </a:stretch>
                                  </pic:blipFill>
                                  <pic:spPr bwMode="auto">
                                    <a:xfrm>
                                      <a:off x="0" y="0"/>
                                      <a:ext cx="6120130" cy="36703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6</w:t>
                      </w:r>
                      <w:r>
                        <w:rPr/>
                        <w:fldChar w:fldCharType="end"/>
                      </w:r>
                      <w:r>
                        <w:rPr/>
                        <w:t>: Complete visualization of the turquoise module colored according to communities.</w:t>
                      </w:r>
                    </w:p>
                  </w:txbxContent>
                </v:textbox>
                <w10:wrap type="square" side="largest"/>
              </v:rect>
            </w:pict>
          </mc:Fallback>
        </mc:AlternateContent>
      </w:r>
    </w:p>
    <w:p>
      <w:pPr>
        <w:pStyle w:val="LOnormal"/>
        <w:jc w:val="both"/>
        <w:rPr>
          <w:i/>
          <w:i/>
          <w:sz w:val="20"/>
          <w:szCs w:val="20"/>
        </w:rPr>
      </w:pPr>
      <w:r>
        <w:rPr/>
        <mc:AlternateContent>
          <mc:Choice Requires="wps">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765" cy="4326255"/>
                <wp:effectExtent l="0" t="0" r="0" b="0"/>
                <wp:wrapSquare wrapText="largest"/>
                <wp:docPr id="20" name="Frame8"/>
                <a:graphic xmlns:a="http://schemas.openxmlformats.org/drawingml/2006/main">
                  <a:graphicData uri="http://schemas.microsoft.com/office/word/2010/wordprocessingShape">
                    <wps:wsp>
                      <wps:cNvSpPr/>
                      <wps:spPr>
                        <a:xfrm>
                          <a:off x="0" y="0"/>
                          <a:ext cx="6120720" cy="43261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bookmarkStart w:id="10" w:name="Ref_Figure7_label_and_number"/>
                            <w:r>
                              <w:rPr/>
                              <w:drawing>
                                <wp:inline distT="0" distB="0" distL="0" distR="0">
                                  <wp:extent cx="6120765" cy="3669030"/>
                                  <wp:effectExtent l="0" t="0" r="0" b="0"/>
                                  <wp:docPr id="2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
                                          <pic:cNvPicPr>
                                            <a:picLocks noChangeAspect="1" noChangeArrowheads="1"/>
                                          </pic:cNvPicPr>
                                        </pic:nvPicPr>
                                        <pic:blipFill>
                                          <a:blip r:embed="rId16"/>
                                          <a:stretch>
                                            <a:fillRect/>
                                          </a:stretch>
                                        </pic:blipFill>
                                        <pic:spPr bwMode="auto">
                                          <a:xfrm>
                                            <a:off x="0" y="0"/>
                                            <a:ext cx="6120765" cy="36690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bookmarkEnd w:id="10"/>
                            <w:r>
                              <w:rPr>
                                <w:color w:val="000000"/>
                              </w:rPr>
                              <w:t>: This figure represents a community of the turquoise module, the unknown genes are marked in black while the known genes are blue. It can be observed that there is a very high proportion of unknown genes, which translates into a low confidence level in the significant functions.</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0.05pt;margin-top:0.05pt;width:481.9pt;height:340.6pt;mso-wrap-style:square;v-text-anchor:top;mso-position-horizontal:center">
                <v:fill o:detectmouseclick="t" type="solid" color2="black"/>
                <v:stroke color="#3465a4" joinstyle="round" endcap="flat"/>
                <v:textbox>
                  <w:txbxContent>
                    <w:p>
                      <w:pPr>
                        <w:pStyle w:val="Figure"/>
                        <w:spacing w:before="120" w:after="120"/>
                        <w:rPr>
                          <w:color w:val="000000"/>
                        </w:rPr>
                      </w:pPr>
                      <w:bookmarkStart w:id="11" w:name="Ref_Figure7_label_and_number"/>
                      <w:r>
                        <w:rPr/>
                        <w:drawing>
                          <wp:inline distT="0" distB="0" distL="0" distR="0">
                            <wp:extent cx="6120765" cy="3669030"/>
                            <wp:effectExtent l="0" t="0" r="0" b="0"/>
                            <wp:docPr id="2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 descr=""/>
                                    <pic:cNvPicPr>
                                      <a:picLocks noChangeAspect="1" noChangeArrowheads="1"/>
                                    </pic:cNvPicPr>
                                  </pic:nvPicPr>
                                  <pic:blipFill>
                                    <a:blip r:embed="rId17"/>
                                    <a:stretch>
                                      <a:fillRect/>
                                    </a:stretch>
                                  </pic:blipFill>
                                  <pic:spPr bwMode="auto">
                                    <a:xfrm>
                                      <a:off x="0" y="0"/>
                                      <a:ext cx="6120765" cy="36690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bookmarkEnd w:id="11"/>
                      <w:r>
                        <w:rPr>
                          <w:color w:val="000000"/>
                        </w:rPr>
                        <w:t>: This figure represents a community of the turquoise module, the unknown genes are marked in black while the known genes are blue. It can be observed that there is a very high proportion of unknown genes, which translates into a low confidence level in the significant functions.</w:t>
                      </w:r>
                    </w:p>
                  </w:txbxContent>
                </v:textbox>
                <w10:wrap type="square" side="largest"/>
              </v:rect>
            </w:pict>
          </mc:Fallback>
        </mc:AlternateContent>
      </w:r>
    </w:p>
    <w:p>
      <w:pPr>
        <w:pStyle w:val="LOnormal"/>
        <w:jc w:val="both"/>
        <w:rPr>
          <w:i/>
          <w:i/>
          <w:sz w:val="20"/>
          <w:szCs w:val="20"/>
        </w:rPr>
      </w:pPr>
      <w:r>
        <w:rPr>
          <w:i/>
          <w:sz w:val="20"/>
          <w:szCs w:val="20"/>
        </w:rPr>
      </w:r>
    </w:p>
    <w:p>
      <w:pPr>
        <w:pStyle w:val="LOnormal"/>
        <w:jc w:val="both"/>
        <w:rPr>
          <w:i/>
          <w:i/>
          <w:sz w:val="20"/>
          <w:szCs w:val="20"/>
        </w:rPr>
      </w:pPr>
      <w:r>
        <w:rPr/>
      </w:r>
      <w:r>
        <mc:AlternateContent>
          <mc:Choice Requires="wps">
            <w:drawing>
              <wp:inline distT="0" distB="0" distL="0" distR="0">
                <wp:extent cx="6120130" cy="3990975"/>
                <wp:effectExtent l="0" t="0" r="0" b="0"/>
                <wp:docPr id="24" name="Frame7"/>
                <a:graphic xmlns:a="http://schemas.openxmlformats.org/drawingml/2006/main">
                  <a:graphicData uri="http://schemas.microsoft.com/office/word/2010/wordprocessingShape">
                    <wps:wsp>
                      <wps:cNvSpPr txBox="1"/>
                      <wps:spPr>
                        <a:xfrm>
                          <a:off x="0" y="0"/>
                          <a:ext cx="6120130" cy="3990975"/>
                        </a:xfrm>
                        <a:prstGeom prst="rect"/>
                        <a:solidFill>
                          <a:srgbClr val="FFFFFF"/>
                        </a:solidFill>
                      </wps:spPr>
                      <wps:txbx>
                        <w:txbxContent>
                          <w:p>
                            <w:pPr>
                              <w:pStyle w:val="Figure"/>
                              <w:spacing w:before="120" w:after="120"/>
                              <w:rPr/>
                            </w:pPr>
                            <w:r>
                              <w:rPr/>
                              <w:drawing>
                                <wp:inline distT="0" distB="0" distL="0" distR="0">
                                  <wp:extent cx="6120130" cy="3670300"/>
                                  <wp:effectExtent l="0" t="0" r="0" b="0"/>
                                  <wp:docPr id="25"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png" descr=""/>
                                          <pic:cNvPicPr>
                                            <a:picLocks noChangeAspect="1" noChangeArrowheads="1"/>
                                          </pic:cNvPicPr>
                                        </pic:nvPicPr>
                                        <pic:blipFill>
                                          <a:blip r:embed="rId18"/>
                                          <a:stretch>
                                            <a:fillRect/>
                                          </a:stretch>
                                        </pic:blipFill>
                                        <pic:spPr bwMode="auto">
                                          <a:xfrm>
                                            <a:off x="0" y="0"/>
                                            <a:ext cx="6120130" cy="36703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8</w:t>
                            </w:r>
                            <w:r>
                              <w:rPr/>
                              <w:fldChar w:fldCharType="end"/>
                            </w:r>
                            <w:r>
                              <w:rPr/>
                              <w:t>: Complete visualization of the violet module colored according to communities.</w:t>
                            </w:r>
                          </w:p>
                        </w:txbxContent>
                      </wps:txbx>
                      <wps:bodyPr anchor="t" lIns="0" tIns="0" rIns="0" bIns="0">
                        <a:noAutofit/>
                      </wps:bodyPr>
                    </wps:wsp>
                  </a:graphicData>
                </a:graphic>
              </wp:inline>
            </w:drawing>
          </mc:Choice>
          <mc:Fallback>
            <w:pict>
              <v:rect style="position:absolute;rotation:-0;width:481.9pt;height:314.25pt;mso-wrap-distance-left:0pt;mso-wrap-distance-right:0pt;mso-wrap-distance-top:0pt;mso-wrap-distance-bottom:0pt;margin-top:-314.2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120130" cy="3670300"/>
                            <wp:effectExtent l="0" t="0" r="0" b="0"/>
                            <wp:docPr id="26"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descr=""/>
                                    <pic:cNvPicPr>
                                      <a:picLocks noChangeAspect="1" noChangeArrowheads="1"/>
                                    </pic:cNvPicPr>
                                  </pic:nvPicPr>
                                  <pic:blipFill>
                                    <a:blip r:embed="rId19"/>
                                    <a:stretch>
                                      <a:fillRect/>
                                    </a:stretch>
                                  </pic:blipFill>
                                  <pic:spPr bwMode="auto">
                                    <a:xfrm>
                                      <a:off x="0" y="0"/>
                                      <a:ext cx="6120130" cy="36703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8</w:t>
                      </w:r>
                      <w:r>
                        <w:rPr/>
                        <w:fldChar w:fldCharType="end"/>
                      </w:r>
                      <w:r>
                        <w:rPr/>
                        <w:t>: Complete visualization of the violet module colored according to communities.</w:t>
                      </w:r>
                    </w:p>
                  </w:txbxContent>
                </v:textbox>
                <w10:wrap type="square" side="largest"/>
              </v:rect>
            </w:pict>
          </mc:Fallback>
        </mc:AlternateContent>
      </w:r>
    </w:p>
    <w:p>
      <w:pPr>
        <w:pStyle w:val="LOnormal"/>
        <w:jc w:val="both"/>
        <w:rPr>
          <w:i w:val="false"/>
          <w:i w:val="false"/>
          <w:iCs w:val="false"/>
          <w:color w:val="1155CC"/>
          <w:sz w:val="22"/>
          <w:szCs w:val="22"/>
          <w:u w:val="single"/>
        </w:rPr>
      </w:pPr>
      <w:r>
        <w:rPr/>
      </w:r>
    </w:p>
    <w:p>
      <w:pPr>
        <w:pStyle w:val="LOnormal"/>
        <w:jc w:val="both"/>
        <w:rPr>
          <w:i w:val="false"/>
          <w:i w:val="false"/>
          <w:iCs w:val="false"/>
          <w:color w:val="1155CC"/>
          <w:sz w:val="22"/>
          <w:szCs w:val="22"/>
          <w:u w:val="single"/>
        </w:rPr>
      </w:pPr>
      <w:r>
        <w:rPr/>
      </w:r>
    </w:p>
    <w:p>
      <w:pPr>
        <w:pStyle w:val="LOnormal"/>
        <w:jc w:val="both"/>
        <w:rPr>
          <w:i w:val="false"/>
          <w:i w:val="false"/>
          <w:iCs w:val="false"/>
          <w:color w:val="1155CC"/>
          <w:sz w:val="22"/>
          <w:szCs w:val="22"/>
          <w:u w:val="single"/>
        </w:rPr>
      </w:pPr>
      <w:r>
        <w:rPr/>
      </w:r>
    </w:p>
    <w:p>
      <w:pPr>
        <w:pStyle w:val="LOnormal"/>
        <w:jc w:val="both"/>
        <w:rPr>
          <w:i w:val="false"/>
          <w:i w:val="false"/>
          <w:iCs w:val="false"/>
          <w:color w:val="1155CC"/>
          <w:sz w:val="22"/>
          <w:szCs w:val="22"/>
          <w:u w:val="single"/>
        </w:rPr>
      </w:pPr>
      <w:r>
        <w:rPr/>
      </w:r>
    </w:p>
    <w:p>
      <w:pPr>
        <w:pStyle w:val="LOnormal"/>
        <w:jc w:val="both"/>
        <w:rPr>
          <w:i w:val="false"/>
          <w:i w:val="false"/>
          <w:iCs w:val="false"/>
          <w:color w:val="1155CC"/>
          <w:sz w:val="22"/>
          <w:szCs w:val="22"/>
          <w:u w:val="single"/>
        </w:rPr>
      </w:pPr>
      <w:r>
        <w:rPr/>
      </w:r>
    </w:p>
    <w:p>
      <w:pPr>
        <w:pStyle w:val="LOnormal"/>
        <w:jc w:val="both"/>
        <w:rPr>
          <w:i w:val="false"/>
          <w:i w:val="false"/>
          <w:iCs w:val="false"/>
          <w:color w:val="1155CC"/>
          <w:sz w:val="22"/>
          <w:szCs w:val="22"/>
          <w:u w:val="single"/>
        </w:rPr>
      </w:pPr>
      <w:r>
        <w:rPr/>
      </w:r>
    </w:p>
    <w:p>
      <w:pPr>
        <w:pStyle w:val="LOnormal"/>
        <w:jc w:val="both"/>
        <w:rPr>
          <w:i w:val="false"/>
          <w:i w:val="false"/>
          <w:iCs w:val="false"/>
          <w:color w:val="1155CC"/>
          <w:sz w:val="22"/>
          <w:szCs w:val="22"/>
          <w:u w:val="single"/>
        </w:rPr>
      </w:pPr>
      <w:r>
        <w:rPr/>
      </w:r>
    </w:p>
    <w:p>
      <w:pPr>
        <w:pStyle w:val="LOnormal"/>
        <w:jc w:val="both"/>
        <w:rPr/>
      </w:pPr>
      <w:r>
        <w:rPr/>
      </w:r>
    </w:p>
    <w:p>
      <w:pPr>
        <w:pStyle w:val="LOnormal"/>
        <w:jc w:val="both"/>
        <w:rPr/>
      </w:pPr>
      <w:r>
        <w:rPr/>
      </w:r>
    </w:p>
    <w:p>
      <w:pPr>
        <w:pStyle w:val="LOnormal"/>
        <w:jc w:val="both"/>
        <w:rPr/>
      </w:pPr>
      <w:r>
        <w:rPr/>
      </w:r>
      <w:r>
        <mc:AlternateContent>
          <mc:Choice Requires="wps">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765" cy="3989705"/>
                <wp:effectExtent l="0" t="0" r="0" b="0"/>
                <wp:wrapSquare wrapText="largest"/>
                <wp:docPr id="27" name="Frame8"/>
                <a:graphic xmlns:a="http://schemas.openxmlformats.org/drawingml/2006/main">
                  <a:graphicData uri="http://schemas.microsoft.com/office/word/2010/wordprocessingShape">
                    <wps:wsp>
                      <wps:cNvSpPr txBox="1"/>
                      <wps:spPr>
                        <a:xfrm>
                          <a:off x="0" y="0"/>
                          <a:ext cx="6120765" cy="3989705"/>
                        </a:xfrm>
                        <a:prstGeom prst="rect"/>
                        <a:solidFill>
                          <a:srgbClr val="FFFFFF"/>
                        </a:solidFill>
                      </wps:spPr>
                      <wps:txbx>
                        <w:txbxContent>
                          <w:p>
                            <w:pPr>
                              <w:pStyle w:val="Figure"/>
                              <w:spacing w:before="120" w:after="120"/>
                              <w:rPr/>
                            </w:pPr>
                            <w:r>
                              <w:rPr/>
                              <w:drawing>
                                <wp:inline distT="0" distB="0" distL="0" distR="0">
                                  <wp:extent cx="6120765" cy="3669030"/>
                                  <wp:effectExtent l="0" t="0" r="0" b="0"/>
                                  <wp:docPr id="2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 descr=""/>
                                          <pic:cNvPicPr>
                                            <a:picLocks noChangeAspect="1" noChangeArrowheads="1"/>
                                          </pic:cNvPicPr>
                                        </pic:nvPicPr>
                                        <pic:blipFill>
                                          <a:blip r:embed="rId20"/>
                                          <a:stretch>
                                            <a:fillRect/>
                                          </a:stretch>
                                        </pic:blipFill>
                                        <pic:spPr bwMode="auto">
                                          <a:xfrm>
                                            <a:off x="0" y="0"/>
                                            <a:ext cx="6120765" cy="366903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9</w:t>
                            </w:r>
                            <w:r>
                              <w:rPr/>
                              <w:fldChar w:fldCharType="end"/>
                            </w:r>
                            <w:r>
                              <w:rPr/>
                              <w:t>: Visualization of a violet community.</w:t>
                            </w:r>
                          </w:p>
                        </w:txbxContent>
                      </wps:txbx>
                      <wps:bodyPr anchor="t" lIns="0" tIns="0" rIns="0" bIns="0">
                        <a:noAutofit/>
                      </wps:bodyPr>
                    </wps:wsp>
                  </a:graphicData>
                </a:graphic>
              </wp:anchor>
            </w:drawing>
          </mc:Choice>
          <mc:Fallback>
            <w:pict>
              <v:rect style="position:absolute;rotation:-0;width:481.95pt;height:314.1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120765" cy="3669030"/>
                            <wp:effectExtent l="0" t="0" r="0" b="0"/>
                            <wp:docPr id="2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 descr=""/>
                                    <pic:cNvPicPr>
                                      <a:picLocks noChangeAspect="1" noChangeArrowheads="1"/>
                                    </pic:cNvPicPr>
                                  </pic:nvPicPr>
                                  <pic:blipFill>
                                    <a:blip r:embed="rId21"/>
                                    <a:stretch>
                                      <a:fillRect/>
                                    </a:stretch>
                                  </pic:blipFill>
                                  <pic:spPr bwMode="auto">
                                    <a:xfrm>
                                      <a:off x="0" y="0"/>
                                      <a:ext cx="6120765" cy="366903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9</w:t>
                      </w:r>
                      <w:r>
                        <w:rPr/>
                        <w:fldChar w:fldCharType="end"/>
                      </w:r>
                      <w:r>
                        <w:rPr/>
                        <w:t>: Visualization of a violet community.</w:t>
                      </w:r>
                    </w:p>
                  </w:txbxContent>
                </v:textbox>
                <w10:wrap type="square" side="largest"/>
              </v:rect>
            </w:pict>
          </mc:Fallback>
        </mc:AlternateContent>
      </w:r>
    </w:p>
    <w:tbl>
      <w:tblPr>
        <w:tblW w:w="4595" w:type="dxa"/>
        <w:jc w:val="center"/>
        <w:tblInd w:w="0" w:type="dxa"/>
        <w:tblLayout w:type="fixed"/>
        <w:tblCellMar>
          <w:top w:w="0" w:type="dxa"/>
          <w:left w:w="0" w:type="dxa"/>
          <w:bottom w:w="0" w:type="dxa"/>
          <w:right w:w="0" w:type="dxa"/>
        </w:tblCellMar>
      </w:tblPr>
      <w:tblGrid>
        <w:gridCol w:w="2256"/>
        <w:gridCol w:w="975"/>
        <w:gridCol w:w="1364"/>
      </w:tblGrid>
      <w:tr>
        <w:trPr>
          <w:trHeight w:val="256" w:hRule="atLeast"/>
        </w:trPr>
        <w:tc>
          <w:tcPr>
            <w:tcW w:w="2256" w:type="dxa"/>
            <w:tcBorders>
              <w:top w:val="single" w:sz="6" w:space="0" w:color="000000"/>
              <w:bottom w:val="single" w:sz="6" w:space="0" w:color="000000"/>
            </w:tcBorders>
            <w:vAlign w:val="bottom"/>
          </w:tcPr>
          <w:p>
            <w:pPr>
              <w:pStyle w:val="Akdmy"/>
              <w:keepNext w:val="true"/>
              <w:widowControl w:val="false"/>
              <w:rPr>
                <w:i/>
                <w:i/>
                <w:iCs/>
              </w:rPr>
            </w:pPr>
            <w:r>
              <w:rPr>
                <w:i/>
                <w:iCs/>
              </w:rPr>
              <w:t>Community</w:t>
            </w:r>
          </w:p>
        </w:tc>
        <w:tc>
          <w:tcPr>
            <w:tcW w:w="975" w:type="dxa"/>
            <w:tcBorders>
              <w:top w:val="single" w:sz="6" w:space="0" w:color="000000"/>
              <w:bottom w:val="single" w:sz="6" w:space="0" w:color="000000"/>
            </w:tcBorders>
            <w:vAlign w:val="bottom"/>
          </w:tcPr>
          <w:p>
            <w:pPr>
              <w:pStyle w:val="Akdmy"/>
              <w:widowControl w:val="false"/>
              <w:rPr>
                <w:i/>
                <w:i/>
                <w:iCs/>
              </w:rPr>
            </w:pPr>
            <w:r>
              <w:rPr>
                <w:i/>
                <w:iCs/>
              </w:rPr>
              <w:t>Known</w:t>
            </w:r>
          </w:p>
        </w:tc>
        <w:tc>
          <w:tcPr>
            <w:tcW w:w="1364" w:type="dxa"/>
            <w:tcBorders>
              <w:top w:val="single" w:sz="6" w:space="0" w:color="000000"/>
              <w:bottom w:val="single" w:sz="6" w:space="0" w:color="000000"/>
            </w:tcBorders>
            <w:vAlign w:val="bottom"/>
          </w:tcPr>
          <w:p>
            <w:pPr>
              <w:pStyle w:val="Akdmy"/>
              <w:widowControl w:val="false"/>
              <w:rPr>
                <w:i/>
                <w:i/>
                <w:iCs/>
              </w:rPr>
            </w:pPr>
            <w:r>
              <w:rPr>
                <w:i/>
                <w:iCs/>
              </w:rPr>
              <w:t>Unknown</w:t>
            </w:r>
          </w:p>
        </w:tc>
      </w:tr>
      <w:tr>
        <w:trPr>
          <w:trHeight w:val="256" w:hRule="atLeast"/>
        </w:trPr>
        <w:tc>
          <w:tcPr>
            <w:tcW w:w="2256" w:type="dxa"/>
            <w:tcBorders/>
            <w:vAlign w:val="bottom"/>
          </w:tcPr>
          <w:p>
            <w:pPr>
              <w:pStyle w:val="Akdmy"/>
              <w:keepNext w:val="true"/>
              <w:widowControl w:val="false"/>
              <w:rPr/>
            </w:pPr>
            <w:r>
              <w:rPr/>
              <w:t>C0</w:t>
            </w:r>
          </w:p>
        </w:tc>
        <w:tc>
          <w:tcPr>
            <w:tcW w:w="975" w:type="dxa"/>
            <w:tcBorders/>
            <w:vAlign w:val="bottom"/>
          </w:tcPr>
          <w:p>
            <w:pPr>
              <w:pStyle w:val="Akdmy"/>
              <w:widowControl w:val="false"/>
              <w:rPr/>
            </w:pPr>
            <w:r>
              <w:rPr/>
              <w:t>537</w:t>
            </w:r>
          </w:p>
        </w:tc>
        <w:tc>
          <w:tcPr>
            <w:tcW w:w="1364" w:type="dxa"/>
            <w:tcBorders/>
            <w:vAlign w:val="bottom"/>
          </w:tcPr>
          <w:p>
            <w:pPr>
              <w:pStyle w:val="Akdmy"/>
              <w:widowControl w:val="false"/>
              <w:rPr/>
            </w:pPr>
            <w:r>
              <w:rPr/>
              <w:t>528</w:t>
            </w:r>
          </w:p>
        </w:tc>
      </w:tr>
      <w:tr>
        <w:trPr>
          <w:trHeight w:val="256" w:hRule="atLeast"/>
        </w:trPr>
        <w:tc>
          <w:tcPr>
            <w:tcW w:w="2256" w:type="dxa"/>
            <w:tcBorders>
              <w:left w:val="single" w:sz="2" w:space="0" w:color="FFFFFF"/>
              <w:bottom w:val="single" w:sz="2" w:space="0" w:color="FFFFFF"/>
            </w:tcBorders>
            <w:shd w:fill="CCCCCC" w:val="clear"/>
            <w:tcMar>
              <w:left w:w="29" w:type="dxa"/>
              <w:right w:w="29" w:type="dxa"/>
            </w:tcMar>
            <w:vAlign w:val="bottom"/>
          </w:tcPr>
          <w:p>
            <w:pPr>
              <w:pStyle w:val="Akdmy"/>
              <w:keepNext w:val="true"/>
              <w:widowControl w:val="false"/>
              <w:rPr/>
            </w:pPr>
            <w:r>
              <w:rPr/>
              <w:t>C1</w:t>
            </w:r>
          </w:p>
        </w:tc>
        <w:tc>
          <w:tcPr>
            <w:tcW w:w="975" w:type="dxa"/>
            <w:tcBorders>
              <w:left w:val="single" w:sz="2" w:space="0" w:color="FFFFFF"/>
              <w:bottom w:val="single" w:sz="2" w:space="0" w:color="FFFFFF"/>
            </w:tcBorders>
            <w:shd w:fill="CCCCCC" w:val="clear"/>
            <w:tcMar>
              <w:left w:w="29" w:type="dxa"/>
              <w:right w:w="29" w:type="dxa"/>
            </w:tcMar>
            <w:vAlign w:val="bottom"/>
          </w:tcPr>
          <w:p>
            <w:pPr>
              <w:pStyle w:val="Akdmy"/>
              <w:widowControl w:val="false"/>
              <w:rPr/>
            </w:pPr>
            <w:r>
              <w:rPr/>
              <w:t>952</w:t>
            </w:r>
          </w:p>
        </w:tc>
        <w:tc>
          <w:tcPr>
            <w:tcW w:w="1364" w:type="dxa"/>
            <w:tcBorders>
              <w:left w:val="single" w:sz="2" w:space="0" w:color="FFFFFF"/>
              <w:bottom w:val="single" w:sz="2" w:space="0" w:color="FFFFFF"/>
              <w:right w:val="single" w:sz="2" w:space="0" w:color="FFFFFF"/>
            </w:tcBorders>
            <w:shd w:fill="CCCCCC" w:val="clear"/>
            <w:tcMar>
              <w:left w:w="29" w:type="dxa"/>
              <w:right w:w="29" w:type="dxa"/>
            </w:tcMar>
            <w:vAlign w:val="bottom"/>
          </w:tcPr>
          <w:p>
            <w:pPr>
              <w:pStyle w:val="Akdmy"/>
              <w:widowControl w:val="false"/>
              <w:rPr/>
            </w:pPr>
            <w:r>
              <w:rPr/>
              <w:t>714</w:t>
            </w:r>
          </w:p>
        </w:tc>
      </w:tr>
      <w:tr>
        <w:trPr>
          <w:trHeight w:val="256" w:hRule="atLeast"/>
        </w:trPr>
        <w:tc>
          <w:tcPr>
            <w:tcW w:w="2256" w:type="dxa"/>
            <w:tcBorders/>
            <w:vAlign w:val="bottom"/>
          </w:tcPr>
          <w:p>
            <w:pPr>
              <w:pStyle w:val="Akdmy"/>
              <w:keepNext w:val="true"/>
              <w:widowControl w:val="false"/>
              <w:rPr/>
            </w:pPr>
            <w:r>
              <w:rPr/>
              <w:t>C2</w:t>
            </w:r>
          </w:p>
        </w:tc>
        <w:tc>
          <w:tcPr>
            <w:tcW w:w="975" w:type="dxa"/>
            <w:tcBorders/>
            <w:vAlign w:val="bottom"/>
          </w:tcPr>
          <w:p>
            <w:pPr>
              <w:pStyle w:val="Akdmy"/>
              <w:widowControl w:val="false"/>
              <w:rPr/>
            </w:pPr>
            <w:r>
              <w:rPr/>
              <w:t>94</w:t>
            </w:r>
          </w:p>
        </w:tc>
        <w:tc>
          <w:tcPr>
            <w:tcW w:w="1364" w:type="dxa"/>
            <w:tcBorders/>
            <w:vAlign w:val="bottom"/>
          </w:tcPr>
          <w:p>
            <w:pPr>
              <w:pStyle w:val="Akdmy"/>
              <w:widowControl w:val="false"/>
              <w:rPr/>
            </w:pPr>
            <w:r>
              <w:rPr/>
              <w:t>98</w:t>
            </w:r>
          </w:p>
        </w:tc>
      </w:tr>
      <w:tr>
        <w:trPr>
          <w:trHeight w:val="256" w:hRule="atLeast"/>
        </w:trPr>
        <w:tc>
          <w:tcPr>
            <w:tcW w:w="2256" w:type="dxa"/>
            <w:tcBorders>
              <w:left w:val="single" w:sz="2" w:space="0" w:color="FFFFFF"/>
              <w:bottom w:val="single" w:sz="2" w:space="0" w:color="FFFFFF"/>
            </w:tcBorders>
            <w:shd w:fill="CCCCCC" w:val="clear"/>
            <w:tcMar>
              <w:left w:w="29" w:type="dxa"/>
              <w:right w:w="29" w:type="dxa"/>
            </w:tcMar>
            <w:vAlign w:val="bottom"/>
          </w:tcPr>
          <w:p>
            <w:pPr>
              <w:pStyle w:val="Akdmy"/>
              <w:keepNext w:val="true"/>
              <w:widowControl w:val="false"/>
              <w:rPr/>
            </w:pPr>
            <w:r>
              <w:rPr/>
              <w:t>C3</w:t>
            </w:r>
          </w:p>
        </w:tc>
        <w:tc>
          <w:tcPr>
            <w:tcW w:w="975" w:type="dxa"/>
            <w:tcBorders>
              <w:left w:val="single" w:sz="2" w:space="0" w:color="FFFFFF"/>
              <w:bottom w:val="single" w:sz="2" w:space="0" w:color="FFFFFF"/>
            </w:tcBorders>
            <w:shd w:fill="CCCCCC" w:val="clear"/>
            <w:tcMar>
              <w:left w:w="29" w:type="dxa"/>
              <w:right w:w="29" w:type="dxa"/>
            </w:tcMar>
            <w:vAlign w:val="bottom"/>
          </w:tcPr>
          <w:p>
            <w:pPr>
              <w:pStyle w:val="Akdmy"/>
              <w:widowControl w:val="false"/>
              <w:rPr/>
            </w:pPr>
            <w:r>
              <w:rPr/>
              <w:t>2</w:t>
            </w:r>
          </w:p>
        </w:tc>
        <w:tc>
          <w:tcPr>
            <w:tcW w:w="1364" w:type="dxa"/>
            <w:tcBorders>
              <w:left w:val="single" w:sz="2" w:space="0" w:color="FFFFFF"/>
              <w:bottom w:val="single" w:sz="2" w:space="0" w:color="FFFFFF"/>
              <w:right w:val="single" w:sz="2" w:space="0" w:color="FFFFFF"/>
            </w:tcBorders>
            <w:shd w:fill="CCCCCC" w:val="clear"/>
            <w:tcMar>
              <w:left w:w="29" w:type="dxa"/>
              <w:right w:w="29" w:type="dxa"/>
            </w:tcMar>
            <w:vAlign w:val="bottom"/>
          </w:tcPr>
          <w:p>
            <w:pPr>
              <w:pStyle w:val="Akdmy"/>
              <w:widowControl w:val="false"/>
              <w:rPr/>
            </w:pPr>
            <w:r>
              <w:rPr/>
              <w:t>4</w:t>
            </w:r>
          </w:p>
        </w:tc>
      </w:tr>
      <w:tr>
        <w:trPr>
          <w:trHeight w:val="256" w:hRule="atLeast"/>
        </w:trPr>
        <w:tc>
          <w:tcPr>
            <w:tcW w:w="2256" w:type="dxa"/>
            <w:tcBorders/>
            <w:vAlign w:val="bottom"/>
          </w:tcPr>
          <w:p>
            <w:pPr>
              <w:pStyle w:val="Akdmy"/>
              <w:keepNext w:val="true"/>
              <w:widowControl w:val="false"/>
              <w:rPr/>
            </w:pPr>
            <w:r>
              <w:rPr/>
              <w:t>C5</w:t>
            </w:r>
          </w:p>
        </w:tc>
        <w:tc>
          <w:tcPr>
            <w:tcW w:w="975" w:type="dxa"/>
            <w:tcBorders/>
            <w:vAlign w:val="bottom"/>
          </w:tcPr>
          <w:p>
            <w:pPr>
              <w:pStyle w:val="Akdmy"/>
              <w:widowControl w:val="false"/>
              <w:rPr/>
            </w:pPr>
            <w:r>
              <w:rPr/>
              <w:t>1081</w:t>
            </w:r>
          </w:p>
        </w:tc>
        <w:tc>
          <w:tcPr>
            <w:tcW w:w="1364" w:type="dxa"/>
            <w:tcBorders/>
            <w:vAlign w:val="bottom"/>
          </w:tcPr>
          <w:p>
            <w:pPr>
              <w:pStyle w:val="Akdmy"/>
              <w:widowControl w:val="false"/>
              <w:rPr/>
            </w:pPr>
            <w:r>
              <w:rPr/>
              <w:t>708</w:t>
            </w:r>
          </w:p>
        </w:tc>
      </w:tr>
      <w:tr>
        <w:trPr>
          <w:trHeight w:val="256" w:hRule="atLeast"/>
        </w:trPr>
        <w:tc>
          <w:tcPr>
            <w:tcW w:w="2256" w:type="dxa"/>
            <w:tcBorders>
              <w:left w:val="single" w:sz="2" w:space="0" w:color="FFFFFF"/>
              <w:bottom w:val="single" w:sz="2" w:space="0" w:color="FFFFFF"/>
            </w:tcBorders>
            <w:shd w:fill="CCCCCC" w:val="clear"/>
            <w:tcMar>
              <w:left w:w="29" w:type="dxa"/>
              <w:right w:w="29" w:type="dxa"/>
            </w:tcMar>
            <w:vAlign w:val="bottom"/>
          </w:tcPr>
          <w:p>
            <w:pPr>
              <w:pStyle w:val="Akdmy"/>
              <w:keepNext w:val="true"/>
              <w:widowControl w:val="false"/>
              <w:rPr/>
            </w:pPr>
            <w:r>
              <w:rPr/>
              <w:t>C6</w:t>
            </w:r>
          </w:p>
        </w:tc>
        <w:tc>
          <w:tcPr>
            <w:tcW w:w="975" w:type="dxa"/>
            <w:tcBorders>
              <w:left w:val="single" w:sz="2" w:space="0" w:color="FFFFFF"/>
              <w:bottom w:val="single" w:sz="2" w:space="0" w:color="FFFFFF"/>
            </w:tcBorders>
            <w:shd w:fill="CCCCCC" w:val="clear"/>
            <w:tcMar>
              <w:left w:w="29" w:type="dxa"/>
              <w:right w:w="29" w:type="dxa"/>
            </w:tcMar>
            <w:vAlign w:val="bottom"/>
          </w:tcPr>
          <w:p>
            <w:pPr>
              <w:pStyle w:val="Akdmy"/>
              <w:widowControl w:val="false"/>
              <w:rPr/>
            </w:pPr>
            <w:r>
              <w:rPr/>
              <w:t>5</w:t>
            </w:r>
          </w:p>
        </w:tc>
        <w:tc>
          <w:tcPr>
            <w:tcW w:w="1364" w:type="dxa"/>
            <w:tcBorders>
              <w:left w:val="single" w:sz="2" w:space="0" w:color="FFFFFF"/>
              <w:bottom w:val="single" w:sz="2" w:space="0" w:color="FFFFFF"/>
              <w:right w:val="single" w:sz="2" w:space="0" w:color="FFFFFF"/>
            </w:tcBorders>
            <w:shd w:fill="CCCCCC" w:val="clear"/>
            <w:tcMar>
              <w:left w:w="29" w:type="dxa"/>
              <w:right w:w="29" w:type="dxa"/>
            </w:tcMar>
            <w:vAlign w:val="bottom"/>
          </w:tcPr>
          <w:p>
            <w:pPr>
              <w:pStyle w:val="Akdmy"/>
              <w:widowControl w:val="false"/>
              <w:rPr/>
            </w:pPr>
            <w:r>
              <w:rPr/>
              <w:t>1</w:t>
            </w:r>
          </w:p>
        </w:tc>
      </w:tr>
      <w:tr>
        <w:trPr>
          <w:trHeight w:val="256" w:hRule="atLeast"/>
        </w:trPr>
        <w:tc>
          <w:tcPr>
            <w:tcW w:w="2256" w:type="dxa"/>
            <w:tcBorders/>
            <w:vAlign w:val="bottom"/>
          </w:tcPr>
          <w:p>
            <w:pPr>
              <w:pStyle w:val="Akdmy"/>
              <w:keepNext w:val="true"/>
              <w:widowControl w:val="false"/>
              <w:rPr/>
            </w:pPr>
            <w:r>
              <w:rPr/>
              <w:t>C7</w:t>
            </w:r>
          </w:p>
        </w:tc>
        <w:tc>
          <w:tcPr>
            <w:tcW w:w="975" w:type="dxa"/>
            <w:tcBorders/>
            <w:vAlign w:val="bottom"/>
          </w:tcPr>
          <w:p>
            <w:pPr>
              <w:pStyle w:val="Akdmy"/>
              <w:widowControl w:val="false"/>
              <w:rPr/>
            </w:pPr>
            <w:r>
              <w:rPr/>
              <w:t>3</w:t>
            </w:r>
          </w:p>
        </w:tc>
        <w:tc>
          <w:tcPr>
            <w:tcW w:w="1364" w:type="dxa"/>
            <w:tcBorders/>
            <w:vAlign w:val="bottom"/>
          </w:tcPr>
          <w:p>
            <w:pPr>
              <w:pStyle w:val="Akdmy"/>
              <w:widowControl w:val="false"/>
              <w:rPr/>
            </w:pPr>
            <w:r>
              <w:rPr/>
              <w:t>0</w:t>
            </w:r>
          </w:p>
        </w:tc>
      </w:tr>
      <w:tr>
        <w:trPr>
          <w:trHeight w:val="256" w:hRule="atLeast"/>
        </w:trPr>
        <w:tc>
          <w:tcPr>
            <w:tcW w:w="2256" w:type="dxa"/>
            <w:tcBorders>
              <w:left w:val="single" w:sz="2" w:space="0" w:color="FFFFFF"/>
              <w:bottom w:val="single" w:sz="2" w:space="0" w:color="FFFFFF"/>
            </w:tcBorders>
            <w:shd w:fill="CCCCCC" w:val="clear"/>
            <w:tcMar>
              <w:left w:w="29" w:type="dxa"/>
              <w:right w:w="29" w:type="dxa"/>
            </w:tcMar>
            <w:vAlign w:val="bottom"/>
          </w:tcPr>
          <w:p>
            <w:pPr>
              <w:pStyle w:val="Akdmy"/>
              <w:keepNext w:val="true"/>
              <w:widowControl w:val="false"/>
              <w:rPr/>
            </w:pPr>
            <w:r>
              <w:rPr/>
              <w:t>C9</w:t>
            </w:r>
          </w:p>
        </w:tc>
        <w:tc>
          <w:tcPr>
            <w:tcW w:w="975" w:type="dxa"/>
            <w:tcBorders>
              <w:left w:val="single" w:sz="2" w:space="0" w:color="FFFFFF"/>
              <w:bottom w:val="single" w:sz="2" w:space="0" w:color="FFFFFF"/>
            </w:tcBorders>
            <w:shd w:fill="CCCCCC" w:val="clear"/>
            <w:tcMar>
              <w:left w:w="29" w:type="dxa"/>
              <w:right w:w="29" w:type="dxa"/>
            </w:tcMar>
            <w:vAlign w:val="bottom"/>
          </w:tcPr>
          <w:p>
            <w:pPr>
              <w:pStyle w:val="Akdmy"/>
              <w:widowControl w:val="false"/>
              <w:rPr/>
            </w:pPr>
            <w:r>
              <w:rPr/>
              <w:t>0</w:t>
            </w:r>
          </w:p>
        </w:tc>
        <w:tc>
          <w:tcPr>
            <w:tcW w:w="1364" w:type="dxa"/>
            <w:tcBorders>
              <w:left w:val="single" w:sz="2" w:space="0" w:color="FFFFFF"/>
              <w:bottom w:val="single" w:sz="2" w:space="0" w:color="FFFFFF"/>
              <w:right w:val="single" w:sz="2" w:space="0" w:color="FFFFFF"/>
            </w:tcBorders>
            <w:shd w:fill="CCCCCC" w:val="clear"/>
            <w:tcMar>
              <w:left w:w="29" w:type="dxa"/>
              <w:right w:w="29" w:type="dxa"/>
            </w:tcMar>
            <w:vAlign w:val="bottom"/>
          </w:tcPr>
          <w:p>
            <w:pPr>
              <w:pStyle w:val="Akdmy"/>
              <w:widowControl w:val="false"/>
              <w:rPr/>
            </w:pPr>
            <w:r>
              <w:rPr/>
              <w:t>18</w:t>
            </w:r>
          </w:p>
        </w:tc>
      </w:tr>
      <w:tr>
        <w:trPr>
          <w:trHeight w:val="256" w:hRule="atLeast"/>
        </w:trPr>
        <w:tc>
          <w:tcPr>
            <w:tcW w:w="2256" w:type="dxa"/>
            <w:tcBorders/>
            <w:vAlign w:val="bottom"/>
          </w:tcPr>
          <w:p>
            <w:pPr>
              <w:pStyle w:val="Akdmy"/>
              <w:keepNext w:val="true"/>
              <w:widowControl w:val="false"/>
              <w:rPr/>
            </w:pPr>
            <w:r>
              <w:rPr/>
              <w:t>C16</w:t>
            </w:r>
          </w:p>
        </w:tc>
        <w:tc>
          <w:tcPr>
            <w:tcW w:w="975" w:type="dxa"/>
            <w:tcBorders/>
            <w:vAlign w:val="bottom"/>
          </w:tcPr>
          <w:p>
            <w:pPr>
              <w:pStyle w:val="Akdmy"/>
              <w:widowControl w:val="false"/>
              <w:rPr/>
            </w:pPr>
            <w:r>
              <w:rPr/>
              <w:t>939</w:t>
            </w:r>
          </w:p>
        </w:tc>
        <w:tc>
          <w:tcPr>
            <w:tcW w:w="1364" w:type="dxa"/>
            <w:tcBorders/>
            <w:vAlign w:val="bottom"/>
          </w:tcPr>
          <w:p>
            <w:pPr>
              <w:pStyle w:val="Akdmy"/>
              <w:widowControl w:val="false"/>
              <w:rPr/>
            </w:pPr>
            <w:r>
              <w:rPr/>
              <w:t>693</w:t>
            </w:r>
          </w:p>
        </w:tc>
      </w:tr>
      <w:tr>
        <w:trPr>
          <w:trHeight w:val="256" w:hRule="atLeast"/>
        </w:trPr>
        <w:tc>
          <w:tcPr>
            <w:tcW w:w="2256" w:type="dxa"/>
            <w:tcBorders>
              <w:left w:val="single" w:sz="2" w:space="0" w:color="FFFFFF"/>
              <w:bottom w:val="single" w:sz="2" w:space="0" w:color="FFFFFF"/>
            </w:tcBorders>
            <w:shd w:fill="CCCCCC" w:val="clear"/>
            <w:tcMar>
              <w:left w:w="29" w:type="dxa"/>
              <w:right w:w="29" w:type="dxa"/>
            </w:tcMar>
            <w:vAlign w:val="bottom"/>
          </w:tcPr>
          <w:p>
            <w:pPr>
              <w:pStyle w:val="Akdmy"/>
              <w:keepNext w:val="true"/>
              <w:widowControl w:val="false"/>
              <w:rPr/>
            </w:pPr>
            <w:r>
              <w:rPr/>
              <w:t>C24</w:t>
            </w:r>
          </w:p>
        </w:tc>
        <w:tc>
          <w:tcPr>
            <w:tcW w:w="975" w:type="dxa"/>
            <w:tcBorders>
              <w:left w:val="single" w:sz="2" w:space="0" w:color="FFFFFF"/>
              <w:bottom w:val="single" w:sz="2" w:space="0" w:color="FFFFFF"/>
            </w:tcBorders>
            <w:shd w:fill="CCCCCC" w:val="clear"/>
            <w:tcMar>
              <w:left w:w="29" w:type="dxa"/>
              <w:right w:w="29" w:type="dxa"/>
            </w:tcMar>
            <w:vAlign w:val="bottom"/>
          </w:tcPr>
          <w:p>
            <w:pPr>
              <w:pStyle w:val="Akdmy"/>
              <w:widowControl w:val="false"/>
              <w:rPr/>
            </w:pPr>
            <w:r>
              <w:rPr/>
              <w:t>3</w:t>
            </w:r>
          </w:p>
        </w:tc>
        <w:tc>
          <w:tcPr>
            <w:tcW w:w="1364" w:type="dxa"/>
            <w:tcBorders>
              <w:left w:val="single" w:sz="2" w:space="0" w:color="FFFFFF"/>
              <w:bottom w:val="single" w:sz="2" w:space="0" w:color="FFFFFF"/>
              <w:right w:val="single" w:sz="2" w:space="0" w:color="FFFFFF"/>
            </w:tcBorders>
            <w:shd w:fill="CCCCCC" w:val="clear"/>
            <w:tcMar>
              <w:left w:w="29" w:type="dxa"/>
              <w:right w:w="29" w:type="dxa"/>
            </w:tcMar>
            <w:vAlign w:val="bottom"/>
          </w:tcPr>
          <w:p>
            <w:pPr>
              <w:pStyle w:val="Akdmy"/>
              <w:widowControl w:val="false"/>
              <w:rPr/>
            </w:pPr>
            <w:r>
              <w:rPr/>
              <w:t>0</w:t>
            </w:r>
          </w:p>
        </w:tc>
      </w:tr>
    </w:tbl>
    <w:p>
      <w:pPr>
        <w:pStyle w:val="Table"/>
        <w:rPr/>
      </w:pPr>
      <w:r>
        <w:rPr/>
        <w:t xml:space="preserve">Table </w:t>
      </w:r>
      <w:r>
        <w:rPr/>
        <w:fldChar w:fldCharType="begin"/>
      </w:r>
      <w:r>
        <w:rPr/>
        <w:instrText xml:space="preserve"> SEQ Table \* ARABIC </w:instrText>
      </w:r>
      <w:r>
        <w:rPr/>
        <w:fldChar w:fldCharType="separate"/>
      </w:r>
      <w:r>
        <w:rPr/>
        <w:t>1</w:t>
      </w:r>
      <w:r>
        <w:rPr/>
        <w:fldChar w:fldCharType="end"/>
      </w:r>
      <w:r>
        <w:rPr/>
        <w:t>: Communities in the turquoise module, with the known and unknown genes for each</w:t>
      </w:r>
    </w:p>
    <w:p>
      <w:pPr>
        <w:pStyle w:val="Normal"/>
        <w:rPr/>
      </w:pPr>
      <w:r>
        <w:rPr/>
      </w:r>
    </w:p>
    <w:p>
      <w:pPr>
        <w:pStyle w:val="Normal"/>
        <w:rPr/>
      </w:pPr>
      <w:r>
        <w:rPr/>
      </w:r>
    </w:p>
    <w:sectPr>
      <w:footerReference w:type="default" r:id="rId22"/>
      <w:type w:val="nextPage"/>
      <w:pgSz w:w="11906" w:h="16838"/>
      <w:pgMar w:left="1133" w:right="1134" w:gutter="0" w:header="0" w:top="1134" w:footer="566" w:bottom="1128"/>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roman"/>
    <w:pitch w:val="variable"/>
  </w:font>
  <w:font w:name="Helvetica">
    <w:altName w:val="Arial"/>
    <w:charset w:val="01"/>
    <w:family w:val="roman"/>
    <w:pitch w:val="variable"/>
  </w:font>
  <w:font w:name="Helvetica-Light">
    <w:charset w:val="01"/>
    <w:family w:val="roman"/>
    <w:pitch w:val="variable"/>
  </w:font>
  <w:font w:name="AdvPS2A83">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jc w:val="right"/>
      <w:rPr/>
    </w:pPr>
    <w:r>
      <w:rPr/>
      <w:fldChar w:fldCharType="begin"/>
    </w:r>
    <w:r>
      <w:rPr/>
      <w:instrText xml:space="preserve"> PAGE </w:instrText>
    </w:r>
    <w:r>
      <w:rPr/>
      <w:fldChar w:fldCharType="separate"/>
    </w:r>
    <w:r>
      <w:rPr/>
      <w:t>5</w:t>
    </w:r>
    <w:r>
      <w:rPr/>
      <w:fldChar w:fldCharType="end"/>
    </w:r>
  </w:p>
</w:ftr>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sz w:val="22"/>
        <w:szCs w:val="22"/>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lineRule="auto" w:line="276" w:before="0" w:after="0"/>
      <w:jc w:val="left"/>
    </w:pPr>
    <w:rPr>
      <w:rFonts w:ascii="Times New Roman" w:hAnsi="Times New Roman" w:eastAsia="Noto Serif CJK SC" w:cs="Lohit Devanagari"/>
      <w:color w:val="auto"/>
      <w:kern w:val="0"/>
      <w:sz w:val="22"/>
      <w:szCs w:val="22"/>
      <w:lang w:val="en-US" w:eastAsia="zh-CN" w:bidi="hi-IN"/>
    </w:rPr>
  </w:style>
  <w:style w:type="paragraph" w:styleId="Heading1">
    <w:name w:val="Heading 1"/>
    <w:basedOn w:val="LOnormal"/>
    <w:next w:val="LOnormal"/>
    <w:qFormat/>
    <w:pPr>
      <w:keepNext w:val="true"/>
      <w:keepLines/>
      <w:spacing w:lineRule="auto" w:line="276" w:before="100" w:after="100"/>
      <w:jc w:val="both"/>
    </w:pPr>
    <w:rPr>
      <w:b/>
      <w:sz w:val="28"/>
      <w:szCs w:val="28"/>
    </w:rPr>
  </w:style>
  <w:style w:type="paragraph" w:styleId="Heading2">
    <w:name w:val="Heading 2"/>
    <w:basedOn w:val="LOnormal"/>
    <w:next w:val="LOnormal"/>
    <w:qFormat/>
    <w:pPr>
      <w:keepNext w:val="true"/>
      <w:keepLines/>
      <w:spacing w:lineRule="auto" w:line="276" w:before="80" w:after="80"/>
      <w:jc w:val="both"/>
    </w:pPr>
    <w:rPr>
      <w:b/>
    </w:rPr>
  </w:style>
  <w:style w:type="paragraph" w:styleId="Heading3">
    <w:name w:val="Heading 3"/>
    <w:basedOn w:val="LOnormal"/>
    <w:next w:val="LOnormal"/>
    <w:qFormat/>
    <w:pPr>
      <w:keepNext w:val="true"/>
      <w:keepLines/>
      <w:pageBreakBefore w:val="false"/>
      <w:spacing w:lineRule="auto" w:line="240" w:before="280" w:after="80"/>
    </w:pPr>
    <w:rPr>
      <w:b/>
      <w:sz w:val="28"/>
      <w:szCs w:val="28"/>
    </w:rPr>
  </w:style>
  <w:style w:type="paragraph" w:styleId="Heading4">
    <w:name w:val="Heading 4"/>
    <w:basedOn w:val="LOnormal"/>
    <w:next w:val="LOnormal"/>
    <w:qFormat/>
    <w:pPr>
      <w:keepNext w:val="true"/>
      <w:keepLines/>
      <w:pageBreakBefore w:val="false"/>
      <w:spacing w:lineRule="auto" w:line="240" w:before="240" w:after="40"/>
    </w:pPr>
    <w:rPr>
      <w:b/>
      <w:sz w:val="24"/>
      <w:szCs w:val="24"/>
    </w:rPr>
  </w:style>
  <w:style w:type="paragraph" w:styleId="Heading5">
    <w:name w:val="Heading 5"/>
    <w:basedOn w:val="LOnormal"/>
    <w:next w:val="LOnormal"/>
    <w:qFormat/>
    <w:pPr>
      <w:keepNext w:val="true"/>
      <w:keepLines/>
      <w:pageBreakBefore w:val="false"/>
      <w:spacing w:lineRule="auto" w:line="240" w:before="220" w:after="40"/>
    </w:pPr>
    <w:rPr>
      <w:b/>
      <w:sz w:val="22"/>
      <w:szCs w:val="22"/>
    </w:rPr>
  </w:style>
  <w:style w:type="paragraph" w:styleId="Heading6">
    <w:name w:val="Heading 6"/>
    <w:basedOn w:val="LOnormal"/>
    <w:next w:val="LOnormal"/>
    <w:qFormat/>
    <w:pPr>
      <w:keepNext w:val="true"/>
      <w:keepLines/>
      <w:pageBreakBefore w:val="false"/>
      <w:spacing w:lineRule="auto" w:line="240" w:before="200" w:after="40"/>
    </w:pPr>
    <w:rPr>
      <w:b/>
      <w:sz w:val="20"/>
      <w:szCs w:val="20"/>
    </w:rPr>
  </w:style>
  <w:style w:type="character" w:styleId="InternetLink">
    <w:name w:val="Hyperlink"/>
    <w:rPr>
      <w:color w:val="000080"/>
      <w:u w:val="single"/>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name w:val="LO-normal"/>
    <w:qFormat/>
    <w:pPr>
      <w:widowControl/>
      <w:suppressAutoHyphens w:val="true"/>
      <w:overflowPunct w:val="false"/>
      <w:bidi w:val="0"/>
      <w:spacing w:lineRule="auto" w:line="276" w:before="0" w:after="0"/>
      <w:jc w:val="left"/>
    </w:pPr>
    <w:rPr>
      <w:rFonts w:ascii="Times New Roman" w:hAnsi="Times New Roman" w:eastAsia="Noto Serif CJK SC" w:cs="Lohit Devanagari"/>
      <w:color w:val="auto"/>
      <w:kern w:val="0"/>
      <w:sz w:val="22"/>
      <w:szCs w:val="22"/>
      <w:lang w:val="en-US" w:eastAsia="zh-CN" w:bidi="hi-IN"/>
    </w:rPr>
  </w:style>
  <w:style w:type="paragraph" w:styleId="Title">
    <w:name w:val="Title"/>
    <w:basedOn w:val="LOnormal"/>
    <w:next w:val="LOnormal"/>
    <w:qFormat/>
    <w:pPr>
      <w:keepNext w:val="true"/>
      <w:keepLines/>
      <w:spacing w:lineRule="auto" w:line="240" w:before="480" w:after="120"/>
    </w:pPr>
    <w:rPr>
      <w:b/>
      <w:sz w:val="56"/>
      <w:szCs w:val="56"/>
    </w:rPr>
  </w:style>
  <w:style w:type="paragraph" w:styleId="Subtitle">
    <w:name w:val="Subtitle"/>
    <w:basedOn w:val="LOnormal"/>
    <w:next w:val="LOnormal"/>
    <w:qFormat/>
    <w:pPr>
      <w:keepNext w:val="true"/>
      <w:keepLines/>
    </w:pPr>
    <w:rPr>
      <w:i/>
      <w:sz w:val="20"/>
      <w:szCs w:val="20"/>
    </w:rPr>
  </w:style>
  <w:style w:type="paragraph" w:styleId="HeaderandFooter">
    <w:name w:val="Header and Footer"/>
    <w:basedOn w:val="Normal"/>
    <w:qFormat/>
    <w:pPr/>
    <w:rPr/>
  </w:style>
  <w:style w:type="paragraph" w:styleId="Footer">
    <w:name w:val="Footer"/>
    <w:basedOn w:val="HeaderandFooter"/>
    <w:pPr/>
    <w:rPr/>
  </w:style>
  <w:style w:type="paragraph" w:styleId="AbstractHead">
    <w:name w:val="Abstract Head"/>
    <w:qFormat/>
    <w:pPr>
      <w:widowControl/>
      <w:suppressAutoHyphens w:val="true"/>
      <w:overflowPunct w:val="false"/>
      <w:bidi w:val="0"/>
      <w:spacing w:lineRule="exact" w:line="220" w:before="210" w:after="10"/>
      <w:jc w:val="both"/>
    </w:pPr>
    <w:rPr>
      <w:rFonts w:ascii="Helvetica" w:hAnsi="Helvetica" w:eastAsia="Noto Serif CJK SC" w:cs="Lohit Devanagari"/>
      <w:b/>
      <w:caps/>
      <w:color w:val="auto"/>
      <w:kern w:val="0"/>
      <w:sz w:val="16"/>
      <w:szCs w:val="22"/>
      <w:lang w:val="en-US" w:eastAsia="en-US" w:bidi="hi-IN"/>
    </w:rPr>
  </w:style>
  <w:style w:type="paragraph" w:styleId="Articleinfo">
    <w:name w:val="article-info"/>
    <w:basedOn w:val="Normal"/>
    <w:qFormat/>
    <w:pPr>
      <w:ind w:left="0" w:right="1583" w:hanging="0"/>
      <w:jc w:val="right"/>
    </w:pPr>
    <w:rPr>
      <w:sz w:val="16"/>
      <w:szCs w:val="16"/>
    </w:rPr>
  </w:style>
  <w:style w:type="paragraph" w:styleId="Authorname">
    <w:name w:val="Author name"/>
    <w:qFormat/>
    <w:pPr>
      <w:widowControl/>
      <w:suppressAutoHyphens w:val="true"/>
      <w:overflowPunct w:val="false"/>
      <w:bidi w:val="0"/>
      <w:spacing w:lineRule="exact" w:line="300" w:before="70" w:after="0"/>
      <w:jc w:val="left"/>
    </w:pPr>
    <w:rPr>
      <w:rFonts w:ascii="Helvetica-Light" w:hAnsi="Helvetica-Light" w:eastAsia="Noto Serif CJK SC" w:cs="Lohit Devanagari"/>
      <w:iCs/>
      <w:color w:val="auto"/>
      <w:kern w:val="0"/>
      <w:sz w:val="26"/>
      <w:szCs w:val="22"/>
      <w:lang w:val="en-US" w:eastAsia="en-US" w:bidi="hi-IN"/>
    </w:rPr>
  </w:style>
  <w:style w:type="paragraph" w:styleId="AuthorGroup">
    <w:name w:val="Author-Group"/>
    <w:basedOn w:val="Authorname"/>
    <w:qFormat/>
    <w:pPr>
      <w:spacing w:before="100" w:after="0"/>
      <w:jc w:val="both"/>
    </w:pPr>
    <w:rPr>
      <w:sz w:val="24"/>
      <w:szCs w:val="24"/>
    </w:rPr>
  </w:style>
  <w:style w:type="paragraph" w:styleId="Affilation">
    <w:name w:val="Affilation"/>
    <w:basedOn w:val="Authorname"/>
    <w:qFormat/>
    <w:pPr>
      <w:spacing w:lineRule="exact" w:line="240" w:before="40" w:after="52"/>
    </w:pPr>
    <w:rPr>
      <w:sz w:val="20"/>
    </w:rPr>
  </w:style>
  <w:style w:type="paragraph" w:styleId="HistoryDates">
    <w:name w:val="History-Dates"/>
    <w:basedOn w:val="Affilation"/>
    <w:qFormat/>
    <w:pPr>
      <w:jc w:val="both"/>
    </w:pPr>
    <w:rPr>
      <w:sz w:val="16"/>
      <w:szCs w:val="16"/>
    </w:rPr>
  </w:style>
  <w:style w:type="paragraph" w:styleId="AuthorAffiliation">
    <w:name w:val="Author-Affiliation"/>
    <w:basedOn w:val="Affilation"/>
    <w:qFormat/>
    <w:pPr>
      <w:spacing w:before="100" w:after="52"/>
      <w:jc w:val="both"/>
    </w:pPr>
    <w:rPr>
      <w:sz w:val="18"/>
      <w:szCs w:val="18"/>
    </w:rPr>
  </w:style>
  <w:style w:type="paragraph" w:styleId="AbstractHead1">
    <w:name w:val="Abstract-Head"/>
    <w:basedOn w:val="AbstractHead"/>
    <w:qFormat/>
    <w:pPr>
      <w:tabs>
        <w:tab w:val="clear" w:pos="720"/>
        <w:tab w:val="left" w:pos="7140" w:leader="none"/>
      </w:tabs>
      <w:spacing w:lineRule="exact" w:line="200" w:before="300" w:after="10"/>
    </w:pPr>
    <w:rPr>
      <w:caps w:val="false"/>
      <w:smallCaps w:val="false"/>
      <w:sz w:val="20"/>
    </w:rPr>
  </w:style>
  <w:style w:type="paragraph" w:styleId="AbstractText">
    <w:name w:val="Abstract Text"/>
    <w:qFormat/>
    <w:pPr>
      <w:widowControl/>
      <w:suppressAutoHyphens w:val="true"/>
      <w:overflowPunct w:val="false"/>
      <w:bidi w:val="0"/>
      <w:spacing w:lineRule="exact" w:line="220" w:before="0" w:after="0"/>
      <w:jc w:val="both"/>
    </w:pPr>
    <w:rPr>
      <w:rFonts w:ascii="Helvetica" w:hAnsi="Helvetica" w:eastAsia="Noto Serif CJK SC" w:cs="Lohit Devanagari"/>
      <w:color w:val="auto"/>
      <w:kern w:val="0"/>
      <w:sz w:val="16"/>
      <w:szCs w:val="22"/>
      <w:lang w:val="en-US" w:eastAsia="en-US" w:bidi="hi-IN"/>
    </w:rPr>
  </w:style>
  <w:style w:type="paragraph" w:styleId="AbstractText1">
    <w:name w:val="Abstract-Text"/>
    <w:basedOn w:val="AbstractText"/>
    <w:qFormat/>
    <w:pPr/>
    <w:rPr>
      <w:sz w:val="18"/>
      <w:szCs w:val="18"/>
    </w:rPr>
  </w:style>
  <w:style w:type="paragraph" w:styleId="Figure">
    <w:name w:val="Figure"/>
    <w:basedOn w:val="Caption"/>
    <w:qFormat/>
    <w:pPr>
      <w:spacing w:before="120" w:after="120"/>
    </w:pPr>
    <w:rPr>
      <w:sz w:val="2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paragraph" w:styleId="Table">
    <w:name w:val="Table"/>
    <w:basedOn w:val="Caption"/>
    <w:qFormat/>
    <w:pPr/>
    <w:rPr/>
  </w:style>
  <w:style w:type="paragraph" w:styleId="Akdmy">
    <w:name w:val="Akdmy"/>
    <w:basedOn w:val="Normal"/>
    <w:qFormat/>
    <w:pPr>
      <w:widowControl w:val="false"/>
      <w:tabs>
        <w:tab w:val="clear" w:pos="720"/>
      </w:tabs>
      <w:jc w:val="center"/>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Janek21/BDBI_TFG_MaizeCoexpression" TargetMode="External"/><Relationship Id="rId3" Type="http://schemas.openxmlformats.org/officeDocument/2006/relationships/hyperlink" Target="https://github.com/Janek21/BDBI_TFG_MaizeCoexpression/tree/main/all_figures" TargetMode="External"/><Relationship Id="rId4" Type="http://schemas.openxmlformats.org/officeDocument/2006/relationships/image" Target="media/image1.png"/><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9.png"/><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186</TotalTime>
  <Application>LibreOffice/7.3.7.2$Linux_X86_64 LibreOffice_project/30$Build-2</Application>
  <AppVersion>15.0000</AppVersion>
  <Pages>6</Pages>
  <Words>446</Words>
  <Characters>2481</Characters>
  <CharactersWithSpaces>2872</CharactersWithSpaces>
  <Paragraphs>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2025-06-18T19:33:31Z</dcterms:modified>
  <cp:revision>34</cp:revision>
  <dc:subject/>
  <dc:title/>
</cp:coreProperties>
</file>

<file path=docProps/custom.xml><?xml version="1.0" encoding="utf-8"?>
<Properties xmlns="http://schemas.openxmlformats.org/officeDocument/2006/custom-properties" xmlns:vt="http://schemas.openxmlformats.org/officeDocument/2006/docPropsVTypes"/>
</file>