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280" w:line="240" w:lineRule="auto"/>
        <w:jc w:val="center"/>
      </w:pPr>
      <w:r>
        <w:rPr>
          <w:rFonts w:ascii="Times New Roman" w:hAnsi="Times New Roman"/>
          <w:b/>
          <w:i w:val="0"/>
          <w:sz w:val="40"/>
        </w:rPr>
        <w:t>Projekt systemu informatycznego</w:t>
        <w:br/>
      </w:r>
      <w:r>
        <w:rPr>
          <w:rFonts w:ascii="Times New Roman" w:hAnsi="Times New Roman"/>
          <w:b/>
          <w:i w:val="0"/>
          <w:sz w:val="40"/>
        </w:rPr>
        <w:t>SmartDorm</w:t>
      </w:r>
    </w:p>
    <w:p>
      <w:pPr>
        <w:spacing w:before="0" w:after="600" w:line="240" w:lineRule="auto"/>
        <w:jc w:val="center"/>
      </w:pPr>
      <w:r>
        <w:rPr>
          <w:rFonts w:ascii="Times New Roman" w:hAnsi="Times New Roman"/>
          <w:b w:val="0"/>
          <w:i/>
          <w:sz w:val="26"/>
        </w:rPr>
        <w:t>System automatyzacji procesów kwaterowania, opłat oraz zgłaszania usterek w akademiku</w:t>
      </w:r>
    </w:p>
    <w:p>
      <w:pPr>
        <w:spacing w:before="0" w:after="1200" w:line="240" w:lineRule="auto"/>
        <w:jc w:val="center"/>
      </w:pPr>
      <w:r>
        <w:rPr>
          <w:rFonts w:ascii="Times New Roman" w:hAnsi="Times New Roman"/>
          <w:b w:val="0"/>
          <w:i w:val="0"/>
          <w:sz w:val="26"/>
        </w:rPr>
        <w:t>Dokument zaliczeniowy — projekt systemu informatycznego</w:t>
      </w:r>
    </w:p>
    <w:p/>
    <w:p/>
    <w:p/>
    <w:p/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sz w:val="28"/>
        </w:rPr>
        <w:t>Jan Płoński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Nr albumu: ................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Lipiec 2026</w:t>
      </w:r>
    </w:p>
    <w:p>
      <w:r>
        <w:br w:type="page"/>
      </w:r>
    </w:p>
    <w:p>
      <w:pPr>
        <w:pStyle w:val="Heading1"/>
      </w:pPr>
      <w:r>
        <w:t>1. Wprowadzenie</w:t>
      </w:r>
    </w:p>
    <w:p>
      <w:pPr>
        <w:pStyle w:val="Heading2"/>
      </w:pPr>
      <w:r>
        <w:t>1.1. Cel dokumentu</w:t>
      </w:r>
    </w:p>
    <w:p>
      <w:r>
        <w:t xml:space="preserve">Niniejszy dokument stanowi projekt techniczny systemu informatycznego </w:t>
      </w:r>
      <w:r>
        <w:rPr>
          <w:b/>
        </w:rPr>
        <w:t>SmartDorm</w:t>
      </w:r>
      <w:r>
        <w:t xml:space="preserve"> — platformy automatyzującej procesy kwaterowania, naliczania opłat oraz obsługi zgłoszeń usterek w akademiku. Dokument opisuje przyjęty model architektoniczny wraz z uzasadnieniem, podział systemu na komponenty, konkretny stos technologiczny, infrastrukturę wdrożeniową, strategię przechowywania danych, sposób migracji i inicjalizacji bazy, specyfikację API, model komunikacji międzykomponentowej, integracje z systemami zewnętrznymi, zarządzanie stanem i błędami oraz mechanizmy uwierzytelniania i autoryzacji. Załącznikami do dokumentu są diagram architektury logicznej systemu (Załącznik A) oraz schemat bazy danych (Załącznik B).</w:t>
      </w:r>
    </w:p>
    <w:p>
      <w:pPr>
        <w:pStyle w:val="Heading2"/>
      </w:pPr>
      <w:r>
        <w:t>1.2. Zakres funkcjonalny systemu</w:t>
      </w:r>
    </w:p>
    <w:p>
      <w:r>
        <w:t>Zgodnie z wymaganiami system realizuje pięć głównych obszarów funkcjonalnych:</w:t>
      </w:r>
    </w:p>
    <w:p>
      <w:pPr>
        <w:pStyle w:val="ListBullet"/>
      </w:pPr>
      <w:r>
        <w:rPr>
          <w:b/>
        </w:rPr>
        <w:t>Zarządzanie pokojami</w:t>
      </w:r>
      <w:r>
        <w:t xml:space="preserve"> — administrator definiuje strukturę budynku: piętra, numery pokoi oraz liczbę miejsc w każdym pokoju.</w:t>
      </w:r>
    </w:p>
    <w:p>
      <w:pPr>
        <w:pStyle w:val="ListBullet"/>
      </w:pPr>
      <w:r>
        <w:rPr>
          <w:b/>
        </w:rPr>
        <w:t>Proces kwaterowania</w:t>
      </w:r>
      <w:r>
        <w:t xml:space="preserve"> — student po zalogowaniu składa wniosek o zakwaterowanie w konkretnym pokoju; system prezentuje dostępność miejsc w czasie rzeczywistym i chroni przed podwójną rezerwacją tego samego miejsca.</w:t>
      </w:r>
    </w:p>
    <w:p>
      <w:pPr>
        <w:pStyle w:val="ListBullet"/>
      </w:pPr>
      <w:r>
        <w:rPr>
          <w:b/>
        </w:rPr>
        <w:t>System zgłoszeń (helpdesk)</w:t>
      </w:r>
      <w:r>
        <w:t xml:space="preserve"> — mieszkaniec zgłasza usterkę (np. „zepsuty kran"), załącza zdjęcia i śledzi status naprawy od momentu przyjęcia zgłoszenia do jego zamknięcia.</w:t>
      </w:r>
    </w:p>
    <w:p>
      <w:pPr>
        <w:pStyle w:val="ListBullet"/>
      </w:pPr>
      <w:r>
        <w:rPr>
          <w:b/>
        </w:rPr>
        <w:t>Moduł płatności</w:t>
      </w:r>
      <w:r>
        <w:t xml:space="preserve"> — system generuje comiesięczne naliczenia za czynsz i media, a student ma wgląd w historię swoich wpłat i saldo konta.</w:t>
      </w:r>
    </w:p>
    <w:p>
      <w:pPr>
        <w:pStyle w:val="ListBullet"/>
      </w:pPr>
      <w:r>
        <w:rPr>
          <w:b/>
        </w:rPr>
        <w:t>Powiadomienia</w:t>
      </w:r>
      <w:r>
        <w:t xml:space="preserve"> — system informuje użytkowników o zbliżających się terminach płatności oraz o zmianach statusu zgłoszonych usterek.</w:t>
      </w:r>
    </w:p>
    <w:p>
      <w:pPr>
        <w:pStyle w:val="Heading2"/>
      </w:pPr>
      <w:r>
        <w:t>1.3. Wymagania niefunkcjonalne</w:t>
      </w:r>
    </w:p>
    <w:p>
      <w:r>
        <w:t>Kluczowe parametry jakościowe, które zdeterminowały decyzje projektowe:</w:t>
      </w:r>
    </w:p>
    <w:p>
      <w:pPr>
        <w:pStyle w:val="ListBullet"/>
      </w:pPr>
      <w:r>
        <w:rPr>
          <w:b/>
        </w:rPr>
        <w:t>Dostępność</w:t>
      </w:r>
      <w:r>
        <w:t xml:space="preserve"> — dostęp przez przeglądarkę internetową oraz urządzenia mobilne (podejście responsive + PWA).</w:t>
      </w:r>
    </w:p>
    <w:p>
      <w:pPr>
        <w:pStyle w:val="ListBullet"/>
      </w:pPr>
      <w:r>
        <w:rPr>
          <w:b/>
        </w:rPr>
        <w:t>Bezpieczeństwo</w:t>
      </w:r>
      <w:r>
        <w:t xml:space="preserve"> — dane osobowe studentów (PESEL, numer dowodu) muszą być szyfrowane w bazie danych; całość komunikacji odbywa się po TLS.</w:t>
      </w:r>
    </w:p>
    <w:p>
      <w:pPr>
        <w:pStyle w:val="ListBullet"/>
      </w:pPr>
      <w:r>
        <w:rPr>
          <w:b/>
        </w:rPr>
        <w:t>Wydajność</w:t>
      </w:r>
      <w:r>
        <w:t xml:space="preserve"> — system musi obsłużyć nagły skok ruchu rzędu 500 logowań w ciągu 5 minut w dniu otwarcia zapisów na pokoje, bez degradacji czasu odpowiedzi poniżej akceptowalnego poziomu (95. percentyl &lt; 800 ms dla operacji odczytu).</w:t>
      </w:r>
    </w:p>
    <w:p>
      <w:pPr>
        <w:pStyle w:val="Heading1"/>
      </w:pPr>
      <w:r>
        <w:t>2. Model architektoniczny</w:t>
      </w:r>
    </w:p>
    <w:p>
      <w:pPr>
        <w:pStyle w:val="Heading2"/>
      </w:pPr>
      <w:r>
        <w:t>2.1. Analiza wariantów</w:t>
      </w:r>
    </w:p>
    <w:p>
      <w:r>
        <w:t>Rozważono trzy warianty architektoniczne: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Kryterium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Monolit klasyczny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Modularny monolit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Mikroserwisy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Złożoność wdrożenia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niska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niska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wysoka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Koszt utrzymania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niski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niski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wysoki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Skalowalność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ograniczona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dobra (horyzontalna)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bardzo dobra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Spójność transakcyjna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pełna (ACID)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pełna (ACID)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trudna (sagi)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Ryzyko „big ball of mud"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wysokie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niskie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niskie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Zespół potrzebny do utrzymania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1–2 os.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1–2 os.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4+ os.</w:t>
            </w:r>
          </w:p>
        </w:tc>
      </w:tr>
    </w:tbl>
    <w:p>
      <w:r>
        <w:t>Pełna architektura mikroserwisowa została odrzucona jako nieproporcjonalna do skali problemu: system obsługuje jeden akademik (docelowo kilka tysięcy użytkowników), a rozproszenie danych między serwisy skomplikowałoby transakcyjność kluczowego procesu kwaterowania (rezerwacja miejsca musi być atomowa). Z kolei klasyczny, niepodzielony monolit rodzi ryzyko splątania kodu w miarę rozwoju systemu.</w:t>
      </w:r>
    </w:p>
    <w:p>
      <w:pPr>
        <w:pStyle w:val="Heading2"/>
      </w:pPr>
      <w:r>
        <w:t>2.2. Wybrany wariant: modularny monolit z asynchronicznymi workerami</w:t>
      </w:r>
    </w:p>
    <w:p>
      <w:r>
        <w:t xml:space="preserve">Przyjęto architekturę </w:t>
      </w:r>
      <w:r>
        <w:rPr>
          <w:b/>
        </w:rPr>
        <w:t>modularnego monolitu</w:t>
      </w:r>
      <w:r>
        <w:t xml:space="preserve"> (ang. modular monolith) opartą na architekturze warstwowej, z wydzielonym </w:t>
      </w:r>
      <w:r>
        <w:rPr>
          <w:b/>
        </w:rPr>
        <w:t>asynchronicznym workerem</w:t>
      </w:r>
      <w:r>
        <w:t xml:space="preserve"> do zadań w tle. Oznacza to jeden wdrażalny artefakt aplikacyjny, wewnętrznie podzielony na moduły domenowe o jawnie zdefiniowanych granicach (osobne pakiety, komunikacja wyłącznie przez interfejsy publiczne modułów, egzekwowana narzędziem ArchUnit). Wewnątrz każdego modułu obowiązuje klasyczny podział warstwowy:</w:t>
      </w:r>
    </w:p>
    <w:p>
      <w:pPr>
        <w:ind w:left="425" w:hanging="283"/>
      </w:pPr>
      <w:r>
        <w:t xml:space="preserve">1. </w:t>
      </w:r>
      <w:r>
        <w:rPr>
          <w:b/>
        </w:rPr>
        <w:t>Warstwa prezentacji (API)</w:t>
      </w:r>
      <w:r>
        <w:t xml:space="preserve"> — kontrolery REST, walidacja wejścia, mapowanie DTO.</w:t>
      </w:r>
    </w:p>
    <w:p>
      <w:pPr>
        <w:ind w:left="425" w:hanging="283"/>
      </w:pPr>
      <w:r>
        <w:t xml:space="preserve">2. </w:t>
      </w:r>
      <w:r>
        <w:rPr>
          <w:b/>
        </w:rPr>
        <w:t>Warstwa aplikacji</w:t>
      </w:r>
      <w:r>
        <w:t xml:space="preserve"> — usługi realizujące przypadki użycia, granice transakcji.</w:t>
      </w:r>
    </w:p>
    <w:p>
      <w:pPr>
        <w:ind w:left="425" w:hanging="283"/>
      </w:pPr>
      <w:r>
        <w:t xml:space="preserve">3. </w:t>
      </w:r>
      <w:r>
        <w:rPr>
          <w:b/>
        </w:rPr>
        <w:t>Warstwa domeny</w:t>
      </w:r>
      <w:r>
        <w:t xml:space="preserve"> — encje, reguły biznesowe (np. reguła „liczba zakwaterowanych ≤ liczba miejsc").</w:t>
      </w:r>
    </w:p>
    <w:p>
      <w:pPr>
        <w:ind w:left="425" w:hanging="283"/>
      </w:pPr>
      <w:r>
        <w:t xml:space="preserve">4. </w:t>
      </w:r>
      <w:r>
        <w:rPr>
          <w:b/>
        </w:rPr>
        <w:t>Warstwa infrastruktury</w:t>
      </w:r>
      <w:r>
        <w:t xml:space="preserve"> — repozytoria JPA, klienci integracji zewnętrznych, publikacja zdarzeń.</w:t>
      </w:r>
    </w:p>
    <w:p>
      <w:r>
        <w:t>Zalety tego podejścia w kontekście SmartDorm:</w:t>
      </w:r>
    </w:p>
    <w:p>
      <w:pPr>
        <w:pStyle w:val="ListBullet"/>
      </w:pPr>
      <w:r>
        <w:t>proces kwaterowania korzysta z pełnych transakcji ACID w jednej bazie danych, co eliminuje problem podwójnych rezerwacji bez skomplikowanych protokołów rozproszonych;</w:t>
      </w:r>
    </w:p>
    <w:p>
      <w:pPr>
        <w:pStyle w:val="ListBullet"/>
      </w:pPr>
      <w:r>
        <w:t>aplikacja jest bezstanowa (sesje w Redis, JWT), więc skaluje się horyzontalnie — na dzień otwarcia zapisów wystarczy zwiększyć liczbę replik;</w:t>
      </w:r>
    </w:p>
    <w:p>
      <w:pPr>
        <w:pStyle w:val="ListBullet"/>
      </w:pPr>
      <w:r>
        <w:t>granice modułów pokrywają się z potencjalnymi przyszłymi mikroserwisami — jeżeli system urośnie (np. obsługa wielu akademików w wielu miastach), moduł płatności lub helpdesk można wydzielić bez przepisywania logiki.</w:t>
      </w:r>
    </w:p>
    <w:p>
      <w:r>
        <w:t>Zadania niewymagające synchronicznej odpowiedzi (wysyłka powiadomień, comiesięczne naliczanie opłat, przetwarzanie webhooków płatności) są realizowane przez osobny proces workera konsumujący zdarzenia z kolejki komunikatów, co odciąża ścieżkę obsługi żądań HTTP.</w:t>
      </w:r>
    </w:p>
    <w:p>
      <w:pPr>
        <w:pStyle w:val="Heading1"/>
      </w:pPr>
      <w:r>
        <w:t>3. Diagram komponentów i podział na moduły</w:t>
      </w:r>
    </w:p>
    <w:p>
      <w:r>
        <w:t>Graficzne ujęcie architektury zawiera Załącznik A. System dzieli się na następujące główne komponenty techniczne:</w:t>
      </w:r>
    </w:p>
    <w:p>
      <w:pPr>
        <w:pStyle w:val="Heading2"/>
      </w:pPr>
      <w:r>
        <w:t>3.1. Komponenty frontendowe</w:t>
      </w:r>
    </w:p>
    <w:p>
      <w:pPr>
        <w:pStyle w:val="ListBullet"/>
      </w:pPr>
      <w:r>
        <w:rPr>
          <w:b/>
        </w:rPr>
        <w:t>Aplikacja WWW (SPA)</w:t>
      </w:r>
      <w:r>
        <w:t xml:space="preserve"> — aplikacja jednostronicowa w React, serwowana jako statyczne pliki z Nginx; realizuje panele studenta, technika i administratora.</w:t>
      </w:r>
    </w:p>
    <w:p>
      <w:pPr>
        <w:pStyle w:val="ListBullet"/>
      </w:pPr>
      <w:r>
        <w:rPr>
          <w:b/>
        </w:rPr>
        <w:t>Aplikacja mobilna (PWA)</w:t>
      </w:r>
      <w:r>
        <w:t xml:space="preserve"> — ten sam kod frontendowy opakowany jako Progressive Web App (manifest, service worker, cache offline dla widoków odczytu), co spełnia wymóg dostępności na urządzeniach mobilnych bez utrzymywania osobnych aplikacji natywnych.</w:t>
      </w:r>
    </w:p>
    <w:p>
      <w:pPr>
        <w:pStyle w:val="Heading2"/>
      </w:pPr>
      <w:r>
        <w:t>3.2. Komponenty backendowe (moduły monolitu)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</w:rPr>
              <w:t>Moduł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</w:rPr>
              <w:t>Odpowiedzialność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</w:rPr>
              <w:t>Zależności wewnętrzne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Pokoje i budynki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struktura budynku: piętra, pokoje, liczba miejsc, status pokoju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Kwaterowanie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wnioski, rezerwacja miejsc, dostępność w czasie rzeczywistym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Pokoje, Użytkownicy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Helpdesk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zgłoszenia usterek, załączniki, przepływ statusów, przydział technika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Użytkownicy, Pokoje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Płatności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naliczenia miesięczne, księgowanie wpłat, saldo, historia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Kwaterowanie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Powiadomienia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szablony wiadomości, wybór kanału, rejestr doręczeń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Użytkownicy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Użytkownicy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profil, role, synchronizacja z Keycloak i USOS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Raporty i administracja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obłożenie, zaległości, eksporty CSV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wszystkie (tylko odczyt)</w:t>
            </w:r>
          </w:p>
        </w:tc>
      </w:tr>
    </w:tbl>
    <w:p>
      <w:pPr>
        <w:pStyle w:val="Heading2"/>
      </w:pPr>
      <w:r>
        <w:t>3.3. Komponenty infrastrukturalne</w:t>
      </w:r>
    </w:p>
    <w:p>
      <w:pPr>
        <w:pStyle w:val="ListBullet"/>
      </w:pPr>
      <w:r>
        <w:rPr>
          <w:b/>
        </w:rPr>
        <w:t>Nginx Ingress</w:t>
      </w:r>
      <w:r>
        <w:t xml:space="preserve"> — punkt wejścia: terminacja TLS, load-balancing, limitowanie liczby żądań.</w:t>
      </w:r>
    </w:p>
    <w:p>
      <w:pPr>
        <w:pStyle w:val="ListBullet"/>
      </w:pPr>
      <w:r>
        <w:rPr>
          <w:b/>
        </w:rPr>
        <w:t>Keycloak</w:t>
      </w:r>
      <w:r>
        <w:t xml:space="preserve"> — zewnętrzny (względem monolitu) serwer tożsamości: logowanie, wydawanie tokenów, role.</w:t>
      </w:r>
    </w:p>
    <w:p>
      <w:pPr>
        <w:pStyle w:val="ListBullet"/>
      </w:pPr>
      <w:r>
        <w:rPr>
          <w:b/>
        </w:rPr>
        <w:t>RabbitMQ</w:t>
      </w:r>
      <w:r>
        <w:t xml:space="preserve"> — broker komunikatów dla zdarzeń domenowych.</w:t>
      </w:r>
    </w:p>
    <w:p>
      <w:pPr>
        <w:pStyle w:val="ListBullet"/>
      </w:pPr>
      <w:r>
        <w:rPr>
          <w:b/>
        </w:rPr>
        <w:t>Worker powiadomień i rozliczeń</w:t>
      </w:r>
      <w:r>
        <w:t xml:space="preserve"> — drugi artefakt wdrożeniowy (ten sam kod źródłowy, inny profil uruchomieniowy) konsumujący kolejki.</w:t>
      </w:r>
    </w:p>
    <w:p>
      <w:pPr>
        <w:pStyle w:val="ListBullet"/>
      </w:pPr>
      <w:r>
        <w:rPr>
          <w:b/>
        </w:rPr>
        <w:t>PostgreSQL, Redis, MinIO</w:t>
      </w:r>
      <w:r>
        <w:t xml:space="preserve"> — warstwa danych (opisana w rozdziale 6).</w:t>
      </w:r>
    </w:p>
    <w:p>
      <w:pPr>
        <w:pStyle w:val="Heading1"/>
      </w:pPr>
      <w:r>
        <w:t>4. Stos technologiczny</w:t>
      </w:r>
    </w:p>
    <w:p>
      <w:r>
        <w:t>Przyjęto następujące, konkretne wersje technologii (stan na moment projektowania; strategia aktualizacji: wersje LTS, podbicia minor co kwartał):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Obszar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Technologia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Wersja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Rola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Język backendu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Java (LTS)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21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logika serwerowa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Framework backendu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Spring Boot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3.3.x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REST, DI, bezpieczeństwo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Serwer aplikacyjny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Tomcat (embedded)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10.1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kontener servletów w artefakcie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ORM / dostęp do danych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Hibernate / Spring Data JPA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6.5 / 3.3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mapowanie obiektowo-relacyjne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Migracje bazy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Flyway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10.x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wersjonowanie schematu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Język frontendu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TypeScript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5.5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typowany kod kliencki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Framework frontendu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React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18.3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SPA / PWA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Budowanie frontendu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Vite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5.x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bundling, dev-server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Baza danych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PostgreSQL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16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dane relacyjne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Cache / sesje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Redis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7.2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cache dostępności, rate-limit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Broker komunikatów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RabbitMQ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3.13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zdarzenia asynchroniczne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Storage obiektowy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MinIO (S3 API)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RELEASE.2024-xx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załączniki zgłoszeń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Serwer tożsamości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Keycloak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25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OAuth2 / OIDC / RBAC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Reverse proxy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Nginx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1.26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TLS, LB, rate-limiting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Odporność integracji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Resilience4j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2.2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retry, circuit breaker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Monitoring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Prometheus + Grafana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2.53 / 11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metryki, dashboardy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Śledzenie błędów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Sentry (self-hosted)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24.x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agregacja wyjątków</w:t>
            </w:r>
          </w:p>
        </w:tc>
      </w:tr>
    </w:tbl>
    <w:p>
      <w:r>
        <w:t>Uzasadnienie kluczowych wyborów: Java 21 z wirtualnymi wątkami (Project Loom) pozwala obsłużyć dużą liczbę równoległych żądań I/O-bound (szczyt logowań) bez przechodzenia na programowanie reaktywne; PostgreSQL 16 zapewnia transakcyjność, blokady wierszowe potrzebne przy rezerwacji miejsc oraz rozszerzenie pgcrypto do szyfrowania danych osobowych; React + PWA realizuje wymóg dostępności mobilnej jednym kodem.</w:t>
      </w:r>
    </w:p>
    <w:p>
      <w:pPr>
        <w:pStyle w:val="Heading1"/>
      </w:pPr>
      <w:r>
        <w:t>5. Infrastruktura wdrożeniowa</w:t>
      </w:r>
    </w:p>
    <w:p>
      <w:pPr>
        <w:pStyle w:val="Heading2"/>
      </w:pPr>
      <w:r>
        <w:t>5.1. Konteneryzacja i orkiestracja</w:t>
      </w:r>
    </w:p>
    <w:p>
      <w:r>
        <w:t>Wszystkie komponenty są konteneryzowane (</w:t>
      </w:r>
      <w:r>
        <w:rPr>
          <w:b/>
        </w:rPr>
        <w:t>Docker 26</w:t>
      </w:r>
      <w:r>
        <w:t xml:space="preserve">, obrazy budowane wieloetapowo: etap budowania Maven/Vite, etap uruchomieniowy na </w:t>
      </w:r>
      <w:r>
        <w:rPr>
          <w:rFonts w:ascii="Courier New" w:hAnsi="Courier New"/>
          <w:sz w:val="22"/>
        </w:rPr>
        <w:t>eclipse-temurin:21-jre-alpine</w:t>
      </w:r>
      <w:r>
        <w:t xml:space="preserve">). Orkiestrację zapewnia </w:t>
      </w:r>
      <w:r>
        <w:rPr>
          <w:b/>
        </w:rPr>
        <w:t>Kubernetes 1.30</w:t>
      </w:r>
      <w:r>
        <w:t xml:space="preserve"> w wariancie zarządzanym u dostawcy chmurowego (klaster w regionie UE ze względu na RODO; projekt jest agnostyczny względem dostawcy — wymagane są jedynie usługi: managed Kubernetes, managed PostgreSQL, storage klasy S3).</w:t>
      </w:r>
    </w:p>
    <w:p>
      <w:r>
        <w:t>Struktura wdrożenia w klastrze:</w:t>
      </w:r>
    </w:p>
    <w:p>
      <w:pPr>
        <w:pStyle w:val="ListBullet"/>
      </w:pPr>
      <w:r>
        <w:rPr>
          <w:b/>
        </w:rPr>
        <w:t xml:space="preserve">Deployment </w:t>
      </w:r>
      <w:r>
        <w:rPr>
          <w:rFonts w:ascii="Courier New" w:hAnsi="Courier New"/>
          <w:b/>
          <w:sz w:val="22"/>
        </w:rPr>
        <w:t>smartdorm-api</w:t>
      </w:r>
      <w:r>
        <w:t xml:space="preserve"> — bezstanowa aplikacja główna; bazowo 2 repliki, HPA (Horizontal Pod Autoscaler) skalujący do 8 replik przy CPU &gt; 70% lub &gt; 150 żądaniach/s na pod.</w:t>
      </w:r>
    </w:p>
    <w:p>
      <w:pPr>
        <w:pStyle w:val="ListBullet"/>
      </w:pPr>
      <w:r>
        <w:rPr>
          <w:b/>
        </w:rPr>
        <w:t xml:space="preserve">Deployment </w:t>
      </w:r>
      <w:r>
        <w:rPr>
          <w:rFonts w:ascii="Courier New" w:hAnsi="Courier New"/>
          <w:b/>
          <w:sz w:val="22"/>
        </w:rPr>
        <w:t>smartdorm-worker</w:t>
      </w:r>
      <w:r>
        <w:t xml:space="preserve"> — 2 repliki konsumenta kolejek (skalowanie po długości kolejki, KEDA).</w:t>
      </w:r>
    </w:p>
    <w:p>
      <w:pPr>
        <w:pStyle w:val="ListBullet"/>
      </w:pPr>
      <w:r>
        <w:rPr>
          <w:b/>
        </w:rPr>
        <w:t>StatefulSet / usługi zarządzane</w:t>
      </w:r>
      <w:r>
        <w:t xml:space="preserve"> — PostgreSQL jako usługa zarządzana z repliką odczytu i automatycznym failoverem; Redis i RabbitMQ jako StatefulSety z persystencją; MinIO w trybie rozproszonym (4 węzły) lub zamiennie bucket S3 dostawcy.</w:t>
      </w:r>
    </w:p>
    <w:p>
      <w:pPr>
        <w:pStyle w:val="ListBullet"/>
      </w:pPr>
      <w:r>
        <w:rPr>
          <w:b/>
        </w:rPr>
        <w:t>Ingress-Nginx</w:t>
      </w:r>
      <w:r>
        <w:t xml:space="preserve"> — TLS 1.3 (certyfikaty Let's Encrypt odnawiane przez cert-manager), limit 20 żądań/s na adres IP dla endpointów logowania.</w:t>
      </w:r>
    </w:p>
    <w:p>
      <w:pPr>
        <w:pStyle w:val="Heading2"/>
      </w:pPr>
      <w:r>
        <w:t>5.2. Środowiska i CI/CD</w:t>
      </w:r>
    </w:p>
    <w:p>
      <w:r>
        <w:t xml:space="preserve">Utrzymywane są trzy środowiska: </w:t>
      </w:r>
      <w:r>
        <w:rPr>
          <w:b/>
        </w:rPr>
        <w:t>dev</w:t>
      </w:r>
      <w:r>
        <w:t xml:space="preserve"> (jednowęzłowy klaster, dane syntetyczne), </w:t>
      </w:r>
      <w:r>
        <w:rPr>
          <w:b/>
        </w:rPr>
        <w:t>staging</w:t>
      </w:r>
      <w:r>
        <w:t xml:space="preserve"> (kopia produkcji, anonimizowane dane) i </w:t>
      </w:r>
      <w:r>
        <w:rPr>
          <w:b/>
        </w:rPr>
        <w:t>produkcja</w:t>
      </w:r>
      <w:r>
        <w:t>. Potok CI/CD (GitHub Actions):</w:t>
      </w:r>
    </w:p>
    <w:p>
      <w:pPr>
        <w:ind w:left="425" w:hanging="283"/>
      </w:pPr>
      <w:r>
        <w:t>1. build + testy jednostkowe i integracyjne (Testcontainers z PostgreSQL i RabbitMQ),</w:t>
      </w:r>
    </w:p>
    <w:p>
      <w:pPr>
        <w:ind w:left="425" w:hanging="283"/>
      </w:pPr>
      <w:r>
        <w:t>2. analiza statyczna (SonarQube, skan zależności OWASP Dependency-Check, skan obrazów Trivy),</w:t>
      </w:r>
    </w:p>
    <w:p>
      <w:pPr>
        <w:ind w:left="425" w:hanging="283"/>
      </w:pPr>
      <w:r>
        <w:t>3. publikacja obrazu do rejestru z tagiem SHA,</w:t>
      </w:r>
    </w:p>
    <w:p>
      <w:pPr>
        <w:ind w:left="425" w:hanging="283"/>
      </w:pPr>
      <w:r>
        <w:t>4. wdrożenie na staging (Argo CD, model GitOps) + testy dymne,</w:t>
      </w:r>
    </w:p>
    <w:p>
      <w:pPr>
        <w:ind w:left="425" w:hanging="283"/>
      </w:pPr>
      <w:r>
        <w:t>5. ręczna promocja na produkcję (strategia rolling update, możliwość natychmiastowego rollbacku do poprzedniej rewizji).</w:t>
      </w:r>
    </w:p>
    <w:p>
      <w:pPr>
        <w:pStyle w:val="Heading2"/>
      </w:pPr>
      <w:r>
        <w:t>5.3. Obsługa szczytu ruchu (500 logowań / 5 minut)</w:t>
      </w:r>
    </w:p>
    <w:p>
      <w:r>
        <w:t>Szczyt zapisów obsługiwany jest przez: (a) prealokację replik — w dniu otwarcia zapisów minimalna liczba replik API podnoszona jest planowo do 6; (b) cache dostępności pokoi w Redis (odczyty nie obciążają PostgreSQL); (c) kolejkowanie operacji zapisu wniosków przy przeciążeniu (backpressure z limitem czasu); (d) rate-limiting na Ingress chroniący przed nadmiarowym odpytywaniem. Logowanie realizuje Keycloak w osobnym podzie (2 repliki), więc szczyt uwierzytelnień nie konkuruje o zasoby z logiką biznesową.</w:t>
      </w:r>
    </w:p>
    <w:p>
      <w:pPr>
        <w:pStyle w:val="Heading1"/>
      </w:pPr>
      <w:r>
        <w:t>6. Strategia przechowywania danych</w:t>
      </w:r>
    </w:p>
    <w:p>
      <w:pPr>
        <w:pStyle w:val="Heading2"/>
      </w:pPr>
      <w:r>
        <w:t>6.1. Dane relacyjne — PostgreSQL</w:t>
      </w:r>
    </w:p>
    <w:p>
      <w:r>
        <w:t xml:space="preserve">Głównym magazynem danych jest PostgreSQL 16. Schemat (Załącznik B) obejmuje m.in. tabele: </w:t>
      </w:r>
      <w:r>
        <w:rPr>
          <w:rFonts w:ascii="Courier New" w:hAnsi="Courier New"/>
          <w:sz w:val="22"/>
        </w:rPr>
        <w:t>uzytkownicy</w:t>
      </w:r>
      <w:r>
        <w:t xml:space="preserve">, </w:t>
      </w:r>
      <w:r>
        <w:rPr>
          <w:rFonts w:ascii="Courier New" w:hAnsi="Courier New"/>
          <w:sz w:val="22"/>
        </w:rPr>
        <w:t>budynki</w:t>
      </w:r>
      <w:r>
        <w:t xml:space="preserve">, </w:t>
      </w:r>
      <w:r>
        <w:rPr>
          <w:rFonts w:ascii="Courier New" w:hAnsi="Courier New"/>
          <w:sz w:val="22"/>
        </w:rPr>
        <w:t>pietra</w:t>
      </w:r>
      <w:r>
        <w:t xml:space="preserve">, </w:t>
      </w:r>
      <w:r>
        <w:rPr>
          <w:rFonts w:ascii="Courier New" w:hAnsi="Courier New"/>
          <w:sz w:val="22"/>
        </w:rPr>
        <w:t>pokoje</w:t>
      </w:r>
      <w:r>
        <w:t xml:space="preserve">, </w:t>
      </w:r>
      <w:r>
        <w:rPr>
          <w:rFonts w:ascii="Courier New" w:hAnsi="Courier New"/>
          <w:sz w:val="22"/>
        </w:rPr>
        <w:t>wnioski_kwaterunkowe</w:t>
      </w:r>
      <w:r>
        <w:t xml:space="preserve">, </w:t>
      </w:r>
      <w:r>
        <w:rPr>
          <w:rFonts w:ascii="Courier New" w:hAnsi="Courier New"/>
          <w:sz w:val="22"/>
        </w:rPr>
        <w:t>zakwaterowania</w:t>
      </w:r>
      <w:r>
        <w:t xml:space="preserve">, </w:t>
      </w:r>
      <w:r>
        <w:rPr>
          <w:rFonts w:ascii="Courier New" w:hAnsi="Courier New"/>
          <w:sz w:val="22"/>
        </w:rPr>
        <w:t>zgloszenia</w:t>
      </w:r>
      <w:r>
        <w:t xml:space="preserve">, </w:t>
      </w:r>
      <w:r>
        <w:rPr>
          <w:rFonts w:ascii="Courier New" w:hAnsi="Courier New"/>
          <w:sz w:val="22"/>
        </w:rPr>
        <w:t>zalaczniki_zgloszen</w:t>
      </w:r>
      <w:r>
        <w:t xml:space="preserve">, </w:t>
      </w:r>
      <w:r>
        <w:rPr>
          <w:rFonts w:ascii="Courier New" w:hAnsi="Courier New"/>
          <w:sz w:val="22"/>
        </w:rPr>
        <w:t>naliczenia</w:t>
      </w:r>
      <w:r>
        <w:t xml:space="preserve">, </w:t>
      </w:r>
      <w:r>
        <w:rPr>
          <w:rFonts w:ascii="Courier New" w:hAnsi="Courier New"/>
          <w:sz w:val="22"/>
        </w:rPr>
        <w:t>wplaty</w:t>
      </w:r>
      <w:r>
        <w:t xml:space="preserve">, </w:t>
      </w:r>
      <w:r>
        <w:rPr>
          <w:rFonts w:ascii="Courier New" w:hAnsi="Courier New"/>
          <w:sz w:val="22"/>
        </w:rPr>
        <w:t>powiadomienia</w:t>
      </w:r>
      <w:r>
        <w:t xml:space="preserve"> oraz </w:t>
      </w:r>
      <w:r>
        <w:rPr>
          <w:rFonts w:ascii="Courier New" w:hAnsi="Courier New"/>
          <w:sz w:val="22"/>
        </w:rPr>
        <w:t>zdarzenia_outbox</w:t>
      </w:r>
      <w:r>
        <w:t>. Kluczowe decyzje:</w:t>
      </w:r>
    </w:p>
    <w:p>
      <w:pPr>
        <w:pStyle w:val="ListBullet"/>
      </w:pPr>
      <w:r>
        <w:rPr>
          <w:b/>
        </w:rPr>
        <w:t>Klucze główne UUID v7</w:t>
      </w:r>
      <w:r>
        <w:t xml:space="preserve"> — bezpieczne w URL-ach API (brak enumeracji zasobów), a zarazem quasi-sekwencyjne (przyjazne dla indeksów B-tree).</w:t>
      </w:r>
    </w:p>
    <w:p>
      <w:pPr>
        <w:pStyle w:val="ListBullet"/>
      </w:pPr>
      <w:r>
        <w:rPr>
          <w:b/>
        </w:rPr>
        <w:t>Szyfrowanie danych wrażliwych</w:t>
      </w:r>
      <w:r>
        <w:t xml:space="preserve"> — kolumny </w:t>
      </w:r>
      <w:r>
        <w:rPr>
          <w:rFonts w:ascii="Courier New" w:hAnsi="Courier New"/>
          <w:sz w:val="22"/>
        </w:rPr>
        <w:t>pesel_enc</w:t>
      </w:r>
      <w:r>
        <w:t xml:space="preserve"> i </w:t>
      </w:r>
      <w:r>
        <w:rPr>
          <w:rFonts w:ascii="Courier New" w:hAnsi="Courier New"/>
          <w:sz w:val="22"/>
        </w:rPr>
        <w:t>nr_dowodu_enc</w:t>
      </w:r>
      <w:r>
        <w:t xml:space="preserve"> przechowują szyfrogram AES-256-GCM; szczegóły w rozdziale 12.3.</w:t>
      </w:r>
    </w:p>
    <w:p>
      <w:pPr>
        <w:pStyle w:val="ListBullet"/>
      </w:pPr>
      <w:r>
        <w:rPr>
          <w:b/>
        </w:rPr>
        <w:t>Integralność procesu kwaterowania</w:t>
      </w:r>
      <w:r>
        <w:t xml:space="preserve"> — ograniczenie unikalności </w:t>
      </w:r>
      <w:r>
        <w:rPr>
          <w:rFonts w:ascii="Courier New" w:hAnsi="Courier New"/>
          <w:sz w:val="22"/>
        </w:rPr>
        <w:t>UQ (zakwaterowanie_id, okres)</w:t>
      </w:r>
      <w:r>
        <w:t xml:space="preserve"> w naliczeniach zapobiega podwójnemu naliczeniu za ten sam miesiąc, a kontrola pojemności pokoju odbywa się w transakcji z blokadą </w:t>
      </w:r>
      <w:r>
        <w:rPr>
          <w:rFonts w:ascii="Courier New" w:hAnsi="Courier New"/>
          <w:sz w:val="22"/>
        </w:rPr>
        <w:t>SELECT ... FOR UPDATE</w:t>
      </w:r>
      <w:r>
        <w:t xml:space="preserve"> na wierszu pokoju.</w:t>
      </w:r>
    </w:p>
    <w:p>
      <w:pPr>
        <w:pStyle w:val="ListBullet"/>
      </w:pPr>
      <w:r>
        <w:rPr>
          <w:b/>
        </w:rPr>
        <w:t>Indeksy</w:t>
      </w:r>
      <w:r>
        <w:t xml:space="preserve"> — m.in. częściowy indeks na </w:t>
      </w:r>
      <w:r>
        <w:rPr>
          <w:rFonts w:ascii="Courier New" w:hAnsi="Courier New"/>
          <w:sz w:val="22"/>
        </w:rPr>
        <w:t>zakwaterowania(pokoj_id) WHERE status = 'aktywne'</w:t>
      </w:r>
      <w:r>
        <w:t xml:space="preserve"> (szybkie liczenie wolnych miejsc) oraz indeks na </w:t>
      </w:r>
      <w:r>
        <w:rPr>
          <w:rFonts w:ascii="Courier New" w:hAnsi="Courier New"/>
          <w:sz w:val="22"/>
        </w:rPr>
        <w:t>naliczenia(status, termin_platnosci)</w:t>
      </w:r>
      <w:r>
        <w:t xml:space="preserve"> (wyszukiwanie zaległości przez worker powiadomień).</w:t>
      </w:r>
    </w:p>
    <w:p>
      <w:pPr>
        <w:pStyle w:val="Heading2"/>
      </w:pPr>
      <w:r>
        <w:t>6.2. Pliki — storage obiektowy</w:t>
      </w:r>
    </w:p>
    <w:p>
      <w:r>
        <w:t xml:space="preserve">Załączniki zgłoszeń (zdjęcia usterek, do 10 MB, formaty JPEG/PNG/HEIC) nie trafiają do bazy relacyjnej, lecz do </w:t>
      </w:r>
      <w:r>
        <w:rPr>
          <w:b/>
        </w:rPr>
        <w:t>storage obiektowego zgodnego z S3 (MinIO)</w:t>
      </w:r>
      <w:r>
        <w:t>. W bazie przechowywany jest wyłącznie klucz obiektu i metadane (</w:t>
      </w:r>
      <w:r>
        <w:rPr>
          <w:rFonts w:ascii="Courier New" w:hAnsi="Courier New"/>
          <w:sz w:val="22"/>
        </w:rPr>
        <w:t>zalaczniki_zgloszen</w:t>
      </w:r>
      <w:r>
        <w:t xml:space="preserve">). Wysyłka odbywa się bezpośrednio z przeglądarki przez </w:t>
      </w:r>
      <w:r>
        <w:rPr>
          <w:b/>
        </w:rPr>
        <w:t>pre-signed URL</w:t>
      </w:r>
      <w:r>
        <w:t xml:space="preserve"> (ważny 15 minut), dzięki czemu duże pliki nie przechodzą przez aplikację. Pobieranie analogicznie — API generuje pre-signed URL tylko dla uprawnionych użytkowników. Obiekty są wersjonowane, a cykl życia usuwa załączniki zgłoszeń zamkniętych po 24 miesiącach.</w:t>
      </w:r>
    </w:p>
    <w:p>
      <w:pPr>
        <w:pStyle w:val="Heading2"/>
      </w:pPr>
      <w:r>
        <w:t>6.3. Cache i dane ulotne — Redis</w:t>
      </w:r>
    </w:p>
    <w:p>
      <w:r>
        <w:t xml:space="preserve">Redis 7.2 pełni trzy role: (1) </w:t>
      </w:r>
      <w:r>
        <w:rPr>
          <w:b/>
        </w:rPr>
        <w:t>cache dostępności pokoi</w:t>
      </w:r>
      <w:r>
        <w:t xml:space="preserve"> — mapa „pokój → liczba wolnych miejsc" odświeżana zdarzeniami domenowymi, z TTL 30 s jako zabezpieczeniem przed dryfem; (2) </w:t>
      </w:r>
      <w:r>
        <w:rPr>
          <w:b/>
        </w:rPr>
        <w:t>magazyn stanu ratelimitera</w:t>
      </w:r>
      <w:r>
        <w:t xml:space="preserve"> i krótkotrwałych blokad idempotencyjnych; (3) </w:t>
      </w:r>
      <w:r>
        <w:rPr>
          <w:b/>
        </w:rPr>
        <w:t>cache sesyjnych metadanych UI</w:t>
      </w:r>
      <w:r>
        <w:t xml:space="preserve"> (np. treść ogłoszeń administracji). Cache jest wyłącznie optymalizacją — źródłem prawdy zawsze pozostaje PostgreSQL, a operacja rezerwacji miejsca nigdy nie ufa wartości z cache.</w:t>
      </w:r>
    </w:p>
    <w:p>
      <w:pPr>
        <w:pStyle w:val="Heading2"/>
      </w:pPr>
      <w:r>
        <w:t>6.4. Kopie zapasowe i retencja</w:t>
      </w:r>
    </w:p>
    <w:p>
      <w:r>
        <w:t>PostgreSQL: ciągła archiwizacja WAL + pełny zrzut nocny; RPO 5 minut, RTO 1 godzina; kopie szyfrowane i replikowane do drugiego regionu; test odtwarzania raz na kwartał. MinIO: replikacja między strefami. Dane osobowe studentów po wygaśnięciu umowy zakwaterowania są po 5 latach anonimizowane (wymóg retencyjny rozliczeń), co realizuje cykliczne zadanie workera.</w:t>
      </w:r>
    </w:p>
    <w:p>
      <w:pPr>
        <w:pStyle w:val="Heading1"/>
      </w:pPr>
      <w:r>
        <w:t>7. Migracja i inicjalizacja danych</w:t>
      </w:r>
    </w:p>
    <w:p>
      <w:pPr>
        <w:pStyle w:val="Heading2"/>
      </w:pPr>
      <w:r>
        <w:t>7.1. Wersjonowanie schematu</w:t>
      </w:r>
    </w:p>
    <w:p>
      <w:r>
        <w:t xml:space="preserve">Schemat bazy jest w całości zarządzany przez </w:t>
      </w:r>
      <w:r>
        <w:rPr>
          <w:b/>
        </w:rPr>
        <w:t>Flyway</w:t>
      </w:r>
      <w:r>
        <w:t xml:space="preserve"> — każdy przyrost to niemodyfikowalny skrypt </w:t>
      </w:r>
      <w:r>
        <w:rPr>
          <w:rFonts w:ascii="Courier New" w:hAnsi="Courier New"/>
          <w:sz w:val="22"/>
        </w:rPr>
        <w:t>V&lt;nr&gt;__opis.sql</w:t>
      </w:r>
      <w:r>
        <w:t xml:space="preserve"> w repozytorium, wykonywany automatycznie przy starcie aplikacji (na produkcji: w osobnym kroku potoku wdrożeniowego, przed podmianą wersji). Obowiązuje zasada zgodności wstecznej o jedną wersję (expand–contract): najpierw dodajemy nowe kolumny/tabele, wdrażamy kod czytający oba warianty, dopiero po pełnym wdrożeniu usuwamy stare struktury. Umożliwia to wdrożenia rolling bez okna serwisowego.</w:t>
      </w:r>
    </w:p>
    <w:p>
      <w:pPr>
        <w:pStyle w:val="Heading2"/>
      </w:pPr>
      <w:r>
        <w:t>7.2. Zasilenie początkowe</w:t>
      </w:r>
    </w:p>
    <w:p>
      <w:r>
        <w:t>Inicjalizacja nowej instancji przebiega w trzech krokach:</w:t>
      </w:r>
    </w:p>
    <w:p>
      <w:pPr>
        <w:ind w:left="425" w:hanging="283"/>
      </w:pPr>
      <w:r>
        <w:t xml:space="preserve">1. </w:t>
      </w:r>
      <w:r>
        <w:rPr>
          <w:b/>
        </w:rPr>
        <w:t>Migracje strukturalne</w:t>
      </w:r>
      <w:r>
        <w:t xml:space="preserve"> — Flyway tworzy pełny schemat wraz ze słownikami (statusy, priorytety, typy powiadomień jako typy ENUM).</w:t>
      </w:r>
    </w:p>
    <w:p>
      <w:pPr>
        <w:ind w:left="425" w:hanging="283"/>
      </w:pPr>
      <w:r>
        <w:t xml:space="preserve">2. </w:t>
      </w:r>
      <w:r>
        <w:rPr>
          <w:b/>
        </w:rPr>
        <w:t>Import struktury budynku</w:t>
      </w:r>
      <w:r>
        <w:t xml:space="preserve"> — administrator wgrywa plik CSV (piętro, numer pokoju, liczba miejsc) przez dedykowany endpoint </w:t>
      </w:r>
      <w:r>
        <w:rPr>
          <w:rFonts w:ascii="Courier New" w:hAnsi="Courier New"/>
          <w:sz w:val="22"/>
        </w:rPr>
        <w:t>POST /api/v1/admin/import/pokoje</w:t>
      </w:r>
      <w:r>
        <w:t>; import jest transakcyjny, walidowany (duplikaty numerów, wartości ujemne) i idempotentny — ponowne wgranie tego samego pliku nie tworzy duplikatów (upsert po kluczu naturalnym budynek+numer).</w:t>
      </w:r>
    </w:p>
    <w:p>
      <w:pPr>
        <w:ind w:left="425" w:hanging="283"/>
      </w:pPr>
      <w:r>
        <w:t xml:space="preserve">3. </w:t>
      </w:r>
      <w:r>
        <w:rPr>
          <w:b/>
        </w:rPr>
        <w:t>Import użytkowników</w:t>
      </w:r>
      <w:r>
        <w:t xml:space="preserve"> — konta studentów są zakładane na podstawie eksportu z systemu uczelni USOS (rozdział 10.4); pierwsze hasło ustawiane jest linkiem aktywacyjnym, system nigdy nie przechowuje haseł tymczasowych.</w:t>
      </w:r>
    </w:p>
    <w:p>
      <w:r>
        <w:t xml:space="preserve">Środowiska dev/staging otrzymują dodatkowo dane syntetyczne (generator: 2 budynki, 400 pokoi, 1000 studentów, historia 12 miesięcy naliczeń) uruchamiany wyłącznie poza produkcją (profil aplikacji </w:t>
      </w:r>
      <w:r>
        <w:rPr>
          <w:rFonts w:ascii="Courier New" w:hAnsi="Courier New"/>
          <w:sz w:val="22"/>
        </w:rPr>
        <w:t>seed</w:t>
      </w:r>
      <w:r>
        <w:t>).</w:t>
      </w:r>
    </w:p>
    <w:p>
      <w:pPr>
        <w:pStyle w:val="Heading1"/>
      </w:pPr>
      <w:r>
        <w:t>8. Specyfikacja API</w:t>
      </w:r>
    </w:p>
    <w:p>
      <w:pPr>
        <w:pStyle w:val="Heading2"/>
      </w:pPr>
      <w:r>
        <w:t>8.1. Protokół i konwencje</w:t>
      </w:r>
    </w:p>
    <w:p>
      <w:r>
        <w:t xml:space="preserve">Interfejs publiczny to </w:t>
      </w:r>
      <w:r>
        <w:rPr>
          <w:b/>
        </w:rPr>
        <w:t>REST po HTTPS z JSON</w:t>
      </w:r>
      <w:r>
        <w:t xml:space="preserve"> (UTF-8), opisany kontraktem </w:t>
      </w:r>
      <w:r>
        <w:rPr>
          <w:b/>
        </w:rPr>
        <w:t>OpenAPI 3.1</w:t>
      </w:r>
      <w:r>
        <w:t xml:space="preserve"> (kontrakt generowany z kodu i publikowany jako Swagger UI na środowiskach nieprodukcyjnych). Wybrano REST zamiast GraphQL/gRPC, ponieważ: klientami są wyłącznie własne aplikacje o przewidywalnych widokach danych, REST ma najniższy próg wejścia i najlepsze wsparcie cache/narzędzi, a gRPC nie jest naturalny dla przeglądarki. Konwencje:</w:t>
      </w:r>
    </w:p>
    <w:p>
      <w:pPr>
        <w:pStyle w:val="ListBullet"/>
      </w:pPr>
      <w:r>
        <w:t xml:space="preserve">wersjonowanie w ścieżce: </w:t>
      </w:r>
      <w:r>
        <w:rPr>
          <w:rFonts w:ascii="Courier New" w:hAnsi="Courier New"/>
          <w:sz w:val="22"/>
        </w:rPr>
        <w:t>/api/v1/...</w:t>
      </w:r>
      <w:r>
        <w:t>; zmiany łamiące wyłącznie w nowej wersji;</w:t>
      </w:r>
    </w:p>
    <w:p>
      <w:pPr>
        <w:pStyle w:val="ListBullet"/>
      </w:pPr>
      <w:r>
        <w:t xml:space="preserve">rzeczowniki w liczbie mnogiej, identyfikatory UUID: </w:t>
      </w:r>
      <w:r>
        <w:rPr>
          <w:rFonts w:ascii="Courier New" w:hAnsi="Courier New"/>
          <w:sz w:val="22"/>
        </w:rPr>
        <w:t>/api/v1/zgloszenia/{id}</w:t>
      </w:r>
      <w:r>
        <w:t>;</w:t>
      </w:r>
    </w:p>
    <w:p>
      <w:pPr>
        <w:pStyle w:val="ListBullet"/>
      </w:pPr>
      <w:r>
        <w:t>paginacja kursorowa (</w:t>
      </w:r>
      <w:r>
        <w:rPr>
          <w:rFonts w:ascii="Courier New" w:hAnsi="Courier New"/>
          <w:sz w:val="22"/>
        </w:rPr>
        <w:t>?cursor=...&amp;limit=50</w:t>
      </w:r>
      <w:r>
        <w:t>), filtrowanie parametrami zapytania;</w:t>
      </w:r>
    </w:p>
    <w:p>
      <w:pPr>
        <w:pStyle w:val="ListBullet"/>
      </w:pPr>
      <w:r>
        <w:t xml:space="preserve">pola JSON w </w:t>
      </w:r>
      <w:r>
        <w:rPr>
          <w:rFonts w:ascii="Courier New" w:hAnsi="Courier New"/>
          <w:sz w:val="22"/>
        </w:rPr>
        <w:t>camelCase</w:t>
      </w:r>
      <w:r>
        <w:t>, daty w ISO 8601 (UTC);</w:t>
      </w:r>
    </w:p>
    <w:p>
      <w:pPr>
        <w:pStyle w:val="ListBullet"/>
      </w:pPr>
      <w:r>
        <w:t xml:space="preserve">nagłówek </w:t>
      </w:r>
      <w:r>
        <w:rPr>
          <w:rFonts w:ascii="Courier New" w:hAnsi="Courier New"/>
          <w:sz w:val="22"/>
        </w:rPr>
        <w:t>Idempotency-Key</w:t>
      </w:r>
      <w:r>
        <w:t xml:space="preserve"> wymagany dla operacji tworzących płatności i wnioski.</w:t>
      </w:r>
    </w:p>
    <w:p>
      <w:pPr>
        <w:pStyle w:val="Heading2"/>
      </w:pPr>
      <w:r>
        <w:t>8.2. Kluczowe endpointy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b/>
              </w:rPr>
              <w:t>Metoda i ścieżka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</w:rPr>
              <w:t>Opis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b/>
              </w:rPr>
              <w:t>Role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GET /api/v1/pokoje?status=dostepny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lista pokoi z liczbą wolnych miejsc (czas rzeczywisty)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student, admin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POST /api/v1/wnioski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złożenie wniosku o zakwaterowanie w pokoju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student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PATCH /api/v1/wnioski/{id}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decyzja: przyjęcie / odrzucenie wniosku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admin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GET /api/v1/moje/zakwaterowanie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bieżące zakwaterowanie studenta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student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POST /api/v1/zgloszenia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zgłoszenie usterki (z referencjami załączników)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student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POST /api/v1/zgloszenia/{id}/zalaczniki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wydanie pre-signed URL do wysyłki zdjęcia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student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PATCH /api/v1/zgloszenia/{id}/status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zmiana statusu naprawy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technik, admin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GET /api/v1/moje/naliczenia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naliczenia i saldo studenta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student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POST /api/v1/platnosci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inicjacja płatności online (przekierowanie do PayU)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student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POST /api/v1/webhooks/payu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webhook potwierdzenia płatności (podpisany)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system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POST /api/v1/admin/import/pokoje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import struktury budynku z CSV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admin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t>GET /api/v1/admin/raporty/obłozenie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raport obłożenia budynku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t>admin</w:t>
            </w:r>
          </w:p>
        </w:tc>
      </w:tr>
    </w:tbl>
    <w:p>
      <w:pPr>
        <w:pStyle w:val="Heading2"/>
      </w:pPr>
      <w:r>
        <w:t>8.3. Format błędów</w:t>
      </w:r>
    </w:p>
    <w:p>
      <w:r>
        <w:t xml:space="preserve">Błędy zwracane są w formacie </w:t>
      </w:r>
      <w:r>
        <w:rPr>
          <w:b/>
        </w:rPr>
        <w:t>RFC 9457 (Problem Details for HTTP APIs)</w:t>
      </w:r>
      <w:r>
        <w:t xml:space="preserve"> — </w:t>
      </w:r>
      <w:r>
        <w:rPr>
          <w:rFonts w:ascii="Courier New" w:hAnsi="Courier New"/>
          <w:sz w:val="22"/>
        </w:rPr>
        <w:t>application/problem+json</w:t>
      </w:r>
      <w:r>
        <w:t xml:space="preserve"> z polami </w:t>
      </w:r>
      <w:r>
        <w:rPr>
          <w:rFonts w:ascii="Courier New" w:hAnsi="Courier New"/>
          <w:sz w:val="22"/>
        </w:rPr>
        <w:t>type</w:t>
      </w:r>
      <w:r>
        <w:t xml:space="preserve">, </w:t>
      </w:r>
      <w:r>
        <w:rPr>
          <w:rFonts w:ascii="Courier New" w:hAnsi="Courier New"/>
          <w:sz w:val="22"/>
        </w:rPr>
        <w:t>title</w:t>
      </w:r>
      <w:r>
        <w:t xml:space="preserve">, </w:t>
      </w:r>
      <w:r>
        <w:rPr>
          <w:rFonts w:ascii="Courier New" w:hAnsi="Courier New"/>
          <w:sz w:val="22"/>
        </w:rPr>
        <w:t>status</w:t>
      </w:r>
      <w:r>
        <w:t xml:space="preserve">, </w:t>
      </w:r>
      <w:r>
        <w:rPr>
          <w:rFonts w:ascii="Courier New" w:hAnsi="Courier New"/>
          <w:sz w:val="22"/>
        </w:rPr>
        <w:t>detail</w:t>
      </w:r>
      <w:r>
        <w:t xml:space="preserve">, </w:t>
      </w:r>
      <w:r>
        <w:rPr>
          <w:rFonts w:ascii="Courier New" w:hAnsi="Courier New"/>
          <w:sz w:val="22"/>
        </w:rPr>
        <w:t>traceId</w:t>
      </w:r>
      <w:r>
        <w:t xml:space="preserve"> oraz, dla błędów walidacji (422), tablicą </w:t>
      </w:r>
      <w:r>
        <w:rPr>
          <w:rFonts w:ascii="Courier New" w:hAnsi="Courier New"/>
          <w:sz w:val="22"/>
        </w:rPr>
        <w:t>errors[{field, code, message}]</w:t>
      </w:r>
      <w:r>
        <w:t xml:space="preserve">. Kody: 400 (składnia), 401 (brak/nieważny token), 403 (brak uprawnień), 404 (zasób nie istnieje lub nie należy do użytkownika), 409 (konflikt biznesowy, np. brak wolnych miejsc), 422 (walidacja), 429 (rate-limit, z nagłówkiem </w:t>
      </w:r>
      <w:r>
        <w:rPr>
          <w:rFonts w:ascii="Courier New" w:hAnsi="Courier New"/>
          <w:sz w:val="22"/>
        </w:rPr>
        <w:t>Retry-After</w:t>
      </w:r>
      <w:r>
        <w:t>), 5xx (błędy serwera — bez ujawniania szczegółów wewnętrznych).</w:t>
      </w:r>
    </w:p>
    <w:p>
      <w:pPr>
        <w:pStyle w:val="Heading1"/>
      </w:pPr>
      <w:r>
        <w:t>9. Komunikacja międzykomponentowa</w:t>
      </w:r>
    </w:p>
    <w:p>
      <w:pPr>
        <w:pStyle w:val="Heading2"/>
      </w:pPr>
      <w:r>
        <w:t>9.1. Komunikacja synchroniczna</w:t>
      </w:r>
    </w:p>
    <w:p>
      <w:r>
        <w:t>Ścieżka żądania użytkownika jest w pełni synchroniczna: klient → Nginx → API (REST). Wewnątrz monolitu moduły komunikują się przez wywołania metod interfejsów publicznych (w jednej transakcji bazodanowej tam, gdzie wymaga tego spójność — np. przyjęcie wniosku tworzy zakwaterowanie i aktualizuje status pokoju atomowo). Synchronicznie realizowane są wyłącznie operacje, których wynik użytkownik musi znać natychmiast.</w:t>
      </w:r>
    </w:p>
    <w:p>
      <w:pPr>
        <w:pStyle w:val="Heading2"/>
      </w:pPr>
      <w:r>
        <w:t>9.2. Komunikacja asynchroniczna — zdarzenia domenowe</w:t>
      </w:r>
    </w:p>
    <w:p>
      <w:r>
        <w:t xml:space="preserve">Wszystkie skutki uboczne przeniesiono do modelu </w:t>
      </w:r>
      <w:r>
        <w:rPr>
          <w:b/>
        </w:rPr>
        <w:t>publikuj–subskrybuj</w:t>
      </w:r>
      <w:r>
        <w:t xml:space="preserve"> na RabbitMQ (exchange typu topic </w:t>
      </w:r>
      <w:r>
        <w:rPr>
          <w:rFonts w:ascii="Courier New" w:hAnsi="Courier New"/>
          <w:sz w:val="22"/>
        </w:rPr>
        <w:t>smartdorm.events</w:t>
      </w:r>
      <w:r>
        <w:t>). Główne zdarzenia: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Zdarzenie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Producent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Konsument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rPr>
                <w:b/>
              </w:rPr>
              <w:t>Skutek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wniosek.przyjety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Kwaterowanie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Powiadomienia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e-mail/push do studenta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zgloszenie.status.zmieniony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Helpdesk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Powiadomienia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powiadomienie mieszkańca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naliczenie.utworzone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Płatności (worker)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Powiadomienia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informacja o kwocie i terminie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naliczenie.termin.zbliza_sie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Płatności (harmonogram)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Powiadomienia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przypomnienie T-3 dni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wplata.zaksiegowana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Płatności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Powiadomienia, Raporty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potwierdzenie, aktualizacja salda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>
              <w:t>zakwaterowanie.zakonczone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Kwaterowanie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Płatności</w:t>
            </w:r>
          </w:p>
        </w:tc>
        <w:tc>
          <w:tcPr>
            <w:tcW w:type="dxa" w:w="2351"/>
          </w:tcPr>
          <w:p>
            <w:pPr>
              <w:jc w:val="left"/>
            </w:pPr>
            <w:r>
              <w:t>zamknięcie naliczeń</w:t>
            </w:r>
          </w:p>
        </w:tc>
      </w:tr>
    </w:tbl>
    <w:p>
      <w:r>
        <w:t xml:space="preserve">Publikacja zdarzeń używa wzorca </w:t>
      </w:r>
      <w:r>
        <w:rPr>
          <w:b/>
        </w:rPr>
        <w:t>transactional outbox</w:t>
      </w:r>
      <w:r>
        <w:t xml:space="preserve">: zdarzenie zapisywane jest w tabeli </w:t>
      </w:r>
      <w:r>
        <w:rPr>
          <w:rFonts w:ascii="Courier New" w:hAnsi="Courier New"/>
          <w:sz w:val="22"/>
        </w:rPr>
        <w:t>zdarzenia_outbox</w:t>
      </w:r>
      <w:r>
        <w:t xml:space="preserve"> w tej samej transakcji co zmiana biznesowa, a osobny relay publikuje je do RabbitMQ i oznacza jako opublikowane. Gwarantuje to, że żadne zdarzenie nie zginie ani nie zostanie wyemitowane dla wycofanej transakcji. Konsumenci są </w:t>
      </w:r>
      <w:r>
        <w:rPr>
          <w:b/>
        </w:rPr>
        <w:t>idempotentni</w:t>
      </w:r>
      <w:r>
        <w:t xml:space="preserve"> (deduplikacja po identyfikatorze zdarzenia), ponieważ obowiązuje semantyka dostarczenia at-least-once. Kolejki mają skonfigurowane DLQ (dead letter queue) — komunikat po 5 nieudanych próbach (z wykładniczym odstępem) trafia do kolejki martwej i generuje alert.</w:t>
      </w:r>
    </w:p>
    <w:p>
      <w:pPr>
        <w:pStyle w:val="Heading1"/>
      </w:pPr>
      <w:r>
        <w:t>10. Integracje zewnętrzne</w:t>
      </w:r>
    </w:p>
    <w:p>
      <w:pPr>
        <w:pStyle w:val="Heading2"/>
      </w:pPr>
      <w:r>
        <w:t>10.1. Bramka płatności (PayU)</w:t>
      </w:r>
    </w:p>
    <w:p>
      <w:r>
        <w:t>Płatności online realizuje PayU (REST API v2.1). Przepływ: API tworzy zamówienie (</w:t>
      </w:r>
      <w:r>
        <w:rPr>
          <w:rFonts w:ascii="Courier New" w:hAnsi="Courier New"/>
          <w:sz w:val="22"/>
        </w:rPr>
        <w:t>POST /orders</w:t>
      </w:r>
      <w:r>
        <w:t xml:space="preserve">, z </w:t>
      </w:r>
      <w:r>
        <w:rPr>
          <w:rFonts w:ascii="Courier New" w:hAnsi="Courier New"/>
          <w:sz w:val="22"/>
        </w:rPr>
        <w:t>extOrderId</w:t>
      </w:r>
      <w:r>
        <w:t xml:space="preserve"> = UUID naliczenia — idempotencja po stronie bramki), student jest przekierowywany na stronę płatności, a potwierdzenie wraca </w:t>
      </w:r>
      <w:r>
        <w:rPr>
          <w:b/>
        </w:rPr>
        <w:t>podpisanym webhookiem</w:t>
      </w:r>
      <w:r>
        <w:t xml:space="preserve"> na </w:t>
      </w:r>
      <w:r>
        <w:rPr>
          <w:rFonts w:ascii="Courier New" w:hAnsi="Courier New"/>
          <w:sz w:val="22"/>
        </w:rPr>
        <w:t>POST /api/v1/webhooks/payu</w:t>
      </w:r>
      <w:r>
        <w:t xml:space="preserve">. Weryfikowana jest sygnatura (HMAC z kluczem sklepu), kwota i waluta; webhook jest przetwarzany idempotentnie (unikalny </w:t>
      </w:r>
      <w:r>
        <w:rPr>
          <w:rFonts w:ascii="Courier New" w:hAnsi="Courier New"/>
          <w:sz w:val="22"/>
        </w:rPr>
        <w:t>id_transakcji</w:t>
      </w:r>
      <w:r>
        <w:t xml:space="preserve"> w tabeli </w:t>
      </w:r>
      <w:r>
        <w:rPr>
          <w:rFonts w:ascii="Courier New" w:hAnsi="Courier New"/>
          <w:sz w:val="22"/>
        </w:rPr>
        <w:t>wplaty</w:t>
      </w:r>
      <w:r>
        <w:t>). Uzupełniająco worker cyklicznie odpytuje status transakcji zainicjowanych, dla których webhook nie dotarł w 30 minut. Przelewy tradycyjne księguje ręcznie rola księgowości.</w:t>
      </w:r>
    </w:p>
    <w:p>
      <w:pPr>
        <w:pStyle w:val="Heading2"/>
      </w:pPr>
      <w:r>
        <w:t>10.2. E-mail</w:t>
      </w:r>
    </w:p>
    <w:p>
      <w:r>
        <w:t>Wysyłka e-maili przez SMTP z relayem SendGrid (API key, TLS). Szablony wiadomości (Thymeleaf) wersjonowane w repozytorium. Obsługiwane są zwrotki (bounce) — po dwóch twardych zwrotkach adres jest oznaczany jako niedostarczalny i administrator otrzymuje raport.</w:t>
      </w:r>
    </w:p>
    <w:p>
      <w:pPr>
        <w:pStyle w:val="Heading2"/>
      </w:pPr>
      <w:r>
        <w:t>10.3. Powiadomienia push i SMS</w:t>
      </w:r>
    </w:p>
    <w:p>
      <w:r>
        <w:t xml:space="preserve">Powiadomienia push do PWA realizuje </w:t>
      </w:r>
      <w:r>
        <w:rPr>
          <w:b/>
        </w:rPr>
        <w:t>Firebase Cloud Messaging</w:t>
      </w:r>
      <w:r>
        <w:t xml:space="preserve"> (Web Push); tokeny urządzeń przechowywane per użytkownik, unieważniane przy wylogowaniu. SMS (opcjonalny kanał dla krytycznych powiadomień o zaległościach) — bramka SMSAPI po REST. Wybór kanałów per typ powiadomienia konfiguruje użytkownik w profilu.</w:t>
      </w:r>
    </w:p>
    <w:p>
      <w:pPr>
        <w:pStyle w:val="Heading2"/>
      </w:pPr>
      <w:r>
        <w:t>10.4. System uczelniany (USOS)</w:t>
      </w:r>
    </w:p>
    <w:p>
      <w:r>
        <w:t>Tożsamość studentów pochodzi z uczelni: nocna synchronizacja pobiera z USOS API listę studentów uprawnionych do zakwaterowania (numer albumu, imię, nazwisko, status studenta). Rekordy są dopasowywane po numerze albumu; studenci, którzy utracili status, są oznaczani jako nieaktywni (co blokuje logowanie, ale zachowuje historię rozliczeń). Integracja jest odporna na niedostępność USOS — synchronizacja jest zadaniem wsadowym z retry, a jej awaria nie wpływa na działanie systemu.</w:t>
      </w:r>
    </w:p>
    <w:p>
      <w:pPr>
        <w:pStyle w:val="Heading1"/>
      </w:pPr>
      <w:r>
        <w:t>11. Zarządzanie stanem i błędami</w:t>
      </w:r>
    </w:p>
    <w:p>
      <w:pPr>
        <w:pStyle w:val="Heading2"/>
      </w:pPr>
      <w:r>
        <w:t>11.1. Stan aplikacji</w:t>
      </w:r>
    </w:p>
    <w:p>
      <w:r>
        <w:t xml:space="preserve">Aplikacja API jest </w:t>
      </w:r>
      <w:r>
        <w:rPr>
          <w:b/>
        </w:rPr>
        <w:t>bezstanowa</w:t>
      </w:r>
      <w:r>
        <w:t>: nie używa sesji serwletowych, cały kontekst żądania niesie token JWT, a stan współdzielony (cache, rate-limit, blokady) trzymany jest w Redis. Dzięki temu awaria lub restart dowolnej repliki jest niezauważalny dla użytkownika, a skalowanie nie wymaga session affinity.</w:t>
      </w:r>
    </w:p>
    <w:p>
      <w:pPr>
        <w:pStyle w:val="Heading2"/>
      </w:pPr>
      <w:r>
        <w:t>11.2. Spójność danych i współbieżność</w:t>
      </w:r>
    </w:p>
    <w:p>
      <w:pPr>
        <w:pStyle w:val="ListBullet"/>
      </w:pPr>
      <w:r>
        <w:rPr>
          <w:b/>
        </w:rPr>
        <w:t>Transakcje</w:t>
      </w:r>
      <w:r>
        <w:t xml:space="preserve"> — granice transakcji na poziomie usług aplikacyjnych; rezerwacja miejsca: </w:t>
      </w:r>
      <w:r>
        <w:rPr>
          <w:rFonts w:ascii="Courier New" w:hAnsi="Courier New"/>
          <w:sz w:val="22"/>
        </w:rPr>
        <w:t>SELECT ... FOR UPDATE</w:t>
      </w:r>
      <w:r>
        <w:t xml:space="preserve"> na pokoju → walidacja pojemności → utworzenie zakwaterowania → aktualizacja statusu pokoju; wszystko albo nic.</w:t>
      </w:r>
    </w:p>
    <w:p>
      <w:pPr>
        <w:pStyle w:val="ListBullet"/>
      </w:pPr>
      <w:r>
        <w:rPr>
          <w:b/>
        </w:rPr>
        <w:t>Blokowanie optymistyczne</w:t>
      </w:r>
      <w:r>
        <w:t xml:space="preserve"> — encje edytowalne równolegle (wnioski, zgłoszenia) mają kolumnę </w:t>
      </w:r>
      <w:r>
        <w:rPr>
          <w:rFonts w:ascii="Courier New" w:hAnsi="Courier New"/>
          <w:sz w:val="22"/>
        </w:rPr>
        <w:t>wersja</w:t>
      </w:r>
      <w:r>
        <w:t>; konflikt zwraca 409 z instrukcją odświeżenia widoku.</w:t>
      </w:r>
    </w:p>
    <w:p>
      <w:pPr>
        <w:pStyle w:val="ListBullet"/>
      </w:pPr>
      <w:r>
        <w:rPr>
          <w:b/>
        </w:rPr>
        <w:t>Idempotencja zapisu</w:t>
      </w:r>
      <w:r>
        <w:t xml:space="preserve"> — nagłówek </w:t>
      </w:r>
      <w:r>
        <w:rPr>
          <w:rFonts w:ascii="Courier New" w:hAnsi="Courier New"/>
          <w:sz w:val="22"/>
        </w:rPr>
        <w:t>Idempotency-Key</w:t>
      </w:r>
      <w:r>
        <w:t xml:space="preserve"> + klucz w Redis (TTL 24 h) chroni przed podwójnym utworzeniem wniosku/płatności przy ponowieniu żądania przez klienta.</w:t>
      </w:r>
    </w:p>
    <w:p>
      <w:pPr>
        <w:pStyle w:val="Heading2"/>
      </w:pPr>
      <w:r>
        <w:t>11.3. Obsługa wyjątków i degradacja</w:t>
      </w:r>
    </w:p>
    <w:p>
      <w:r>
        <w:t>Globalny handler wyjątków mapuje wyjątki domenowe (</w:t>
      </w:r>
      <w:r>
        <w:rPr>
          <w:rFonts w:ascii="Courier New" w:hAnsi="Courier New"/>
          <w:sz w:val="22"/>
        </w:rPr>
        <w:t>BrakWolnychMiejsc</w:t>
      </w:r>
      <w:r>
        <w:t xml:space="preserve">, </w:t>
      </w:r>
      <w:r>
        <w:rPr>
          <w:rFonts w:ascii="Courier New" w:hAnsi="Courier New"/>
          <w:sz w:val="22"/>
        </w:rPr>
        <w:t>NaliczenieJuzOplacone</w:t>
      </w:r>
      <w:r>
        <w:t xml:space="preserve">) na odpowiedzi Problem Details; wyjątki nieoczekiwane logowane są z pełnym stosem i </w:t>
      </w:r>
      <w:r>
        <w:rPr>
          <w:rFonts w:ascii="Courier New" w:hAnsi="Courier New"/>
          <w:sz w:val="22"/>
        </w:rPr>
        <w:t>traceId</w:t>
      </w:r>
      <w:r>
        <w:t xml:space="preserve">, a klient dostaje generyczne 500. Integracje zewnętrzne opakowane są w </w:t>
      </w:r>
      <w:r>
        <w:rPr>
          <w:b/>
        </w:rPr>
        <w:t>Resilience4j</w:t>
      </w:r>
      <w:r>
        <w:t xml:space="preserve">: timeout (2 s), retry z jitterem dla błędów przejściowych oraz </w:t>
      </w:r>
      <w:r>
        <w:rPr>
          <w:b/>
        </w:rPr>
        <w:t>circuit breaker</w:t>
      </w:r>
      <w:r>
        <w:t xml:space="preserve"> — po przekroczeniu progu błędów wywołania są odcinane, a system degraduje się kontrolowanie: przy awarii PayU student widzi komunikat i numer rachunku do przelewu; przy awarii FCM powiadomienia trafiają tylko na e-mail; przy awarii Redis system działa bez cache (wolniej, ale poprawnie).</w:t>
      </w:r>
    </w:p>
    <w:p>
      <w:pPr>
        <w:pStyle w:val="Heading2"/>
      </w:pPr>
      <w:r>
        <w:t>11.4. Sytuacje awaryjne i obserwowalność</w:t>
      </w:r>
    </w:p>
    <w:p>
      <w:r>
        <w:t xml:space="preserve">Każda replika wystawia sondy </w:t>
      </w:r>
      <w:r>
        <w:rPr>
          <w:rFonts w:ascii="Courier New" w:hAnsi="Courier New"/>
          <w:sz w:val="22"/>
        </w:rPr>
        <w:t>liveness</w:t>
      </w:r>
      <w:r>
        <w:t>/</w:t>
      </w:r>
      <w:r>
        <w:rPr>
          <w:rFonts w:ascii="Courier New" w:hAnsi="Courier New"/>
          <w:sz w:val="22"/>
        </w:rPr>
        <w:t>readiness</w:t>
      </w:r>
      <w:r>
        <w:t xml:space="preserve"> (Kubernetes restartuje zawieszone pody i wyłącza z ruchu niegotowe). Metryki (RED: rate, errors, duration; długości kolejek; lag konsumentów) zbiera Prometheus, dashboardy i alerty (np. wzrost 5xx &gt; 1%, kolejka DLQ niepusta, opóźnienie replikacji bazy) obsługuje Grafana/Alertmanager; wyjątki agreguje Sentry z powiązaniem po </w:t>
      </w:r>
      <w:r>
        <w:rPr>
          <w:rFonts w:ascii="Courier New" w:hAnsi="Courier New"/>
          <w:sz w:val="22"/>
        </w:rPr>
        <w:t>traceId</w:t>
      </w:r>
      <w:r>
        <w:t xml:space="preserve"> (OpenTelemetry). Scenariusz awarii bazy: automatyczny failover na replikę (RTO ≤ 60 s), aplikacja ponawia przerwane transakcje odczytu, a operacje zapisu zwracają 503 z </w:t>
      </w:r>
      <w:r>
        <w:rPr>
          <w:rFonts w:ascii="Courier New" w:hAnsi="Courier New"/>
          <w:sz w:val="22"/>
        </w:rPr>
        <w:t>Retry-After</w:t>
      </w:r>
      <w:r>
        <w:t xml:space="preserve"> do czasu przełączenia.</w:t>
      </w:r>
    </w:p>
    <w:p>
      <w:pPr>
        <w:pStyle w:val="Heading1"/>
      </w:pPr>
      <w:r>
        <w:t>12. Uwierzytelnianie i autoryzacja</w:t>
      </w:r>
    </w:p>
    <w:p>
      <w:pPr>
        <w:pStyle w:val="Heading2"/>
      </w:pPr>
      <w:r>
        <w:t>12.1. Uwierzytelnianie — OAuth2 / OIDC</w:t>
      </w:r>
    </w:p>
    <w:p>
      <w:r>
        <w:t xml:space="preserve">Uwierzytelnianie realizuje </w:t>
      </w:r>
      <w:r>
        <w:rPr>
          <w:b/>
        </w:rPr>
        <w:t>Keycloak 25</w:t>
      </w:r>
      <w:r>
        <w:t xml:space="preserve"> jako serwer OAuth2/OpenID Connect. Aplikacje klienckie używają przepływu </w:t>
      </w:r>
      <w:r>
        <w:rPr>
          <w:b/>
        </w:rPr>
        <w:t>Authorization Code z PKCE</w:t>
      </w:r>
      <w:r>
        <w:t xml:space="preserve"> (zalecany dla SPA). Po zalogowaniu klient otrzymuje: </w:t>
      </w:r>
      <w:r>
        <w:rPr>
          <w:b/>
        </w:rPr>
        <w:t>access token (JWT, RS256, TTL 10 min)</w:t>
      </w:r>
      <w:r>
        <w:t xml:space="preserve"> oraz </w:t>
      </w:r>
      <w:r>
        <w:rPr>
          <w:b/>
        </w:rPr>
        <w:t>refresh token (TTL 12 h, rotowany przy każdym użyciu, unieważniany przy wylogowaniu)</w:t>
      </w:r>
      <w:r>
        <w:t xml:space="preserve">. API waliduje podpis tokenu lokalnie (klucze publiczne z JWKS, cache), więc weryfikacja nie wymaga wywołania Keycloak przy każdym żądaniu. Dla kont administracyjnych i księgowości wymuszone jest </w:t>
      </w:r>
      <w:r>
        <w:rPr>
          <w:b/>
        </w:rPr>
        <w:t>2FA (TOTP)</w:t>
      </w:r>
      <w:r>
        <w:t>. Polityka haseł: min. 12 znaków, blokada konta po 5 nieudanych próbach (ochrona przed credential stuffing wspierana rate-limitingiem na Ingress).</w:t>
      </w:r>
    </w:p>
    <w:p>
      <w:pPr>
        <w:pStyle w:val="Heading2"/>
      </w:pPr>
      <w:r>
        <w:t>12.2. Autoryzacja — RBAC</w:t>
      </w:r>
    </w:p>
    <w:p>
      <w:r>
        <w:t xml:space="preserve">Model </w:t>
      </w:r>
      <w:r>
        <w:rPr>
          <w:b/>
        </w:rPr>
        <w:t>RBAC (Role-Based Access Control)</w:t>
      </w:r>
      <w:r>
        <w:t xml:space="preserve"> z rolami przenoszonymi w tokenie (claim </w:t>
      </w:r>
      <w:r>
        <w:rPr>
          <w:rFonts w:ascii="Courier New" w:hAnsi="Courier New"/>
          <w:sz w:val="22"/>
        </w:rPr>
        <w:t>roles</w:t>
      </w:r>
      <w:r>
        <w:t>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jc w:val="left"/>
            </w:pPr>
            <w:r>
              <w:rPr>
                <w:b/>
              </w:rPr>
              <w:t>Rola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rPr>
                <w:b/>
              </w:rPr>
              <w:t>Uprawnienia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STUDENT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własne wnioski, zgłoszenia, naliczenia i płatności; podgląd dostępności pokoi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TECHNIK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odczyt i zmiana statusu przydzielonych zgłoszeń; brak dostępu do płatności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KSIEGOWOSC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naliczenia, księgowanie wpłat, raporty finansowe; bez edycji zgłoszeń</w:t>
            </w:r>
          </w:p>
        </w:tc>
      </w:tr>
      <w:tr>
        <w:tc>
          <w:tcPr>
            <w:tcW w:type="dxa" w:w="4703"/>
          </w:tcPr>
          <w:p>
            <w:pPr>
              <w:jc w:val="left"/>
            </w:pPr>
            <w:r>
              <w:t>ADMIN</w:t>
            </w:r>
          </w:p>
        </w:tc>
        <w:tc>
          <w:tcPr>
            <w:tcW w:type="dxa" w:w="4703"/>
          </w:tcPr>
          <w:p>
            <w:pPr>
              <w:jc w:val="left"/>
            </w:pPr>
            <w:r>
              <w:t>struktura budynku, decyzje kwaterunkowe, zarządzanie użytkownikami, pełne raporty</w:t>
            </w:r>
          </w:p>
        </w:tc>
      </w:tr>
    </w:tbl>
    <w:p>
      <w:r>
        <w:t>Autoryzacja jest egzekwowana dwuwarstwowo: deklaratywnie na endpointach (</w:t>
      </w:r>
      <w:r>
        <w:rPr>
          <w:rFonts w:ascii="Courier New" w:hAnsi="Courier New"/>
          <w:sz w:val="22"/>
        </w:rPr>
        <w:t>@PreAuthorize</w:t>
      </w:r>
      <w:r>
        <w:t xml:space="preserve">) oraz w warstwie domeny przez </w:t>
      </w:r>
      <w:r>
        <w:rPr>
          <w:b/>
        </w:rPr>
        <w:t>kontrolę własności zasobu</w:t>
      </w:r>
      <w:r>
        <w:t xml:space="preserve"> — student nigdy nie odczyta cudzego naliczenia, bo każde zapytanie repozytorium filtruje po identyfikatorze podmiotu z tokenu (zapobiega to podatnościom klasy IDOR/BOLA). Zasada minimalnych uprawnień obowiązuje też technicznie: aplikacja łączy się z bazą kontem bez praw DDL, a webhooki mają osobne, niepersonalne poświadczenia.</w:t>
      </w:r>
    </w:p>
    <w:p>
      <w:pPr>
        <w:pStyle w:val="Heading2"/>
      </w:pPr>
      <w:r>
        <w:t>12.3. Ochrona danych osobowych</w:t>
      </w:r>
    </w:p>
    <w:p>
      <w:r>
        <w:t xml:space="preserve">Zgodnie z wymaganiem bezpieczeństwa dane wrażliwe (PESEL, numer dowodu) są szyfrowane </w:t>
      </w:r>
      <w:r>
        <w:rPr>
          <w:b/>
        </w:rPr>
        <w:t>na poziomie aplikacji</w:t>
      </w:r>
      <w:r>
        <w:t xml:space="preserve"> algorytmem </w:t>
      </w:r>
      <w:r>
        <w:rPr>
          <w:b/>
        </w:rPr>
        <w:t>AES-256-GCM</w:t>
      </w:r>
      <w:r>
        <w:t xml:space="preserve"> przed zapisem do bazy (kolumny </w:t>
      </w:r>
      <w:r>
        <w:rPr>
          <w:rFonts w:ascii="Courier New" w:hAnsi="Courier New"/>
          <w:sz w:val="22"/>
        </w:rPr>
        <w:t>BYTEA</w:t>
      </w:r>
      <w:r>
        <w:t>); klucz szyfrujący (KEK/DEK z rotacją roczną) przechowywany jest w sejfie sekretów (HashiCorp Vault / secrets zarządzane u dostawcy), nigdy w kodzie ani konfiguracji repozytorium. Dodatkowo: szyfrowanie dysków bazy (at rest), TLS 1.3 dla całego ruchu (in transit), maskowanie PESEL w interfejsie (widoczne 4 ostatnie cyfry), pełny audit log operacji na danych osobowych oraz brak danych wrażliwych w logach aplikacyjnych (filtry serializacji). Kopie zapasowe dziedziczą szyfrowanie. Rozwiązanie realizuje zasady privacy by design i minimalizacji danych RODO.</w:t>
      </w:r>
    </w:p>
    <w:p>
      <w:pPr>
        <w:pStyle w:val="Heading1"/>
      </w:pPr>
      <w:r>
        <w:t>13. Podsumowanie</w:t>
      </w:r>
    </w:p>
    <w:p>
      <w:r>
        <w:t>Zaprojektowany system SmartDorm łączy prostotę utrzymania (jeden modularny artefakt, jedna baza danych, transakcje ACID w krytycznym procesie kwaterowania) z cechami architektur rozproszonych tam, gdzie przynoszą realną wartość: bezstanowe API skalowane horyzontalnie na szczyt zapisów, asynchroniczne zdarzenia z gwarancjami dostarczenia (outbox + idempotentni konsumenci) oraz odporne integracje zewnętrzne (circuit breaker, degradacja kontrolowana). Bezpieczeństwo danych osobowych zapewnia szyfrowanie aplikacyjne AES-256-GCM, OAuth2/OIDC z RBAC i kontrolą własności zasobów. Architektura pozostawia otwartą ścieżkę ewolucji: granice modułów pokrywają się z potencjalnymi przyszłymi mikroserwisami, co pozwoli systemowi rosnąć wraz z liczbą obsługiwanych akademików bez rewolucji technologicznej.</w:t>
      </w:r>
    </w:p>
    <w:p>
      <w:pPr>
        <w:pStyle w:val="Heading1"/>
        <w:pageBreakBefore/>
      </w:pPr>
      <w:r>
        <w:t>Załącznik A. Diagram architektury logicznej systemu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62030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ktura-logicz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203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20"/>
        </w:rPr>
        <w:t>Diagram architektury logicznej systemu SmartDorm</w:t>
      </w:r>
    </w:p>
    <w:p>
      <w:pPr>
        <w:pStyle w:val="Heading1"/>
        <w:pageBreakBefore/>
      </w:pPr>
      <w:r>
        <w:t>Załącznik B. Schemat bazy danych</w:t>
      </w:r>
    </w:p>
    <w:p>
      <w:pPr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6596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-bazy-dany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6596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  <w:jc w:val="center"/>
      </w:pPr>
      <w:r>
        <w:rPr>
          <w:i/>
          <w:sz w:val="20"/>
        </w:rPr>
        <w:t>Schemat bazy danych systemu SmartDorm (PostgreSQL 16)</w:t>
      </w:r>
    </w:p>
    <w:sectPr w:rsidR="00FC693F" w:rsidRPr="0006063C" w:rsidSect="00034616">
      <w:footerReference w:type="default" r:id="rId9"/>
      <w:pgSz w:w="12240" w:h="15840"/>
      <w:pgMar w:top="1417" w:right="1417" w:bottom="1417" w:left="1417" w:header="720" w:footer="720" w:gutter="0"/>
      <w:cols w:space="720"/>
      <w:titlePg/>
      <w:docGrid w:linePitch="360"/>
      <w:pgNumType w:start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jc w:val="both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