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492CC">
      <w:pPr>
        <w:pStyle w:val="3"/>
        <w:keepNext w:val="0"/>
        <w:keepLines w:val="0"/>
        <w:widowControl/>
        <w:suppressLineNumbers w:val="0"/>
        <w:rPr>
          <w:rFonts w:hint="default" w:ascii="Arial" w:hAnsi="Arial" w:cs="Arial"/>
          <w:sz w:val="20"/>
          <w:szCs w:val="20"/>
        </w:rPr>
      </w:pPr>
      <w:bookmarkStart w:id="0" w:name="_GoBack"/>
      <w:r>
        <w:rPr>
          <w:rFonts w:hint="default" w:ascii="Arial" w:hAnsi="Arial" w:cs="Arial"/>
          <w:sz w:val="20"/>
          <w:szCs w:val="20"/>
        </w:rPr>
        <w:t>This is a sharper, more specific opportunity than the Module 0 example — and the business model changes the analysis fundamentally. Let me research the specifics of the "build-and-flip" developer model and the NSW/VIC small-battery landscape so the plan is grounded in real practice, not generic.This is exactly the data I needed. The current market evidence is highly relevant: it confirms the build-and-flip ("develop, de-risk, sell") model is real and active, and reveals the single most important market shift for this opportunity. Let me write the plan grounded in this.Done. The plan is built and grounded in current market evidence I verified specifically for your opportunity.</w:t>
      </w:r>
    </w:p>
    <w:p w14:paraId="0D6F2391">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The one insight that reframes everything</w:t>
      </w:r>
    </w:p>
    <w:p w14:paraId="6777C55B">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When I researched your specific opportunity, the most important finding was this: </w:t>
      </w:r>
      <w:r>
        <w:rPr>
          <w:rStyle w:val="6"/>
          <w:rFonts w:hint="default" w:ascii="Arial" w:hAnsi="Arial" w:cs="Arial"/>
          <w:sz w:val="20"/>
          <w:szCs w:val="20"/>
        </w:rPr>
        <w:t>your deal is a "develop-and-flip", not a "hold-and-operate"</w:t>
      </w:r>
      <w:r>
        <w:rPr>
          <w:rFonts w:hint="default" w:ascii="Arial" w:hAnsi="Arial" w:cs="Arial"/>
          <w:sz w:val="20"/>
          <w:szCs w:val="20"/>
        </w:rPr>
        <w:t xml:space="preserve"> — and that completely changes which questions matter.</w:t>
      </w:r>
    </w:p>
    <w:p w14:paraId="188BF35A">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Module 0 worried about </w:t>
      </w:r>
      <w:r>
        <w:rPr>
          <w:rStyle w:val="7"/>
          <w:rFonts w:hint="default" w:ascii="Arial" w:hAnsi="Arial" w:cs="Arial"/>
          <w:sz w:val="20"/>
          <w:szCs w:val="20"/>
        </w:rPr>
        <w:t>merchant revenue risk</w:t>
      </w:r>
      <w:r>
        <w:rPr>
          <w:rFonts w:hint="default" w:ascii="Arial" w:hAnsi="Arial" w:cs="Arial"/>
          <w:sz w:val="20"/>
          <w:szCs w:val="20"/>
        </w:rPr>
        <w:t xml:space="preserve"> (15 years of volatile energy prices). But your company sells in 2–3 years, so that risk mostly belongs to your </w:t>
      </w:r>
      <w:r>
        <w:rPr>
          <w:rStyle w:val="7"/>
          <w:rFonts w:hint="default" w:ascii="Arial" w:hAnsi="Arial" w:cs="Arial"/>
          <w:sz w:val="20"/>
          <w:szCs w:val="20"/>
        </w:rPr>
        <w:t>buyer</w:t>
      </w:r>
      <w:r>
        <w:rPr>
          <w:rFonts w:hint="default" w:ascii="Arial" w:hAnsi="Arial" w:cs="Arial"/>
          <w:sz w:val="20"/>
          <w:szCs w:val="20"/>
        </w:rPr>
        <w:t>, not you. Your two make-or-break questions become:</w:t>
      </w:r>
    </w:p>
    <w:p w14:paraId="22094F59">
      <w:pPr>
        <w:keepNext w:val="0"/>
        <w:keepLines w:val="0"/>
        <w:widowControl/>
        <w:numPr>
          <w:ilvl w:val="0"/>
          <w:numId w:val="1"/>
        </w:numPr>
        <w:suppressLineNumbers w:val="0"/>
        <w:spacing w:before="0" w:beforeAutospacing="1" w:after="0" w:afterAutospacing="1"/>
        <w:ind w:left="720" w:hanging="360"/>
        <w:rPr>
          <w:rFonts w:hint="default" w:ascii="Arial" w:hAnsi="Arial" w:cs="Arial"/>
          <w:sz w:val="20"/>
          <w:szCs w:val="20"/>
        </w:rPr>
      </w:pPr>
      <w:r>
        <w:rPr>
          <w:rStyle w:val="6"/>
          <w:rFonts w:hint="default" w:ascii="Arial" w:hAnsi="Arial" w:cs="Arial"/>
          <w:sz w:val="20"/>
          <w:szCs w:val="20"/>
        </w:rPr>
        <w:t>Can they execute?</w:t>
      </w:r>
      <w:r>
        <w:rPr>
          <w:rFonts w:hint="default" w:ascii="Arial" w:hAnsi="Arial" w:cs="Arial"/>
          <w:sz w:val="20"/>
          <w:szCs w:val="20"/>
        </w:rPr>
        <w:t xml:space="preserve"> — actually win the planning approvals and grid connections that create the value uplift, on schedule.</w:t>
      </w:r>
    </w:p>
    <w:p w14:paraId="3101F874">
      <w:pPr>
        <w:keepNext w:val="0"/>
        <w:keepLines w:val="0"/>
        <w:widowControl/>
        <w:numPr>
          <w:ilvl w:val="0"/>
          <w:numId w:val="1"/>
        </w:numPr>
        <w:suppressLineNumbers w:val="0"/>
        <w:spacing w:before="0" w:beforeAutospacing="1" w:after="0" w:afterAutospacing="1"/>
        <w:ind w:left="720" w:hanging="360"/>
        <w:rPr>
          <w:rFonts w:hint="default" w:ascii="Arial" w:hAnsi="Arial" w:cs="Arial"/>
          <w:sz w:val="20"/>
          <w:szCs w:val="20"/>
        </w:rPr>
      </w:pPr>
      <w:r>
        <w:rPr>
          <w:rStyle w:val="6"/>
          <w:rFonts w:hint="default" w:ascii="Arial" w:hAnsi="Arial" w:cs="Arial"/>
          <w:sz w:val="20"/>
          <w:szCs w:val="20"/>
        </w:rPr>
        <w:t>Will someone buy it, and for how much?</w:t>
      </w:r>
      <w:r>
        <w:rPr>
          <w:rFonts w:hint="default" w:ascii="Arial" w:hAnsi="Arial" w:cs="Arial"/>
          <w:sz w:val="20"/>
          <w:szCs w:val="20"/>
        </w:rPr>
        <w:t xml:space="preserve"> — is there deep, reliable buyer demand in 2–3 years?</w:t>
      </w:r>
    </w:p>
    <w:p w14:paraId="410C437C">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The critical market signal I found</w:t>
      </w:r>
    </w:p>
    <w:p w14:paraId="0351871E">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This is the single most important thing for your opportunity, and it's current (early–mid 2026): the Australian battery M&amp;A market has </w:t>
      </w:r>
      <w:r>
        <w:rPr>
          <w:rStyle w:val="6"/>
          <w:rFonts w:hint="default" w:ascii="Arial" w:hAnsi="Arial" w:cs="Arial"/>
          <w:sz w:val="20"/>
          <w:szCs w:val="20"/>
        </w:rPr>
        <w:t xml:space="preserve">shifted toward buying </w:t>
      </w:r>
      <w:r>
        <w:rPr>
          <w:rStyle w:val="7"/>
          <w:rFonts w:hint="default" w:ascii="Arial" w:hAnsi="Arial" w:cs="Arial"/>
          <w:sz w:val="20"/>
          <w:szCs w:val="20"/>
        </w:rPr>
        <w:t>de-risked, contracted, construction-ready</w:t>
      </w:r>
      <w:r>
        <w:rPr>
          <w:rStyle w:val="6"/>
          <w:rFonts w:hint="default" w:ascii="Arial" w:hAnsi="Arial" w:cs="Arial"/>
          <w:sz w:val="20"/>
          <w:szCs w:val="20"/>
        </w:rPr>
        <w:t xml:space="preserve"> assets — and is discounting speculative early-stage pipelines.</w:t>
      </w:r>
      <w:r>
        <w:rPr>
          <w:rFonts w:hint="default" w:ascii="Arial" w:hAnsi="Arial" w:cs="Arial"/>
          <w:sz w:val="20"/>
          <w:szCs w:val="20"/>
        </w:rPr>
        <w:t xml:space="preserve"> As one market summary put it, capital is now paying for execution-ready storage, not speculative pipelines.</w:t>
      </w:r>
    </w:p>
    <w:p w14:paraId="4CC65F62">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The recent CIP→Palisade battery sale shows the winning template exactly: CIP delivered all key development workstreams across offtake, procurement and grid connection and the project sold underpinned by a long-term tolling agreement with Origin Energy.</w:t>
      </w:r>
    </w:p>
    <w:p w14:paraId="1CAE7B87">
      <w:pPr>
        <w:pStyle w:val="3"/>
        <w:keepNext w:val="0"/>
        <w:keepLines w:val="0"/>
        <w:widowControl/>
        <w:suppressLineNumbers w:val="0"/>
        <w:rPr>
          <w:rFonts w:hint="default" w:ascii="Arial" w:hAnsi="Arial" w:cs="Arial"/>
          <w:sz w:val="20"/>
          <w:szCs w:val="20"/>
        </w:rPr>
      </w:pPr>
      <w:r>
        <w:rPr>
          <w:rStyle w:val="6"/>
          <w:rFonts w:hint="default" w:ascii="Arial" w:hAnsi="Arial" w:cs="Arial"/>
          <w:sz w:val="20"/>
          <w:szCs w:val="20"/>
        </w:rPr>
        <w:t>What this means for your deal:</w:t>
      </w:r>
      <w:r>
        <w:rPr>
          <w:rFonts w:hint="default" w:ascii="Arial" w:hAnsi="Arial" w:cs="Arial"/>
          <w:sz w:val="20"/>
          <w:szCs w:val="20"/>
        </w:rPr>
        <w:t xml:space="preserve"> if the company plans to sell </w:t>
      </w:r>
      <w:r>
        <w:rPr>
          <w:rStyle w:val="7"/>
          <w:rFonts w:hint="default" w:ascii="Arial" w:hAnsi="Arial" w:cs="Arial"/>
          <w:sz w:val="20"/>
          <w:szCs w:val="20"/>
        </w:rPr>
        <w:t>approved-but-unbuilt</w:t>
      </w:r>
      <w:r>
        <w:rPr>
          <w:rFonts w:hint="default" w:ascii="Arial" w:hAnsi="Arial" w:cs="Arial"/>
          <w:sz w:val="20"/>
          <w:szCs w:val="20"/>
        </w:rPr>
        <w:t xml:space="preserve"> projects, but buyers are paying up mainly for </w:t>
      </w:r>
      <w:r>
        <w:rPr>
          <w:rStyle w:val="7"/>
          <w:rFonts w:hint="default" w:ascii="Arial" w:hAnsi="Arial" w:cs="Arial"/>
          <w:sz w:val="20"/>
          <w:szCs w:val="20"/>
        </w:rPr>
        <w:t>built-and-contracted</w:t>
      </w:r>
      <w:r>
        <w:rPr>
          <w:rFonts w:hint="default" w:ascii="Arial" w:hAnsi="Arial" w:cs="Arial"/>
          <w:sz w:val="20"/>
          <w:szCs w:val="20"/>
        </w:rPr>
        <w:t xml:space="preserve"> ones, that's a price-destroying mismatch you need to test for. The plan makes this a central question.</w:t>
      </w:r>
    </w:p>
    <w:p w14:paraId="007344BC">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The good news on the exit</w:t>
      </w:r>
    </w:p>
    <w:p w14:paraId="3FF8E090">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Your flip </w:t>
      </w:r>
      <w:r>
        <w:rPr>
          <w:rStyle w:val="7"/>
          <w:rFonts w:hint="default" w:ascii="Arial" w:hAnsi="Arial" w:cs="Arial"/>
          <w:sz w:val="20"/>
          <w:szCs w:val="20"/>
        </w:rPr>
        <w:t>does</w:t>
      </w:r>
      <w:r>
        <w:rPr>
          <w:rFonts w:hint="default" w:ascii="Arial" w:hAnsi="Arial" w:cs="Arial"/>
          <w:sz w:val="20"/>
          <w:szCs w:val="20"/>
        </w:rPr>
        <w:t xml:space="preserve"> have a real, active buyer pool — infrastructure funds (Palisade/Intera, CIP, Quinbrook), super funds (Aware Super, HESTA), government green capital (CEFC, Energy Security Corporation), and energy retailers. And there's a genuine supply gap to fill: NSW's storage target reportedly rose toward 56GWh with only 12.5GWh had reached financial investment decision, leaving 75% of what the state requires for 2030 without committed funding.</w:t>
      </w:r>
    </w:p>
    <w:p w14:paraId="66CDFF35">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How the plan is structured</w:t>
      </w:r>
    </w:p>
    <w:p w14:paraId="1C1E093B">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Seven phases, each with what-to-do, key questions, and data sources — ending in an "industry one-pager" that feeds straight into an IC memo. The biggest time investment is </w:t>
      </w:r>
      <w:r>
        <w:rPr>
          <w:rStyle w:val="6"/>
          <w:rFonts w:hint="default" w:ascii="Arial" w:hAnsi="Arial" w:cs="Arial"/>
          <w:sz w:val="20"/>
          <w:szCs w:val="20"/>
        </w:rPr>
        <w:t>Phase 5</w:t>
      </w:r>
      <w:r>
        <w:rPr>
          <w:rFonts w:hint="default" w:ascii="Arial" w:hAnsi="Arial" w:cs="Arial"/>
          <w:sz w:val="20"/>
          <w:szCs w:val="20"/>
        </w:rPr>
        <w:t>: stress-testing the two risks (execution and exit), because that's where a flip lives or dies.</w:t>
      </w:r>
    </w:p>
    <w:p w14:paraId="719E9A31">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One honest caveat, as always: this is a planning/methodology resource, not investment advice — I'm not a licensed adviser, and the figures need re-verifying before you rely on them.</w:t>
      </w:r>
    </w:p>
    <w:p w14:paraId="2D98937F">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The natural next step, if useful, would be a </w:t>
      </w:r>
      <w:r>
        <w:rPr>
          <w:rStyle w:val="6"/>
          <w:rFonts w:hint="default" w:ascii="Arial" w:hAnsi="Arial" w:cs="Arial"/>
          <w:sz w:val="20"/>
          <w:szCs w:val="20"/>
        </w:rPr>
        <w:t>fillable workbook version</w:t>
      </w:r>
      <w:r>
        <w:rPr>
          <w:rFonts w:hint="default" w:ascii="Arial" w:hAnsi="Arial" w:cs="Arial"/>
          <w:sz w:val="20"/>
          <w:szCs w:val="20"/>
        </w:rPr>
        <w:t xml:space="preserve"> — the seven phases as a structured template with blank tables you complete as you gather data on this specific company. Want me to build that?</w:t>
      </w:r>
    </w:p>
    <w:p w14:paraId="4303A309">
      <w:pPr>
        <w:rPr>
          <w:rFonts w:hint="default" w:ascii="Arial" w:hAnsi="Arial" w:cs="Arial"/>
          <w:sz w:val="20"/>
          <w:szCs w:val="20"/>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D28DA7"/>
    <w:multiLevelType w:val="multilevel"/>
    <w:tmpl w:val="9DD28D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71066F"/>
    <w:rsid w:val="027106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2026-06-23T01:50:00Z</dcterms:created>
  <dc:creator>Jane</dc:creator>
  <cp:lastModifiedBy>Jane</cp:lastModifiedBy>
  <dcterms:modified xsi:type="dcterms:W3CDTF">2026-06-23T01:51:02Z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6A01AC539BD34E9FB3877AC1FADC637C_11</vt:lpwstr>
  </property>
  <property fmtid="{D5CDD505-2E9C-101B-9397-08002B2CF9AE}" pid="4" name="KSOTemplateDocerSaveRecord">
    <vt:lpwstr>eyJoZGlkIjoiNmYzNmM1MTNjYTQ2N2EwMGQxMDI4ZGVhNDQzZTdkY2MiLCJ1c2VySWQiOiI0NDc1NTUxNTcifQ==</vt:lpwstr>
  </property>
</Properties>
</file>