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Web3 stack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[1]: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区块链的分类：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按共识证明： PoS和PoW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按EVM的兼容性： EVM兼容链和非EVM兼容链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按角色定位： L1和L2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EVM兼容链：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Ethereum(ETH), Polygon(MATIC), Optimism(OP), Arbitrum(ETH), Avalance(AVAX), Celo(CELO), BNB smart Chain(BNB),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NON-EVM: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StarkNet(ETH), NEAR(NEAR), Cosmos(ATOM), BitCoin(BTC),Solana(SOL), Polkadot(DOT)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Smart contract：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It varies in the </w:t>
      </w:r>
      <w:r>
        <w:rPr>
          <w:rFonts w:hint="eastAsia"/>
          <w:color w:val="0000FF"/>
          <w:lang w:val="en-US" w:eastAsia="zh-CN"/>
        </w:rPr>
        <w:t>availability of tooling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0000FF"/>
          <w:lang w:val="en-US" w:eastAsia="zh-CN"/>
        </w:rPr>
        <w:t>documentation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0000FF"/>
          <w:lang w:val="en-US" w:eastAsia="zh-CN"/>
        </w:rPr>
        <w:t>ecosystem support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0000FF"/>
          <w:lang w:val="en-US" w:eastAsia="zh-CN"/>
        </w:rPr>
        <w:t>size of the developer community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0000FF"/>
          <w:lang w:val="en-US" w:eastAsia="zh-CN"/>
        </w:rPr>
        <w:t>ease of use</w:t>
      </w:r>
      <w:r>
        <w:rPr>
          <w:rFonts w:hint="eastAsia"/>
          <w:lang w:val="en-US" w:eastAsia="zh-CN"/>
        </w:rPr>
        <w:t xml:space="preserve">, and </w:t>
      </w:r>
      <w:r>
        <w:rPr>
          <w:rFonts w:hint="eastAsia"/>
          <w:color w:val="0000FF"/>
          <w:lang w:val="en-US" w:eastAsia="zh-CN"/>
        </w:rPr>
        <w:t>degree of functionality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Language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Ecosystems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Top features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Solidity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Ethereum, Polygon, Binance, Smart Chain, Avalanche, Optimism, Arbitrum, Fantom, Celo, Genosis Chain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choice for many web3 projects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Extensive tooling and documentation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 to learn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Solana, Near, Polkadot, Cosmos, Elrond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Provides a familiar framework for development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Safety-oriented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 speed and efficiency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Vyper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Ethereum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 alternative to Solidity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Easier for Python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Lisk, Agoric, NEO, Hyperledger fabric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 to learn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Very active developer community and  robust documentation/tooling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providers: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Infura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Alchemy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Moralis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QuickNode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Indexing and Querying: (read data/monitor event etc)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Graph</w:t>
      </w:r>
      <w:r>
        <w:rPr>
          <w:rFonts w:hint="default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HAL,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"https://docs.moralis.io/"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moralis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(excellent)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Development Environments</w:t>
      </w:r>
    </w:p>
    <w:p>
      <w:r>
        <w:drawing>
          <wp:inline distT="0" distB="0" distL="114300" distR="114300">
            <wp:extent cx="5273675" cy="26473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36845" cy="252349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Decentralized Storage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342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sources: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"https://github.com/OpenZeppelin"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OpenZeppelin</w:t>
      </w:r>
      <w:r>
        <w:rPr>
          <w:rFonts w:hint="default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: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进入 Web3 领域必须反复的阅读的圣经之一，自 2017 年以来，他们实现了大量的 EIP（以太坊改进提案），并成为了智能合约编码的实际标准。虽然，OZ 的合约在 Gas 费用和效率上存在一些问题，但他们在安全性、代码完成度、可维护性、注释和测试方面都做的很好，是值得信赖的合约基础库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"https://github.com/Rari-Capital/solmate"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Solmate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提供了一系列对应的 EIP 实现，同时，他们更注重合约的运行效率，优化了执行中的 gas 费用，并且每个合约依赖更少，阅读起来更加简单</w:t>
      </w:r>
    </w:p>
    <w:p>
      <w:pPr>
        <w:numPr>
          <w:ilvl w:val="0"/>
          <w:numId w:val="5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begin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instrText xml:space="preserve"> HYPERLINK "https://www.erc721a.org/" \t "https://guoyu.mirror.xyz/_blank" </w:instrTex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t>ERC721A</w: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知名 NFT 项目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instrText xml:space="preserve"> HYPERLINK "https://www.azuki.com/zh" \t "https://guoyu.mirror.xyz/_blank"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Azuki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 发布的 ERC721 改善版本，通过特定的位操作，他们实现了内存占用的优化，带来了批量 mint 低 Gas 费用的优势。如果你的项目涉及到大量 NFT 的铸造，可以参考它的合约代码来进行实现</w:t>
      </w:r>
    </w:p>
    <w:p>
      <w:pPr>
        <w:numPr>
          <w:ilvl w:val="0"/>
          <w:numId w:val="5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begin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instrText xml:space="preserve"> HYPERLINK "https://compound.finance/" \t "https://guoyu.mirror.xyz/_blank" </w:instrTex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t>Compond</w: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end"/>
      </w:r>
    </w:p>
    <w:p>
      <w:pPr>
        <w:numPr>
          <w:numId w:val="0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DeFi 借贷领域的老牌项目，代码质量经过实践的检验，如果你的项目涉及到 DeFi 相关的需求，请务必阅读他们的合约代码</w:t>
      </w: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shd w:val="clear" w:fill="FFFFFF"/>
        </w:rPr>
        <w:t>。</w:t>
      </w:r>
    </w:p>
    <w:p>
      <w:pPr>
        <w:numPr>
          <w:ilvl w:val="0"/>
          <w:numId w:val="5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instrText xml:space="preserve"> HYPERLINK "https://uniswap.org/" \t "https://guoyu.mirror.xyz/_blank" </w:instrText>
      </w: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t>Uniswap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世界上最大的 DEX，他们的合约实现的非常优秀，无论你是否有 DeFi 方面的需求，我都建议你完整阅读他们的合约代码。</w:t>
      </w:r>
    </w:p>
    <w:p>
      <w:pPr>
        <w:numPr>
          <w:ilvl w:val="0"/>
          <w:numId w:val="5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instrText xml:space="preserve"> HYPERLINK "https://lens.dev/" \t "https://guoyu.mirror.xyz/_blank" </w:instrText>
      </w: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t>Lens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是 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instrText xml:space="preserve"> HYPERLINK "https://aave.com/" \t "https://guoyu.mirror.xyz/_blank"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AAVE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 推出的以 NFT 为核心的新型社交合约开发套件（或者他们称之为社交合约协议）如果你的项目设计到 SocialFi，可以参考他们的代码实现。</w:t>
      </w:r>
    </w:p>
    <w:p>
      <w:pPr>
        <w:numPr>
          <w:ilvl w:val="0"/>
          <w:numId w:val="5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instrText xml:space="preserve"> HYPERLINK "https://zora.co/" \t "https://guoyu.mirror.xyz/_blank"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t>Zora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shd w:val="clear" w:fill="FFFFFF"/>
        </w:rPr>
        <w:t> v3 版本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著名的 NFT 交易市场退出的交易合约</w:t>
      </w:r>
    </w:p>
    <w:p>
      <w:pPr>
        <w:numPr>
          <w:ilvl w:val="0"/>
          <w:numId w:val="5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instrText xml:space="preserve"> HYPERLINK "https://gnosis-safe.io/" \t "https://guoyu.mirror.xyz/_blank"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t>Gonsis safe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著名的多签名钱包合约实现</w:t>
      </w:r>
    </w:p>
    <w:p>
      <w:pPr>
        <w:numPr>
          <w:ilvl w:val="0"/>
          <w:numId w:val="5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-1"/>
          <w:sz w:val="26"/>
          <w:szCs w:val="2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instrText xml:space="preserve"> HYPERLINK "https://twitter.com/codefordao" \t "https://guoyu.mirror.xyz/_blank"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t>CodeforDAO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26"/>
          <w:szCs w:val="26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DAO 和链上治理</w:t>
      </w:r>
      <w:r>
        <w:rPr>
          <w:rFonts w:hint="eastAsia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  <w:lang w:val="en-US" w:eastAsia="zh-CN"/>
        </w:rPr>
        <w:t xml:space="preserve">. </w:t>
      </w:r>
      <w:r>
        <w:rPr>
          <w:rFonts w:hint="default" w:ascii="Segoe UI" w:hAnsi="Segoe UI" w:eastAsia="Segoe UI" w:cs="Segoe UI"/>
          <w:i w:val="0"/>
          <w:iCs w:val="0"/>
          <w:caps w:val="0"/>
          <w:spacing w:val="-1"/>
          <w:sz w:val="18"/>
          <w:szCs w:val="18"/>
          <w:shd w:val="clear" w:fill="FFFFFF"/>
        </w:rPr>
        <w:t>实现了传统的治理模式，多签积极治理与模块化合约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References: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[1].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"https://www.infura.io/blog/post/the-developers-guide-to-the-web3-stack?ref=infura.ghost.io&amp;_ga=2.242038146.1276319306.1701242901-350348051.1701242901"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https://www.infura.io/blog/post/the-developers-guide-to-the-web3-stack?ref=infura.ghost.io&amp;_ga=2.242038146.1276319306.1701242901-350348051.1701242901</w:t>
      </w:r>
      <w:r>
        <w:rPr>
          <w:rFonts w:hint="default"/>
          <w:lang w:val="en-US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[2].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"https://guoyu.mirror.xyz/RD-xkpoxasAU7x5MIJmiCX4gll3Cs0pAd5iM258S1Ek"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https://guoyu.mirror.xyz/RD-xkpoxasAU7x5MIJmiCX4gll3Cs0pAd5iM258S1Ek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[3].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[4].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CC2C9"/>
    <w:multiLevelType w:val="singleLevel"/>
    <w:tmpl w:val="C44CC2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2459E5"/>
    <w:multiLevelType w:val="singleLevel"/>
    <w:tmpl w:val="E02459E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98F7FB"/>
    <w:multiLevelType w:val="singleLevel"/>
    <w:tmpl w:val="E898F7F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3D5BA2"/>
    <w:multiLevelType w:val="singleLevel"/>
    <w:tmpl w:val="F13D5BA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C1FC0B"/>
    <w:multiLevelType w:val="singleLevel"/>
    <w:tmpl w:val="29C1FC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MDQ2ODIzNGUwZmE2ZjIzNTAxNWEyMjUxZjI2NWIifQ=="/>
  </w:docVars>
  <w:rsids>
    <w:rsidRoot w:val="7F64717B"/>
    <w:rsid w:val="27237751"/>
    <w:rsid w:val="356A4AAD"/>
    <w:rsid w:val="485017AB"/>
    <w:rsid w:val="7F64717B"/>
    <w:rsid w:val="7FB3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2024-04-12T00:55:00Z</dcterms:created>
  <dc:creator>赵娟</dc:creator>
  <cp:lastModifiedBy>赵娟</cp:lastModifiedBy>
  <dcterms:modified xsi:type="dcterms:W3CDTF">2024-04-12T03:13:10Z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081B34F87F534800B935BFDDEC96C834_11</vt:lpwstr>
  </property>
</Properties>
</file>