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desarrollo de KoPay</w:t>
      </w:r>
    </w:p>
    <w:p>
      <w:pPr>
        <w:pStyle w:val="Subtitle"/>
      </w:pPr>
      <w:r>
        <w:t>Aplicación móvil de finanzas personales · Versión 4 · 8 de octubre de 2026</w:t>
      </w:r>
    </w:p>
    <w:p>
      <w:r>
        <w:t>Plan integral del 8 de octubre al 15 de diciembre de 2026. El desarrollo se organizará desde la estructura inicial de Flutter hasta el backend Node.js, las vistas de usuario y contador, las pruebas y el APK. Cada avance se registrará en el repositorio de entrega con evidencia real.</w:t>
      </w:r>
    </w:p>
    <w:p>
      <w:pPr>
        <w:pStyle w:val="Heading1"/>
      </w:pPr>
      <w:r>
        <w:t>1 Propósito y producto objetivo</w:t>
      </w:r>
    </w:p>
    <w:p>
      <w:r>
        <w:t>KoPay permitirá controlar ingresos, gastos, tarjetas, deudas y pagos próximos. La persona usuaria consultará movimientos y balance mensual. Una cuenta de contador tendrá una vista propia para consultar resumen y movimientos de personas que la autoricen expresamente. La persona usuaria podrá revocar el permiso y el contador no podrá modificar registros ajenos.</w:t>
      </w:r>
    </w:p>
    <w:p>
      <w:pPr>
        <w:pStyle w:val="Heading1"/>
      </w:pPr>
      <w:r>
        <w:t>2 Forma de trabajo y trazabilidad</w:t>
      </w:r>
    </w:p>
    <w:p>
      <w:r>
        <w:t>El equipo desarrollará KoPay por módulos en el repositorio de entrega. Las tarjetas del Project establecerán objetivo, responsable, sprint, dependencia y criterio de aceptación. Cada cambio de código se vinculará con su Issue y Pull Request; las pruebas registrarán fecha, datos y resultado observado. El plan expresa trabajo previsto y no acredita tareas concluidas.</w:t>
      </w:r>
    </w:p>
    <w:p>
      <w:pPr>
        <w:pStyle w:val="Heading1"/>
      </w:pPr>
      <w:r>
        <w:t>3 Alcance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041"/>
            <w:shd w:fill="DDEFE8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5499"/>
            <w:shd w:fill="DDEFE8"/>
          </w:tcPr>
          <w:p>
            <w:r>
              <w:rPr>
                <w:b/>
              </w:rPr>
              <w:t>Funciones previstas</w:t>
            </w:r>
          </w:p>
        </w:tc>
        <w:tc>
          <w:tcPr>
            <w:tcW w:type="dxa" w:w="1247"/>
            <w:shd w:fill="DDEFE8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2041"/>
            <w:vAlign w:val="center"/>
          </w:tcPr>
          <w:p>
            <w:r>
              <w:t>Base móvil</w:t>
            </w:r>
          </w:p>
        </w:tc>
        <w:tc>
          <w:tcPr>
            <w:tcW w:type="dxa" w:w="5499"/>
            <w:vAlign w:val="center"/>
          </w:tcPr>
          <w:p>
            <w:r>
              <w:t>Flutter, navegación, estado y SQLite local.</w:t>
            </w:r>
          </w:p>
        </w:tc>
        <w:tc>
          <w:tcPr>
            <w:tcW w:type="dxa" w:w="1247"/>
            <w:vAlign w:val="center"/>
          </w:tcPr>
          <w:p>
            <w:r>
              <w:t>1</w:t>
            </w:r>
          </w:p>
        </w:tc>
      </w:tr>
      <w:tr>
        <w:tc>
          <w:tcPr>
            <w:tcW w:type="dxa" w:w="2041"/>
            <w:vAlign w:val="center"/>
          </w:tcPr>
          <w:p>
            <w:r>
              <w:t>Finanzas</w:t>
            </w:r>
          </w:p>
        </w:tc>
        <w:tc>
          <w:tcPr>
            <w:tcW w:type="dxa" w:w="5499"/>
            <w:vAlign w:val="center"/>
          </w:tcPr>
          <w:p>
            <w:r>
              <w:t>Movimientos, ingresos, historial y resumen mensual.</w:t>
            </w:r>
          </w:p>
        </w:tc>
        <w:tc>
          <w:tcPr>
            <w:tcW w:type="dxa" w:w="1247"/>
            <w:vAlign w:val="center"/>
          </w:tcPr>
          <w:p>
            <w:r>
              <w:t>1 y 5</w:t>
            </w:r>
          </w:p>
        </w:tc>
      </w:tr>
      <w:tr>
        <w:tc>
          <w:tcPr>
            <w:tcW w:type="dxa" w:w="2041"/>
            <w:vAlign w:val="center"/>
          </w:tcPr>
          <w:p>
            <w:r>
              <w:t>Tarjetas y deudas</w:t>
            </w:r>
          </w:p>
        </w:tc>
        <w:tc>
          <w:tcPr>
            <w:tcW w:type="dxa" w:w="5499"/>
            <w:vAlign w:val="center"/>
          </w:tcPr>
          <w:p>
            <w:r>
              <w:t>Tarjetas, pagos, saldos y próximos vencimientos.</w:t>
            </w:r>
          </w:p>
        </w:tc>
        <w:tc>
          <w:tcPr>
            <w:tcW w:type="dxa" w:w="1247"/>
            <w:vAlign w:val="center"/>
          </w:tcPr>
          <w:p>
            <w:r>
              <w:t>2 y 5</w:t>
            </w:r>
          </w:p>
        </w:tc>
      </w:tr>
      <w:tr>
        <w:tc>
          <w:tcPr>
            <w:tcW w:type="dxa" w:w="2041"/>
            <w:vAlign w:val="center"/>
          </w:tcPr>
          <w:p>
            <w:r>
              <w:t>Ajustes</w:t>
            </w:r>
          </w:p>
        </w:tc>
        <w:tc>
          <w:tcPr>
            <w:tcW w:type="dxa" w:w="5499"/>
            <w:vAlign w:val="center"/>
          </w:tcPr>
          <w:p>
            <w:r>
              <w:t>Categorías, moneda, idioma, exportar XLSX, importar CSV y borrar datos locales.</w:t>
            </w:r>
          </w:p>
        </w:tc>
        <w:tc>
          <w:tcPr>
            <w:tcW w:type="dxa" w:w="1247"/>
            <w:vAlign w:val="center"/>
          </w:tcPr>
          <w:p>
            <w:r>
              <w:t>2</w:t>
            </w:r>
          </w:p>
        </w:tc>
      </w:tr>
      <w:tr>
        <w:tc>
          <w:tcPr>
            <w:tcW w:type="dxa" w:w="2041"/>
            <w:vAlign w:val="center"/>
          </w:tcPr>
          <w:p>
            <w:r>
              <w:t>Cuentas</w:t>
            </w:r>
          </w:p>
        </w:tc>
        <w:tc>
          <w:tcPr>
            <w:tcW w:type="dxa" w:w="5499"/>
            <w:vAlign w:val="center"/>
          </w:tcPr>
          <w:p>
            <w:r>
              <w:t>Registro, login, recuperación, sesión y rutas protegidas.</w:t>
            </w:r>
          </w:p>
        </w:tc>
        <w:tc>
          <w:tcPr>
            <w:tcW w:type="dxa" w:w="1247"/>
            <w:vAlign w:val="center"/>
          </w:tcPr>
          <w:p>
            <w:r>
              <w:t>3 y 4</w:t>
            </w:r>
          </w:p>
        </w:tc>
      </w:tr>
      <w:tr>
        <w:tc>
          <w:tcPr>
            <w:tcW w:type="dxa" w:w="2041"/>
            <w:vAlign w:val="center"/>
          </w:tcPr>
          <w:p>
            <w:r>
              <w:t>Backend</w:t>
            </w:r>
          </w:p>
        </w:tc>
        <w:tc>
          <w:tcPr>
            <w:tcW w:type="dxa" w:w="5499"/>
            <w:vAlign w:val="center"/>
          </w:tcPr>
          <w:p>
            <w:r>
              <w:t>API Node.js, ambientes y base administrada por cuenta.</w:t>
            </w:r>
          </w:p>
        </w:tc>
        <w:tc>
          <w:tcPr>
            <w:tcW w:type="dxa" w:w="1247"/>
            <w:vAlign w:val="center"/>
          </w:tcPr>
          <w:p>
            <w:r>
              <w:t>3 a 5</w:t>
            </w:r>
          </w:p>
        </w:tc>
      </w:tr>
      <w:tr>
        <w:tc>
          <w:tcPr>
            <w:tcW w:type="dxa" w:w="2041"/>
            <w:vAlign w:val="center"/>
          </w:tcPr>
          <w:p>
            <w:r>
              <w:t>Contador</w:t>
            </w:r>
          </w:p>
        </w:tc>
        <w:tc>
          <w:tcPr>
            <w:tcW w:type="dxa" w:w="5499"/>
            <w:vAlign w:val="center"/>
          </w:tcPr>
          <w:p>
            <w:r>
              <w:t>Rol, autorización, revocación y vista de solo lectura.</w:t>
            </w:r>
          </w:p>
        </w:tc>
        <w:tc>
          <w:tcPr>
            <w:tcW w:type="dxa" w:w="1247"/>
            <w:vAlign w:val="center"/>
          </w:tcPr>
          <w:p>
            <w:r>
              <w:t>1; 3 a 5</w:t>
            </w:r>
          </w:p>
        </w:tc>
      </w:tr>
      <w:tr>
        <w:tc>
          <w:tcPr>
            <w:tcW w:type="dxa" w:w="2041"/>
            <w:vAlign w:val="center"/>
          </w:tcPr>
          <w:p>
            <w:r>
              <w:t>Entrega</w:t>
            </w:r>
          </w:p>
        </w:tc>
        <w:tc>
          <w:tcPr>
            <w:tcW w:type="dxa" w:w="5499"/>
            <w:vAlign w:val="center"/>
          </w:tcPr>
          <w:p>
            <w:r>
              <w:t>Servicio externo, pruebas, evidencias, APK y demo.</w:t>
            </w:r>
          </w:p>
        </w:tc>
        <w:tc>
          <w:tcPr>
            <w:tcW w:type="dxa" w:w="1247"/>
            <w:vAlign w:val="center"/>
          </w:tcPr>
          <w:p>
            <w:r>
              <w:t>Todos; cierre 5</w:t>
            </w:r>
          </w:p>
        </w:tc>
      </w:tr>
    </w:tbl>
    <w:p/>
    <w:p>
      <w:r>
        <w:t>La exportación XLSX y la importación CSV son procesos distintos. Se definirá y comprobará un proveedor PostgreSQL administrado. La consulta informativa de tipos de cambio se integrará con un servicio externo y la recuperación por correo requerirá configurar un remitente.</w:t>
      </w:r>
    </w:p>
    <w:p>
      <w:pPr>
        <w:pStyle w:val="Heading1"/>
      </w:pPr>
      <w:r>
        <w:t>4 Flujo principal del gasto</w:t>
      </w:r>
    </w:p>
    <w:p>
      <w:r>
        <w:t>La persona registrará un gasto; se validarán el importe y la descripción; el dato se guardará, aparecerá en Movimientos y actualizará el resumen mensual.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889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pay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8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Flujo previsto del almacenamiento local. La sincronización remota se desarrollará y comprobará en los sprints correspondientes.</w:t>
      </w:r>
    </w:p>
    <w:p>
      <w:pPr>
        <w:pStyle w:val="Heading1"/>
      </w:pPr>
      <w:r>
        <w:t>5 Vista de contador y permisos</w:t>
      </w:r>
    </w:p>
    <w:p>
      <w:pPr>
        <w:pStyle w:val="ListBullet"/>
      </w:pPr>
      <w:r>
        <w:t>Una cuenta con rol de contador iniciará sesión y accederá a una navegación propia.</w:t>
      </w:r>
    </w:p>
    <w:p>
      <w:pPr>
        <w:pStyle w:val="ListBullet"/>
      </w:pPr>
      <w:r>
        <w:t>La persona usuaria autorizará a un contador específico y podrá revocar el acceso.</w:t>
      </w:r>
    </w:p>
    <w:p>
      <w:pPr>
        <w:pStyle w:val="ListBullet"/>
      </w:pPr>
      <w:r>
        <w:t>El contador verá únicamente clientes con permiso vigente y sus datos del periodo seleccionado.</w:t>
      </w:r>
    </w:p>
    <w:p>
      <w:pPr>
        <w:pStyle w:val="ListBullet"/>
      </w:pPr>
      <w:r>
        <w:t>La API Node.js comprobará la autorización en cada consulta y rechazará escrituras sobre finanzas ajenas.</w:t>
      </w:r>
    </w:p>
    <w:p>
      <w:pPr>
        <w:pStyle w:val="ListBullet"/>
      </w:pPr>
      <w:r>
        <w:t>Los Sprints 3 a 5 desarrollarán la autenticación, los permisos, la vista de contador y sus pruebas.</w:t>
      </w:r>
    </w:p>
    <w:p>
      <w:pPr>
        <w:pStyle w:val="Heading1"/>
      </w:pPr>
      <w:r>
        <w:t>6 Calendario y responsables propuestos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DDEFE8"/>
          </w:tcPr>
          <w:p>
            <w:r>
              <w:rPr>
                <w:b/>
              </w:rPr>
              <w:t>Sprint y fechas</w:t>
            </w:r>
          </w:p>
        </w:tc>
        <w:tc>
          <w:tcPr>
            <w:tcW w:type="dxa" w:w="6520"/>
            <w:shd w:fill="DDEFE8"/>
          </w:tcPr>
          <w:p>
            <w:r>
              <w:rPr>
                <w:b/>
              </w:rPr>
              <w:t>Resultado previsto</w:t>
            </w:r>
          </w:p>
        </w:tc>
      </w:tr>
      <w:tr>
        <w:tc>
          <w:tcPr>
            <w:tcW w:type="dxa" w:w="2268"/>
            <w:vAlign w:val="center"/>
          </w:tcPr>
          <w:p>
            <w:r>
              <w:t>1 · 8–23 oct.</w:t>
            </w:r>
          </w:p>
        </w:tc>
        <w:tc>
          <w:tcPr>
            <w:tcW w:type="dxa" w:w="6520"/>
            <w:vAlign w:val="center"/>
          </w:tcPr>
          <w:p>
            <w:r>
              <w:t>Base Flutter, finanzas principales y alcance de usuario y contador.</w:t>
            </w:r>
          </w:p>
        </w:tc>
      </w:tr>
      <w:tr>
        <w:tc>
          <w:tcPr>
            <w:tcW w:type="dxa" w:w="2268"/>
            <w:vAlign w:val="center"/>
          </w:tcPr>
          <w:p>
            <w:r>
              <w:t>2 · 24 oct.–6 nov.</w:t>
            </w:r>
          </w:p>
        </w:tc>
        <w:tc>
          <w:tcPr>
            <w:tcW w:type="dxa" w:w="6520"/>
            <w:vAlign w:val="center"/>
          </w:tcPr>
          <w:p>
            <w:r>
              <w:t>Tarjetas, deudas, pagos, ajustes, respaldo y borrado local.</w:t>
            </w:r>
          </w:p>
        </w:tc>
      </w:tr>
      <w:tr>
        <w:tc>
          <w:tcPr>
            <w:tcW w:type="dxa" w:w="2268"/>
            <w:vAlign w:val="center"/>
          </w:tcPr>
          <w:p>
            <w:r>
              <w:t>3 · 7–20 nov.</w:t>
            </w:r>
          </w:p>
        </w:tc>
        <w:tc>
          <w:tcPr>
            <w:tcW w:type="dxa" w:w="6520"/>
            <w:vAlign w:val="center"/>
          </w:tcPr>
          <w:p>
            <w:r>
              <w:t>Node.js, base remota, usuarios, roles y login inicial.</w:t>
            </w:r>
          </w:p>
        </w:tc>
      </w:tr>
      <w:tr>
        <w:tc>
          <w:tcPr>
            <w:tcW w:type="dxa" w:w="2268"/>
            <w:vAlign w:val="center"/>
          </w:tcPr>
          <w:p>
            <w:r>
              <w:t>4 · 21 nov.–4 dic.</w:t>
            </w:r>
          </w:p>
        </w:tc>
        <w:tc>
          <w:tcPr>
            <w:tcW w:type="dxa" w:w="6520"/>
            <w:vAlign w:val="center"/>
          </w:tcPr>
          <w:p>
            <w:r>
              <w:t>Sesiones, recuperación, RBAC y estructura de vista de contador.</w:t>
            </w:r>
          </w:p>
        </w:tc>
      </w:tr>
      <w:tr>
        <w:tc>
          <w:tcPr>
            <w:tcW w:type="dxa" w:w="2268"/>
            <w:vAlign w:val="center"/>
          </w:tcPr>
          <w:p>
            <w:r>
              <w:t>5 · 5–15 dic.</w:t>
            </w:r>
          </w:p>
        </w:tc>
        <w:tc>
          <w:tcPr>
            <w:tcW w:type="dxa" w:w="6520"/>
            <w:vAlign w:val="center"/>
          </w:tcPr>
          <w:p>
            <w:r>
              <w:t>API financiera, contador funcional, sincronización, pruebas y APK.</w:t>
            </w:r>
          </w:p>
        </w:tc>
      </w:tr>
    </w:tbl>
    <w:p/>
    <w:p>
      <w:r>
        <w:t>Las 97 actividades tienen Issue, milestone y responsable propuesto en el Project. El tablero registra su estado. El límite WIP es una tarea activa por desarrollador.</w:t>
      </w:r>
    </w:p>
    <w:p>
      <w:pPr>
        <w:pStyle w:val="Heading1"/>
        <w:pageBreakBefore/>
      </w:pPr>
      <w:r>
        <w:t>7 Historias, pruebas y evidencias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DDEFE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520"/>
            <w:shd w:fill="DDEFE8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2268"/>
            <w:vAlign w:val="center"/>
          </w:tcPr>
          <w:p>
            <w:r>
              <w:t>Historias de usuario</w:t>
            </w:r>
          </w:p>
        </w:tc>
        <w:tc>
          <w:tcPr>
            <w:tcW w:type="dxa" w:w="6520"/>
            <w:vAlign w:val="center"/>
          </w:tcPr>
          <w:p>
            <w:r>
              <w:t>docs/historias-de-usuario.md: 42 historias con criterios verificables.</w:t>
            </w:r>
          </w:p>
        </w:tc>
      </w:tr>
      <w:tr>
        <w:tc>
          <w:tcPr>
            <w:tcW w:type="dxa" w:w="2268"/>
            <w:vAlign w:val="center"/>
          </w:tcPr>
          <w:p>
            <w:r>
              <w:t>Plan de pruebas</w:t>
            </w:r>
          </w:p>
        </w:tc>
        <w:tc>
          <w:tcPr>
            <w:tcW w:type="dxa" w:w="6520"/>
            <w:vAlign w:val="center"/>
          </w:tcPr>
          <w:p>
            <w:r>
              <w:t>docs/plan-de-pruebas.md: 85 casos propuestos: 79 unitarios, 3 de interfaz y 3 de integración; ninguno se declara aprobado sin ejecución.</w:t>
            </w:r>
          </w:p>
        </w:tc>
      </w:tr>
      <w:tr>
        <w:tc>
          <w:tcPr>
            <w:tcW w:type="dxa" w:w="2268"/>
            <w:vAlign w:val="center"/>
          </w:tcPr>
          <w:p>
            <w:r>
              <w:t>Backlog</w:t>
            </w:r>
          </w:p>
        </w:tc>
        <w:tc>
          <w:tcPr>
            <w:tcW w:type="dxa" w:w="6520"/>
            <w:vAlign w:val="center"/>
          </w:tcPr>
          <w:p>
            <w:r>
              <w:t>docs/backlog-desarrollo-desde-cero.md: 97 actividades con dependencias, responsable y criterio.</w:t>
            </w:r>
          </w:p>
        </w:tc>
      </w:tr>
      <w:tr>
        <w:tc>
          <w:tcPr>
            <w:tcW w:type="dxa" w:w="2268"/>
            <w:vAlign w:val="center"/>
          </w:tcPr>
          <w:p>
            <w:r>
              <w:t>Arquitectura</w:t>
            </w:r>
          </w:p>
        </w:tc>
        <w:tc>
          <w:tcPr>
            <w:tcW w:type="dxa" w:w="6520"/>
            <w:vAlign w:val="center"/>
          </w:tcPr>
          <w:p>
            <w:r>
              <w:t>docs/arquitectura.md: componentes, flujo y patrón de diseño propuestos.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Evidencias</w:t>
            </w:r>
          </w:p>
        </w:tc>
        <w:tc>
          <w:tcPr>
            <w:tcW w:type="dxa" w:w="6520"/>
            <w:vAlign w:val="center"/>
          </w:tcPr>
          <w:p>
            <w:r>
              <w:t>docs/guia-de-evidencias.md y registros del Project, PR y casos ejecutados.</w:t>
            </w:r>
          </w:p>
        </w:tc>
      </w:tr>
    </w:tbl>
    <w:p/>
    <w:p>
      <w:r>
        <w:t>Una prueba unitaria revisa lógica aislada; interfaz revisa lo visible; integración revisa varias capas. Cada ejecución registrará fecha, responsable, versión, dispositivo, datos y resultado observado. Las tarjetas y capturas planeadas no son evidencia de ejecución.</w:t>
      </w:r>
    </w:p>
    <w:p>
      <w:pPr>
        <w:pStyle w:val="Heading1"/>
      </w:pPr>
      <w:r>
        <w:t>8 Entrega y límites</w:t>
      </w:r>
    </w:p>
    <w:p>
      <w:r>
        <w:t>Se prevén código integrado, APK instalable y una demostración de la vista de usuario y la vista de contador. No se planifican conexión automática con bancos, edición de registros ajenos por el contador ni informes contables descargables. El Sprint 5 concentra API, contador y entrega; el equipo revisará capacidad y dependencias en cada cierre.</w:t>
      </w:r>
    </w:p>
    <w:p>
      <w:r>
        <w:t>Repositorio indicado: https://github.com/JanettheMillan/KoPay</w:t>
      </w:r>
    </w:p>
    <w:p>
      <w:r>
        <w:t>Project indicado: https://github.com/users/JanettheMillan/projects/3</w:t>
      </w:r>
    </w:p>
    <w:p>
      <w:r>
        <w:t>Este archivo resume el plan. Las tarjetas, historias, pruebas y resultados detallados se mantienen en los archivos Markdown del directorio docs/.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E2B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5B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95B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