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B247" w14:textId="3A0C7E42" w:rsidR="00C218CE" w:rsidRPr="00E87066" w:rsidRDefault="00E87066">
      <w:pPr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>PRUEBA DE COBERTURA</w:t>
      </w:r>
    </w:p>
    <w:p w14:paraId="201868B2" w14:textId="488763A1" w:rsidR="00E87066" w:rsidRPr="00E87066" w:rsidRDefault="00E87066">
      <w:pPr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>C</w:t>
      </w:r>
      <w:r w:rsidRPr="00E87066">
        <w:rPr>
          <w:rFonts w:ascii="Arial" w:hAnsi="Arial" w:cs="Arial"/>
          <w:sz w:val="22"/>
          <w:szCs w:val="22"/>
        </w:rPr>
        <w:t xml:space="preserve">alcularán el porcentaje de cobertura de código (Code </w:t>
      </w:r>
      <w:proofErr w:type="spellStart"/>
      <w:r w:rsidRPr="00E87066">
        <w:rPr>
          <w:rFonts w:ascii="Arial" w:hAnsi="Arial" w:cs="Arial"/>
          <w:sz w:val="22"/>
          <w:szCs w:val="22"/>
        </w:rPr>
        <w:t>Coverage</w:t>
      </w:r>
      <w:proofErr w:type="spellEnd"/>
      <w:r w:rsidRPr="00E87066">
        <w:rPr>
          <w:rFonts w:ascii="Arial" w:hAnsi="Arial" w:cs="Arial"/>
          <w:sz w:val="22"/>
          <w:szCs w:val="22"/>
        </w:rPr>
        <w:t>) que alcanzaron sus pruebas de Junit, justificando críticamente qué porcentaje de las líneas de la solicitud fueron efectivamente evaluadas.</w:t>
      </w:r>
    </w:p>
    <w:p w14:paraId="393B8DD3" w14:textId="170C8FB1" w:rsidR="00E87066" w:rsidRPr="00E87066" w:rsidRDefault="00E87066">
      <w:pPr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 xml:space="preserve">Para la medición y elaboración del reporte de cobertura de código, se empleó la herramienta </w:t>
      </w:r>
      <w:proofErr w:type="spellStart"/>
      <w:r w:rsidRPr="00E87066">
        <w:rPr>
          <w:rFonts w:ascii="Arial" w:hAnsi="Arial" w:cs="Arial"/>
          <w:b/>
          <w:bCs/>
          <w:sz w:val="22"/>
          <w:szCs w:val="22"/>
        </w:rPr>
        <w:t>JaCoCo</w:t>
      </w:r>
      <w:proofErr w:type="spellEnd"/>
      <w:r w:rsidRPr="00E87066">
        <w:rPr>
          <w:rFonts w:ascii="Arial" w:hAnsi="Arial" w:cs="Arial"/>
          <w:sz w:val="22"/>
          <w:szCs w:val="22"/>
        </w:rPr>
        <w:t xml:space="preserve"> (</w:t>
      </w:r>
      <w:r w:rsidRPr="00E87066">
        <w:rPr>
          <w:rFonts w:ascii="Arial" w:hAnsi="Arial" w:cs="Arial"/>
          <w:i/>
          <w:iCs/>
          <w:sz w:val="22"/>
          <w:szCs w:val="22"/>
        </w:rPr>
        <w:t xml:space="preserve">Java Code </w:t>
      </w:r>
      <w:proofErr w:type="spellStart"/>
      <w:r w:rsidRPr="00E87066">
        <w:rPr>
          <w:rFonts w:ascii="Arial" w:hAnsi="Arial" w:cs="Arial"/>
          <w:i/>
          <w:iCs/>
          <w:sz w:val="22"/>
          <w:szCs w:val="22"/>
        </w:rPr>
        <w:t>Coverage</w:t>
      </w:r>
      <w:proofErr w:type="spellEnd"/>
      <w:r w:rsidRPr="00E87066">
        <w:rPr>
          <w:rFonts w:ascii="Arial" w:hAnsi="Arial" w:cs="Arial"/>
          <w:sz w:val="22"/>
          <w:szCs w:val="22"/>
        </w:rPr>
        <w:t>). Esta tecnología permitió analizar el porcentaje de código fuente evaluado de manera efectiva por las pruebas unitarias implementadas, asegurando así la calidad y robustez del desarrollo</w:t>
      </w:r>
    </w:p>
    <w:p w14:paraId="369DC57C" w14:textId="1AF8282A" w:rsidR="00E87066" w:rsidRPr="00E87066" w:rsidRDefault="00E87066">
      <w:pPr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D2987EF" wp14:editId="0B9A2E71">
            <wp:extent cx="5611443" cy="1303504"/>
            <wp:effectExtent l="0" t="0" r="0" b="0"/>
            <wp:docPr id="1570646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46532" name=""/>
                    <pic:cNvPicPr/>
                  </pic:nvPicPr>
                  <pic:blipFill rotWithShape="1">
                    <a:blip r:embed="rId5"/>
                    <a:srcRect t="7745" b="57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03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E1693" w14:textId="77777777" w:rsidR="00E87066" w:rsidRPr="00E87066" w:rsidRDefault="00E87066" w:rsidP="00E870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 xml:space="preserve">El presente informe presenta la interpretación de los resultados de cobertura de código obtenidos mediante la herramienta </w:t>
      </w:r>
      <w:proofErr w:type="spellStart"/>
      <w:r w:rsidRPr="00E87066">
        <w:rPr>
          <w:rFonts w:ascii="Arial" w:hAnsi="Arial" w:cs="Arial"/>
          <w:sz w:val="22"/>
          <w:szCs w:val="22"/>
        </w:rPr>
        <w:t>JaCoCo</w:t>
      </w:r>
      <w:proofErr w:type="spellEnd"/>
      <w:r w:rsidRPr="00E87066">
        <w:rPr>
          <w:rFonts w:ascii="Arial" w:hAnsi="Arial" w:cs="Arial"/>
          <w:sz w:val="22"/>
          <w:szCs w:val="22"/>
        </w:rPr>
        <w:t>. El análisis evidencia que los componentes críticos y de lógica de negocio del software cuentan con un respaldo robusto de pruebas unitarias, mientras que las variaciones en el porcentaje global responden a la arquitectura propia de una aplicación de escritorio basada en interfaces gráficas.</w:t>
      </w:r>
    </w:p>
    <w:p w14:paraId="4E84C265" w14:textId="7A54DCBB" w:rsidR="00E87066" w:rsidRPr="00E87066" w:rsidRDefault="00E87066" w:rsidP="00E870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>Desglose de Cobertura por Paquetes</w:t>
      </w:r>
    </w:p>
    <w:p w14:paraId="562270FD" w14:textId="77777777" w:rsidR="00E87066" w:rsidRPr="00E87066" w:rsidRDefault="00E87066" w:rsidP="00E87066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E87066">
        <w:rPr>
          <w:rFonts w:ascii="Arial" w:hAnsi="Arial" w:cs="Arial"/>
          <w:sz w:val="22"/>
          <w:szCs w:val="22"/>
        </w:rPr>
        <w:t>Modelo.Clases</w:t>
      </w:r>
      <w:proofErr w:type="spellEnd"/>
      <w:r w:rsidRPr="00E87066">
        <w:rPr>
          <w:rFonts w:ascii="Arial" w:hAnsi="Arial" w:cs="Arial"/>
          <w:sz w:val="22"/>
          <w:szCs w:val="22"/>
        </w:rPr>
        <w:t xml:space="preserve"> (99% de Cobertura):</w:t>
      </w:r>
    </w:p>
    <w:p w14:paraId="025571A8" w14:textId="77777777" w:rsidR="00E87066" w:rsidRPr="00E87066" w:rsidRDefault="00E87066" w:rsidP="00E870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>Representa un nivel de validación prácticamente perfecto.</w:t>
      </w:r>
    </w:p>
    <w:p w14:paraId="22F5E20C" w14:textId="77777777" w:rsidR="00E87066" w:rsidRPr="00E87066" w:rsidRDefault="00E87066" w:rsidP="00E870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>Confirma que la totalidad de las entidades del modelo, constructores, métodos de acceso (</w:t>
      </w:r>
      <w:proofErr w:type="spellStart"/>
      <w:r w:rsidRPr="00E87066">
        <w:rPr>
          <w:rFonts w:ascii="Arial" w:hAnsi="Arial" w:cs="Arial"/>
          <w:sz w:val="22"/>
          <w:szCs w:val="22"/>
        </w:rPr>
        <w:t>getters</w:t>
      </w:r>
      <w:proofErr w:type="spellEnd"/>
      <w:r w:rsidRPr="00E87066">
        <w:rPr>
          <w:rFonts w:ascii="Arial" w:hAnsi="Arial" w:cs="Arial"/>
          <w:sz w:val="22"/>
          <w:szCs w:val="22"/>
        </w:rPr>
        <w:t>) y modificación (</w:t>
      </w:r>
      <w:proofErr w:type="spellStart"/>
      <w:r w:rsidRPr="00E87066">
        <w:rPr>
          <w:rFonts w:ascii="Arial" w:hAnsi="Arial" w:cs="Arial"/>
          <w:sz w:val="22"/>
          <w:szCs w:val="22"/>
        </w:rPr>
        <w:t>setters</w:t>
      </w:r>
      <w:proofErr w:type="spellEnd"/>
      <w:r w:rsidRPr="00E87066">
        <w:rPr>
          <w:rFonts w:ascii="Arial" w:hAnsi="Arial" w:cs="Arial"/>
          <w:sz w:val="22"/>
          <w:szCs w:val="22"/>
        </w:rPr>
        <w:t xml:space="preserve">) se encuentran evaluados mediante pruebas unitarias automatizadas con </w:t>
      </w:r>
      <w:proofErr w:type="spellStart"/>
      <w:r w:rsidRPr="00E87066">
        <w:rPr>
          <w:rFonts w:ascii="Arial" w:hAnsi="Arial" w:cs="Arial"/>
          <w:sz w:val="22"/>
          <w:szCs w:val="22"/>
        </w:rPr>
        <w:t>JUnit</w:t>
      </w:r>
      <w:proofErr w:type="spellEnd"/>
      <w:r w:rsidRPr="00E87066">
        <w:rPr>
          <w:rFonts w:ascii="Arial" w:hAnsi="Arial" w:cs="Arial"/>
          <w:sz w:val="22"/>
          <w:szCs w:val="22"/>
        </w:rPr>
        <w:t>.</w:t>
      </w:r>
    </w:p>
    <w:p w14:paraId="4DED99B0" w14:textId="77777777" w:rsidR="00E87066" w:rsidRPr="00E87066" w:rsidRDefault="00E87066" w:rsidP="00E87066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E87066">
        <w:rPr>
          <w:rFonts w:ascii="Arial" w:hAnsi="Arial" w:cs="Arial"/>
          <w:sz w:val="22"/>
          <w:szCs w:val="22"/>
        </w:rPr>
        <w:t>Modelo.DAO</w:t>
      </w:r>
      <w:proofErr w:type="spellEnd"/>
      <w:r w:rsidRPr="00E87066">
        <w:rPr>
          <w:rFonts w:ascii="Arial" w:hAnsi="Arial" w:cs="Arial"/>
          <w:sz w:val="22"/>
          <w:szCs w:val="22"/>
        </w:rPr>
        <w:t xml:space="preserve"> (95% de Instrucciones / 79% de Ramas):</w:t>
      </w:r>
    </w:p>
    <w:p w14:paraId="2F2DCFAD" w14:textId="77777777" w:rsidR="00E87066" w:rsidRPr="00E87066" w:rsidRDefault="00E87066" w:rsidP="00E870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>Muestra un puntaje sobresaliente en la capa de persistencia y acceso a datos.</w:t>
      </w:r>
    </w:p>
    <w:p w14:paraId="0B84F86B" w14:textId="77777777" w:rsidR="00E87066" w:rsidRPr="00E87066" w:rsidRDefault="00E87066" w:rsidP="00E870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>Indica que la gran mayoría de las consultas, operaciones de almacenamiento y transacciones hacia la base de datos están protegidas por rutinas de prueba.</w:t>
      </w:r>
    </w:p>
    <w:p w14:paraId="073AC8D0" w14:textId="77777777" w:rsidR="00E87066" w:rsidRPr="00E87066" w:rsidRDefault="00E87066" w:rsidP="00E87066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>Vista (0% de Cobertura):</w:t>
      </w:r>
    </w:p>
    <w:p w14:paraId="75367FEB" w14:textId="77777777" w:rsidR="00E87066" w:rsidRPr="00E87066" w:rsidRDefault="00E87066" w:rsidP="00E870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>Concentra la mayor densidad de líneas de código del sistema (4,780 de un total de 6,173).</w:t>
      </w:r>
    </w:p>
    <w:p w14:paraId="46D64897" w14:textId="77777777" w:rsidR="00E87066" w:rsidRPr="00E87066" w:rsidRDefault="00E87066" w:rsidP="00E870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 xml:space="preserve">Este comportamiento es técnicamente esperado y estándar en arquitecturas de software con interfaces gráficas (como Java Swing o </w:t>
      </w:r>
      <w:proofErr w:type="spellStart"/>
      <w:r w:rsidRPr="00E87066">
        <w:rPr>
          <w:rFonts w:ascii="Arial" w:hAnsi="Arial" w:cs="Arial"/>
          <w:sz w:val="22"/>
          <w:szCs w:val="22"/>
        </w:rPr>
        <w:t>JavaFX</w:t>
      </w:r>
      <w:proofErr w:type="spellEnd"/>
      <w:r w:rsidRPr="00E87066">
        <w:rPr>
          <w:rFonts w:ascii="Arial" w:hAnsi="Arial" w:cs="Arial"/>
          <w:sz w:val="22"/>
          <w:szCs w:val="22"/>
        </w:rPr>
        <w:t>), las cuales se validan comúnmente mediante pruebas de interacción de usuario o pruebas manuales, quedando fuera del ciclo tradicional de pruebas unitarias.</w:t>
      </w:r>
    </w:p>
    <w:p w14:paraId="25ABAA30" w14:textId="77777777" w:rsidR="00E87066" w:rsidRPr="00E87066" w:rsidRDefault="00E87066" w:rsidP="00E87066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E87066">
        <w:rPr>
          <w:rFonts w:ascii="Arial" w:hAnsi="Arial" w:cs="Arial"/>
          <w:sz w:val="22"/>
          <w:szCs w:val="22"/>
        </w:rPr>
        <w:t>proyectopasteleria</w:t>
      </w:r>
      <w:proofErr w:type="spellEnd"/>
      <w:r w:rsidRPr="00E87066">
        <w:rPr>
          <w:rFonts w:ascii="Arial" w:hAnsi="Arial" w:cs="Arial"/>
          <w:sz w:val="22"/>
          <w:szCs w:val="22"/>
        </w:rPr>
        <w:t xml:space="preserve"> (0% de Cobertura):</w:t>
      </w:r>
    </w:p>
    <w:p w14:paraId="45ACCB67" w14:textId="77777777" w:rsidR="00E87066" w:rsidRPr="00E87066" w:rsidRDefault="00E87066" w:rsidP="00E870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lastRenderedPageBreak/>
        <w:t>Corresponde al paquete principal que alberga la clase de inicio o punto de entrada (Main), la cual no contiene lógica de negocio ejecutable por unidades de prueba independientes.</w:t>
      </w:r>
    </w:p>
    <w:p w14:paraId="777FF9D5" w14:textId="77777777" w:rsidR="00E87066" w:rsidRPr="00E87066" w:rsidRDefault="00E87066">
      <w:pPr>
        <w:rPr>
          <w:rFonts w:ascii="Arial" w:hAnsi="Arial" w:cs="Arial"/>
          <w:sz w:val="22"/>
          <w:szCs w:val="22"/>
        </w:rPr>
      </w:pPr>
    </w:p>
    <w:p w14:paraId="75EF21E1" w14:textId="65BB6E9D" w:rsidR="00E87066" w:rsidRPr="00E87066" w:rsidRDefault="00E87066">
      <w:pPr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28F73CB" wp14:editId="43350EB6">
            <wp:extent cx="5611366" cy="2027976"/>
            <wp:effectExtent l="0" t="0" r="0" b="0"/>
            <wp:docPr id="1650278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78435" name=""/>
                    <pic:cNvPicPr/>
                  </pic:nvPicPr>
                  <pic:blipFill rotWithShape="1">
                    <a:blip r:embed="rId6"/>
                    <a:srcRect t="8711" b="37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28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55446" w14:textId="0788382E" w:rsidR="00E87066" w:rsidRPr="00E87066" w:rsidRDefault="00E87066" w:rsidP="00E87066">
      <w:pPr>
        <w:jc w:val="both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 xml:space="preserve">De las 17 clases que conforman el paquete, </w:t>
      </w:r>
      <w:r w:rsidRPr="00E87066">
        <w:rPr>
          <w:rFonts w:ascii="Arial" w:hAnsi="Arial" w:cs="Arial"/>
          <w:b/>
          <w:bCs/>
          <w:sz w:val="22"/>
          <w:szCs w:val="22"/>
        </w:rPr>
        <w:t>16 clases alcanzan un rendimiento perfecto del 100% de cobertura</w:t>
      </w:r>
      <w:r w:rsidRPr="00E87066">
        <w:rPr>
          <w:rFonts w:ascii="Arial" w:hAnsi="Arial" w:cs="Arial"/>
          <w:sz w:val="22"/>
          <w:szCs w:val="22"/>
        </w:rPr>
        <w:t xml:space="preserve"> (con 0 instrucciones y líneas omitidas). Esto incluye a entidades clave como </w:t>
      </w:r>
      <w:proofErr w:type="spellStart"/>
      <w:r w:rsidRPr="00E87066">
        <w:rPr>
          <w:rFonts w:ascii="Arial" w:hAnsi="Arial" w:cs="Arial"/>
          <w:sz w:val="22"/>
          <w:szCs w:val="22"/>
        </w:rPr>
        <w:t>HojaCostos</w:t>
      </w:r>
      <w:proofErr w:type="spellEnd"/>
      <w:r w:rsidRPr="00E87066">
        <w:rPr>
          <w:rFonts w:ascii="Arial" w:hAnsi="Arial" w:cs="Arial"/>
          <w:sz w:val="22"/>
          <w:szCs w:val="22"/>
        </w:rPr>
        <w:t>, Empleado, Producto, Pedido, Venta, entre otras.</w:t>
      </w:r>
    </w:p>
    <w:p w14:paraId="075A623E" w14:textId="77777777" w:rsidR="00E87066" w:rsidRPr="00E87066" w:rsidRDefault="00E87066" w:rsidP="00E87066">
      <w:pPr>
        <w:jc w:val="both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b/>
          <w:bCs/>
          <w:sz w:val="22"/>
          <w:szCs w:val="22"/>
        </w:rPr>
        <w:t xml:space="preserve">Excepción Menor en la Clase </w:t>
      </w:r>
      <w:proofErr w:type="spellStart"/>
      <w:r w:rsidRPr="00E87066">
        <w:rPr>
          <w:rFonts w:ascii="Arial" w:hAnsi="Arial" w:cs="Arial"/>
          <w:b/>
          <w:bCs/>
          <w:sz w:val="22"/>
          <w:szCs w:val="22"/>
        </w:rPr>
        <w:t>Sesion</w:t>
      </w:r>
      <w:proofErr w:type="spellEnd"/>
      <w:r w:rsidRPr="00E87066">
        <w:rPr>
          <w:rFonts w:ascii="Arial" w:hAnsi="Arial" w:cs="Arial"/>
          <w:b/>
          <w:bCs/>
          <w:sz w:val="22"/>
          <w:szCs w:val="22"/>
        </w:rPr>
        <w:t xml:space="preserve"> (76%):</w:t>
      </w:r>
      <w:r w:rsidRPr="00E87066">
        <w:rPr>
          <w:rFonts w:ascii="Arial" w:hAnsi="Arial" w:cs="Arial"/>
          <w:sz w:val="22"/>
          <w:szCs w:val="22"/>
        </w:rPr>
        <w:t xml:space="preserve"> La única clase que muestra una cobertura parcial es </w:t>
      </w:r>
      <w:proofErr w:type="spellStart"/>
      <w:r w:rsidRPr="00E87066">
        <w:rPr>
          <w:rFonts w:ascii="Arial" w:hAnsi="Arial" w:cs="Arial"/>
          <w:sz w:val="22"/>
          <w:szCs w:val="22"/>
        </w:rPr>
        <w:t>Sesion</w:t>
      </w:r>
      <w:proofErr w:type="spellEnd"/>
      <w:r w:rsidRPr="00E87066">
        <w:rPr>
          <w:rFonts w:ascii="Arial" w:hAnsi="Arial" w:cs="Arial"/>
          <w:sz w:val="22"/>
          <w:szCs w:val="22"/>
        </w:rPr>
        <w:t xml:space="preserve"> con un </w:t>
      </w:r>
      <w:r w:rsidRPr="00E87066">
        <w:rPr>
          <w:rFonts w:ascii="Arial" w:hAnsi="Arial" w:cs="Arial"/>
          <w:b/>
          <w:bCs/>
          <w:sz w:val="22"/>
          <w:szCs w:val="22"/>
        </w:rPr>
        <w:t>76%</w:t>
      </w:r>
      <w:r w:rsidRPr="00E87066">
        <w:rPr>
          <w:rFonts w:ascii="Arial" w:hAnsi="Arial" w:cs="Arial"/>
          <w:sz w:val="22"/>
          <w:szCs w:val="22"/>
        </w:rPr>
        <w:t xml:space="preserve"> (1 línea/instrucción no alcanzada). Esto ocurre habitualmente porque </w:t>
      </w:r>
      <w:proofErr w:type="spellStart"/>
      <w:r w:rsidRPr="00E87066">
        <w:rPr>
          <w:rFonts w:ascii="Arial" w:hAnsi="Arial" w:cs="Arial"/>
          <w:sz w:val="22"/>
          <w:szCs w:val="22"/>
        </w:rPr>
        <w:t>Sesion</w:t>
      </w:r>
      <w:proofErr w:type="spellEnd"/>
      <w:r w:rsidRPr="00E87066">
        <w:rPr>
          <w:rFonts w:ascii="Arial" w:hAnsi="Arial" w:cs="Arial"/>
          <w:sz w:val="22"/>
          <w:szCs w:val="22"/>
        </w:rPr>
        <w:t xml:space="preserve"> maneja métodos y atributos estáticos (</w:t>
      </w:r>
      <w:proofErr w:type="spellStart"/>
      <w:r w:rsidRPr="00E87066">
        <w:rPr>
          <w:rFonts w:ascii="Arial" w:hAnsi="Arial" w:cs="Arial"/>
          <w:sz w:val="22"/>
          <w:szCs w:val="22"/>
        </w:rPr>
        <w:t>static</w:t>
      </w:r>
      <w:proofErr w:type="spellEnd"/>
      <w:r w:rsidRPr="00E87066">
        <w:rPr>
          <w:rFonts w:ascii="Arial" w:hAnsi="Arial" w:cs="Arial"/>
          <w:sz w:val="22"/>
          <w:szCs w:val="22"/>
        </w:rPr>
        <w:t>), y su constructor por defecto no suele ser instanciado explícitamente con new dentro de las pruebas, ya que se accede directamente a sus campos de clase.</w:t>
      </w:r>
    </w:p>
    <w:p w14:paraId="3A937452" w14:textId="056ED126" w:rsidR="00E87066" w:rsidRPr="00E87066" w:rsidRDefault="00E87066" w:rsidP="00E87066">
      <w:pPr>
        <w:jc w:val="both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b/>
          <w:bCs/>
          <w:sz w:val="22"/>
          <w:szCs w:val="22"/>
        </w:rPr>
        <w:t>Balance del Paquete:</w:t>
      </w:r>
      <w:r w:rsidRPr="00E87066">
        <w:rPr>
          <w:rFonts w:ascii="Arial" w:hAnsi="Arial" w:cs="Arial"/>
          <w:sz w:val="22"/>
          <w:szCs w:val="22"/>
        </w:rPr>
        <w:t xml:space="preserve"> A nivel global, el paquete mantiene un sólido </w:t>
      </w:r>
      <w:r w:rsidRPr="00E87066">
        <w:rPr>
          <w:rFonts w:ascii="Arial" w:hAnsi="Arial" w:cs="Arial"/>
          <w:b/>
          <w:bCs/>
          <w:sz w:val="22"/>
          <w:szCs w:val="22"/>
        </w:rPr>
        <w:t>99% de cobertura</w:t>
      </w:r>
      <w:r w:rsidRPr="00E87066">
        <w:rPr>
          <w:rFonts w:ascii="Arial" w:hAnsi="Arial" w:cs="Arial"/>
          <w:sz w:val="22"/>
          <w:szCs w:val="22"/>
        </w:rPr>
        <w:t>, validando exitosamente 210 métodos distribuidos en sus 328 líneas de código totales.</w:t>
      </w:r>
    </w:p>
    <w:p w14:paraId="45E23D37" w14:textId="7B0FD231" w:rsidR="00E87066" w:rsidRPr="00E87066" w:rsidRDefault="00E87066" w:rsidP="00E8706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87066">
        <w:rPr>
          <w:rFonts w:ascii="Arial" w:hAnsi="Arial" w:cs="Arial"/>
          <w:b/>
          <w:bCs/>
          <w:sz w:val="22"/>
          <w:szCs w:val="22"/>
        </w:rPr>
        <w:t>Conclusión del Componente</w:t>
      </w:r>
    </w:p>
    <w:p w14:paraId="13532F24" w14:textId="77777777" w:rsidR="00E87066" w:rsidRPr="00E87066" w:rsidRDefault="00E87066" w:rsidP="00E87066">
      <w:pPr>
        <w:jc w:val="both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 xml:space="preserve">Las pruebas unitarias implementadas con </w:t>
      </w:r>
      <w:proofErr w:type="spellStart"/>
      <w:r w:rsidRPr="00E87066">
        <w:rPr>
          <w:rFonts w:ascii="Arial" w:hAnsi="Arial" w:cs="Arial"/>
          <w:sz w:val="22"/>
          <w:szCs w:val="22"/>
        </w:rPr>
        <w:t>JUnit</w:t>
      </w:r>
      <w:proofErr w:type="spellEnd"/>
      <w:r w:rsidRPr="00E87066">
        <w:rPr>
          <w:rFonts w:ascii="Arial" w:hAnsi="Arial" w:cs="Arial"/>
          <w:sz w:val="22"/>
          <w:szCs w:val="22"/>
        </w:rPr>
        <w:t xml:space="preserve"> cubren de forma exhaustiva los constructores, métodos de acceso (</w:t>
      </w:r>
      <w:proofErr w:type="spellStart"/>
      <w:r w:rsidRPr="00E87066">
        <w:rPr>
          <w:rFonts w:ascii="Arial" w:hAnsi="Arial" w:cs="Arial"/>
          <w:i/>
          <w:iCs/>
          <w:sz w:val="22"/>
          <w:szCs w:val="22"/>
        </w:rPr>
        <w:t>getters</w:t>
      </w:r>
      <w:proofErr w:type="spellEnd"/>
      <w:r w:rsidRPr="00E87066">
        <w:rPr>
          <w:rFonts w:ascii="Arial" w:hAnsi="Arial" w:cs="Arial"/>
          <w:sz w:val="22"/>
          <w:szCs w:val="22"/>
        </w:rPr>
        <w:t>) y modificación (</w:t>
      </w:r>
      <w:proofErr w:type="spellStart"/>
      <w:r w:rsidRPr="00E87066">
        <w:rPr>
          <w:rFonts w:ascii="Arial" w:hAnsi="Arial" w:cs="Arial"/>
          <w:i/>
          <w:iCs/>
          <w:sz w:val="22"/>
          <w:szCs w:val="22"/>
        </w:rPr>
        <w:t>setters</w:t>
      </w:r>
      <w:proofErr w:type="spellEnd"/>
      <w:r w:rsidRPr="00E87066">
        <w:rPr>
          <w:rFonts w:ascii="Arial" w:hAnsi="Arial" w:cs="Arial"/>
          <w:sz w:val="22"/>
          <w:szCs w:val="22"/>
        </w:rPr>
        <w:t>) de todas las entidades del modelo. Esto garantiza que la estructura de datos del sistema sea completamente robusta y libre de errores de asignación o lectura en la capa lógica.</w:t>
      </w:r>
    </w:p>
    <w:p w14:paraId="13AD9063" w14:textId="77777777" w:rsidR="00E87066" w:rsidRPr="00E87066" w:rsidRDefault="00E87066">
      <w:pPr>
        <w:rPr>
          <w:rFonts w:ascii="Arial" w:hAnsi="Arial" w:cs="Arial"/>
          <w:sz w:val="22"/>
          <w:szCs w:val="22"/>
        </w:rPr>
      </w:pPr>
    </w:p>
    <w:p w14:paraId="4C9109E1" w14:textId="222A7928" w:rsidR="00E87066" w:rsidRPr="00E87066" w:rsidRDefault="00E87066">
      <w:pPr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276AB0D" wp14:editId="38925A22">
            <wp:extent cx="5611900" cy="2027976"/>
            <wp:effectExtent l="0" t="0" r="8255" b="0"/>
            <wp:docPr id="1981385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85502" name=""/>
                    <pic:cNvPicPr/>
                  </pic:nvPicPr>
                  <pic:blipFill rotWithShape="1">
                    <a:blip r:embed="rId7"/>
                    <a:srcRect t="9195" b="36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28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01703" w14:textId="77777777" w:rsidR="00E87066" w:rsidRPr="00E87066" w:rsidRDefault="00E87066" w:rsidP="00E87066">
      <w:pPr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 xml:space="preserve">El paquete </w:t>
      </w:r>
      <w:proofErr w:type="spellStart"/>
      <w:r w:rsidRPr="00E87066">
        <w:rPr>
          <w:rFonts w:ascii="Arial" w:hAnsi="Arial" w:cs="Arial"/>
          <w:b/>
          <w:bCs/>
          <w:sz w:val="22"/>
          <w:szCs w:val="22"/>
        </w:rPr>
        <w:t>Modelo.DAO</w:t>
      </w:r>
      <w:proofErr w:type="spellEnd"/>
      <w:r w:rsidRPr="00E87066">
        <w:rPr>
          <w:rFonts w:ascii="Arial" w:hAnsi="Arial" w:cs="Arial"/>
          <w:sz w:val="22"/>
          <w:szCs w:val="22"/>
        </w:rPr>
        <w:t xml:space="preserve"> representa el núcleo operativo y de persistencia del sistema, encargado de la comunicación directa con la base de datos, la ejecución de transacciones, consultas SQL y la manipulación de la información crítica del negocio.</w:t>
      </w:r>
    </w:p>
    <w:p w14:paraId="5ECF9C63" w14:textId="77777777" w:rsidR="00E87066" w:rsidRPr="00E87066" w:rsidRDefault="00E87066" w:rsidP="00E87066">
      <w:pPr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sz w:val="22"/>
          <w:szCs w:val="22"/>
        </w:rPr>
        <w:t xml:space="preserve">El análisis del reporte confirma un </w:t>
      </w:r>
      <w:r w:rsidRPr="00E87066">
        <w:rPr>
          <w:rFonts w:ascii="Arial" w:hAnsi="Arial" w:cs="Arial"/>
          <w:b/>
          <w:bCs/>
          <w:sz w:val="22"/>
          <w:szCs w:val="22"/>
        </w:rPr>
        <w:t>rendimiento sobresaliente y altamente confiable</w:t>
      </w:r>
      <w:r w:rsidRPr="00E87066">
        <w:rPr>
          <w:rFonts w:ascii="Arial" w:hAnsi="Arial" w:cs="Arial"/>
          <w:sz w:val="22"/>
          <w:szCs w:val="22"/>
        </w:rPr>
        <w:t xml:space="preserve"> en todo el módulo de gestión de datos, validando que la lógica de </w:t>
      </w:r>
      <w:proofErr w:type="spellStart"/>
      <w:r w:rsidRPr="00E87066">
        <w:rPr>
          <w:rFonts w:ascii="Arial" w:hAnsi="Arial" w:cs="Arial"/>
          <w:sz w:val="22"/>
          <w:szCs w:val="22"/>
        </w:rPr>
        <w:t>backend</w:t>
      </w:r>
      <w:proofErr w:type="spellEnd"/>
      <w:r w:rsidRPr="00E87066">
        <w:rPr>
          <w:rFonts w:ascii="Arial" w:hAnsi="Arial" w:cs="Arial"/>
          <w:sz w:val="22"/>
          <w:szCs w:val="22"/>
        </w:rPr>
        <w:t xml:space="preserve"> opera bajo estrictos parámetros de calidad y pruebas unitarias.</w:t>
      </w:r>
    </w:p>
    <w:p w14:paraId="494D81BE" w14:textId="5102E9AD" w:rsidR="00E87066" w:rsidRPr="00E87066" w:rsidRDefault="00E87066" w:rsidP="00E87066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b/>
          <w:bCs/>
          <w:sz w:val="22"/>
          <w:szCs w:val="22"/>
        </w:rPr>
        <w:t>Cobertura de Instrucciones (95%):</w:t>
      </w:r>
      <w:r w:rsidRPr="00E87066">
        <w:rPr>
          <w:rFonts w:ascii="Arial" w:hAnsi="Arial" w:cs="Arial"/>
          <w:sz w:val="22"/>
          <w:szCs w:val="22"/>
        </w:rPr>
        <w:t xml:space="preserve"> De un total de 3,400 instrucciones, se ejecutaron exitosamente 3,248, dejando únicamente 152 instrucciones sin evaluar.</w:t>
      </w:r>
    </w:p>
    <w:p w14:paraId="3D7726DF" w14:textId="5AC6FE86" w:rsidR="00E87066" w:rsidRPr="00E87066" w:rsidRDefault="00E87066" w:rsidP="00E87066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b/>
          <w:bCs/>
          <w:sz w:val="22"/>
          <w:szCs w:val="22"/>
        </w:rPr>
        <w:t>Cobertura de Ramas / Condiciones (79%):</w:t>
      </w:r>
      <w:r w:rsidRPr="00E87066">
        <w:rPr>
          <w:rFonts w:ascii="Arial" w:hAnsi="Arial" w:cs="Arial"/>
          <w:sz w:val="22"/>
          <w:szCs w:val="22"/>
        </w:rPr>
        <w:t xml:space="preserve"> De 130 rutas lógicas posibles (</w:t>
      </w:r>
      <w:proofErr w:type="spellStart"/>
      <w:r w:rsidRPr="00E87066">
        <w:rPr>
          <w:rFonts w:ascii="Arial" w:hAnsi="Arial" w:cs="Arial"/>
          <w:i/>
          <w:iCs/>
          <w:sz w:val="22"/>
          <w:szCs w:val="22"/>
        </w:rPr>
        <w:t>branches</w:t>
      </w:r>
      <w:proofErr w:type="spellEnd"/>
      <w:r w:rsidRPr="00E87066">
        <w:rPr>
          <w:rFonts w:ascii="Arial" w:hAnsi="Arial" w:cs="Arial"/>
          <w:sz w:val="22"/>
          <w:szCs w:val="22"/>
        </w:rPr>
        <w:t xml:space="preserve">), 103 se encuentran completamente cubiertas, lo que demuestra un control adecuado sobre las estructuras condicionales (sentencias </w:t>
      </w:r>
      <w:proofErr w:type="spellStart"/>
      <w:r w:rsidRPr="00E87066">
        <w:rPr>
          <w:rFonts w:ascii="Arial" w:hAnsi="Arial" w:cs="Arial"/>
          <w:sz w:val="22"/>
          <w:szCs w:val="22"/>
        </w:rPr>
        <w:t>if</w:t>
      </w:r>
      <w:proofErr w:type="spellEnd"/>
      <w:r w:rsidRPr="00E87066">
        <w:rPr>
          <w:rFonts w:ascii="Arial" w:hAnsi="Arial" w:cs="Arial"/>
          <w:sz w:val="22"/>
          <w:szCs w:val="22"/>
        </w:rPr>
        <w:t>/</w:t>
      </w:r>
      <w:proofErr w:type="spellStart"/>
      <w:r w:rsidRPr="00E87066">
        <w:rPr>
          <w:rFonts w:ascii="Arial" w:hAnsi="Arial" w:cs="Arial"/>
          <w:sz w:val="22"/>
          <w:szCs w:val="22"/>
        </w:rPr>
        <w:t>else</w:t>
      </w:r>
      <w:proofErr w:type="spellEnd"/>
      <w:r w:rsidRPr="00E87066">
        <w:rPr>
          <w:rFonts w:ascii="Arial" w:hAnsi="Arial" w:cs="Arial"/>
          <w:sz w:val="22"/>
          <w:szCs w:val="22"/>
        </w:rPr>
        <w:t>).</w:t>
      </w:r>
    </w:p>
    <w:p w14:paraId="1F1B127A" w14:textId="23DABBC5" w:rsidR="00E87066" w:rsidRPr="00E87066" w:rsidRDefault="00E87066" w:rsidP="00E87066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b/>
          <w:bCs/>
          <w:sz w:val="22"/>
          <w:szCs w:val="22"/>
        </w:rPr>
        <w:t>Cobertura de Métodos (100%):</w:t>
      </w:r>
      <w:r w:rsidRPr="00E87066">
        <w:rPr>
          <w:rFonts w:ascii="Arial" w:hAnsi="Arial" w:cs="Arial"/>
          <w:sz w:val="22"/>
          <w:szCs w:val="22"/>
        </w:rPr>
        <w:t xml:space="preserve"> Se alcanzó un </w:t>
      </w:r>
      <w:r w:rsidRPr="00E87066">
        <w:rPr>
          <w:rFonts w:ascii="Arial" w:hAnsi="Arial" w:cs="Arial"/>
          <w:b/>
          <w:bCs/>
          <w:sz w:val="22"/>
          <w:szCs w:val="22"/>
        </w:rPr>
        <w:t>100% absoluto de métodos cubiertos</w:t>
      </w:r>
      <w:r w:rsidRPr="00E87066">
        <w:rPr>
          <w:rFonts w:ascii="Arial" w:hAnsi="Arial" w:cs="Arial"/>
          <w:sz w:val="22"/>
          <w:szCs w:val="22"/>
        </w:rPr>
        <w:t xml:space="preserve"> (103 de 103 métodos detectados). Esto significa que </w:t>
      </w:r>
      <w:r w:rsidRPr="00E87066">
        <w:rPr>
          <w:rFonts w:ascii="Arial" w:hAnsi="Arial" w:cs="Arial"/>
          <w:b/>
          <w:bCs/>
          <w:sz w:val="22"/>
          <w:szCs w:val="22"/>
        </w:rPr>
        <w:t>absolutamente todos</w:t>
      </w:r>
      <w:r w:rsidRPr="00E87066">
        <w:rPr>
          <w:rFonts w:ascii="Arial" w:hAnsi="Arial" w:cs="Arial"/>
          <w:sz w:val="22"/>
          <w:szCs w:val="22"/>
        </w:rPr>
        <w:t xml:space="preserve"> los métodos de la capa DAO han sido invocados y probados al menos una vez por las rutinas de prueba.</w:t>
      </w:r>
    </w:p>
    <w:p w14:paraId="6CA0A783" w14:textId="7623340E" w:rsidR="00E87066" w:rsidRPr="00E87066" w:rsidRDefault="00E87066" w:rsidP="00E87066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b/>
          <w:bCs/>
          <w:sz w:val="22"/>
          <w:szCs w:val="22"/>
        </w:rPr>
        <w:t>Cobertura de Clases (100%):</w:t>
      </w:r>
      <w:r w:rsidRPr="00E87066">
        <w:rPr>
          <w:rFonts w:ascii="Arial" w:hAnsi="Arial" w:cs="Arial"/>
          <w:sz w:val="22"/>
          <w:szCs w:val="22"/>
        </w:rPr>
        <w:t xml:space="preserve"> Las 15 clases que componen el módulo fueron abarcadas en su totalidad.</w:t>
      </w:r>
    </w:p>
    <w:p w14:paraId="69129221" w14:textId="77777777" w:rsidR="00E87066" w:rsidRPr="00E87066" w:rsidRDefault="00E87066" w:rsidP="00E87066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b/>
          <w:bCs/>
          <w:sz w:val="22"/>
          <w:szCs w:val="22"/>
        </w:rPr>
        <w:t>Cobertura de Líneas:</w:t>
      </w:r>
      <w:r w:rsidRPr="00E87066">
        <w:rPr>
          <w:rFonts w:ascii="Arial" w:hAnsi="Arial" w:cs="Arial"/>
          <w:sz w:val="22"/>
          <w:szCs w:val="22"/>
        </w:rPr>
        <w:t xml:space="preserve"> De 1,052 líneas de código analizadas, solo 14 líneas permanecen sin cobertura, reflejando una precisión quirúrgica en el diseño de las pruebas.</w:t>
      </w:r>
    </w:p>
    <w:p w14:paraId="6F32FA63" w14:textId="35506A80" w:rsidR="00E87066" w:rsidRPr="00E87066" w:rsidRDefault="00E87066" w:rsidP="00E87066">
      <w:pPr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b/>
          <w:bCs/>
          <w:sz w:val="22"/>
          <w:szCs w:val="22"/>
        </w:rPr>
        <w:t>Robustez de la Persistencia:</w:t>
      </w:r>
      <w:r w:rsidRPr="00E87066">
        <w:rPr>
          <w:rFonts w:ascii="Arial" w:hAnsi="Arial" w:cs="Arial"/>
          <w:sz w:val="22"/>
          <w:szCs w:val="22"/>
        </w:rPr>
        <w:t xml:space="preserve"> Al contar con un </w:t>
      </w:r>
      <w:r w:rsidRPr="00E87066">
        <w:rPr>
          <w:rFonts w:ascii="Arial" w:hAnsi="Arial" w:cs="Arial"/>
          <w:b/>
          <w:bCs/>
          <w:sz w:val="22"/>
          <w:szCs w:val="22"/>
        </w:rPr>
        <w:t>100% de métodos cubiertos</w:t>
      </w:r>
      <w:r w:rsidRPr="00E87066">
        <w:rPr>
          <w:rFonts w:ascii="Arial" w:hAnsi="Arial" w:cs="Arial"/>
          <w:sz w:val="22"/>
          <w:szCs w:val="22"/>
        </w:rPr>
        <w:t xml:space="preserve"> en la capa DAO, se mitiga drásticamente el riesgo de fallos por métodos huérfanos, errores de sintaxis en consultas mapeadas o excepciones de conexión no contempladas.</w:t>
      </w:r>
    </w:p>
    <w:p w14:paraId="70AB0934" w14:textId="1F120E2A" w:rsidR="00E87066" w:rsidRPr="00E87066" w:rsidRDefault="00E87066" w:rsidP="00E87066">
      <w:pPr>
        <w:pStyle w:val="NormalWeb"/>
        <w:rPr>
          <w:rFonts w:ascii="Arial" w:hAnsi="Arial" w:cs="Arial"/>
          <w:sz w:val="22"/>
          <w:szCs w:val="22"/>
        </w:rPr>
      </w:pPr>
      <w:r w:rsidRPr="00E87066">
        <w:rPr>
          <w:rFonts w:ascii="Arial" w:hAnsi="Arial" w:cs="Arial"/>
          <w:b/>
          <w:bCs/>
          <w:sz w:val="22"/>
          <w:szCs w:val="22"/>
        </w:rPr>
        <w:t>Integridad Transaccional:</w:t>
      </w:r>
      <w:r w:rsidRPr="00E87066">
        <w:rPr>
          <w:rFonts w:ascii="Arial" w:hAnsi="Arial" w:cs="Arial"/>
          <w:sz w:val="22"/>
          <w:szCs w:val="22"/>
        </w:rPr>
        <w:t xml:space="preserve"> El alto porcentaje de cobertura en ramas (79%) e instrucciones (95%) asegura que los flujos alternativos de la base de datos (como validación de registros duplicados o manejo de estados) responden de manera predecible ante la ejecución del sistema.</w:t>
      </w:r>
    </w:p>
    <w:p w14:paraId="1BE84873" w14:textId="77777777" w:rsidR="00E87066" w:rsidRDefault="00E87066"/>
    <w:sectPr w:rsidR="00E870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77F04"/>
    <w:multiLevelType w:val="hybridMultilevel"/>
    <w:tmpl w:val="7FE4C8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037D7"/>
    <w:multiLevelType w:val="multilevel"/>
    <w:tmpl w:val="E996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43983"/>
    <w:multiLevelType w:val="multilevel"/>
    <w:tmpl w:val="4F48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471100">
    <w:abstractNumId w:val="1"/>
  </w:num>
  <w:num w:numId="2" w16cid:durableId="1594893905">
    <w:abstractNumId w:val="0"/>
  </w:num>
  <w:num w:numId="3" w16cid:durableId="1571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66"/>
    <w:rsid w:val="005C11C2"/>
    <w:rsid w:val="00B845F3"/>
    <w:rsid w:val="00C218CE"/>
    <w:rsid w:val="00C800C2"/>
    <w:rsid w:val="00DB5EBF"/>
    <w:rsid w:val="00E87066"/>
    <w:rsid w:val="00EC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CF67"/>
  <w15:chartTrackingRefBased/>
  <w15:docId w15:val="{F5C9571B-B487-4C28-872B-A5A662B2C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7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7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7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7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0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0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0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0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0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0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7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0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70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0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0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70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87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802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GRANADOS REYES JUAN</dc:creator>
  <cp:keywords/>
  <dc:description/>
  <cp:lastModifiedBy>GRANADOS REYES JUAN</cp:lastModifiedBy>
  <cp:revision>1</cp:revision>
  <dcterms:created xsi:type="dcterms:W3CDTF">2026-07-28T04:56:00Z</dcterms:created>
  <dcterms:modified xsi:type="dcterms:W3CDTF">2026-07-28T05:06:00Z</dcterms:modified>
</cp:coreProperties>
</file>