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Minutes of Meeting — Bioreactor Harvest Process Exception Review</w:t>
      </w:r>
    </w:p>
    <w:p>
      <w:r>
        <w:rPr>
          <w:color w:val="8B0000"/>
          <w:sz w:val="18"/>
          <w:szCs w:val="18"/>
        </w:rPr>
        <w:t xml:space="preserve">Meeting Reference: MOM-BH-2026-Q1-004 | Date: 05-Mar-2026 | Status: APPROVED</w:t>
      </w:r>
    </w:p>
    <w:p/>
    <w:p>
      <w:pPr>
        <w:pStyle w:val="Heading2"/>
      </w:pPr>
      <w:r>
        <w:t xml:space="preserve">1. Attendees</w:t>
      </w:r>
    </w:p>
    <w:p>
      <w:r>
        <w:rPr>
          <w:sz w:val="22"/>
          <w:szCs w:val="22"/>
        </w:rPr>
        <w:t xml:space="preserve">Dr. R. Mehta (QA Director), Dr. S. Kapoor (Lab Director), J. Thammineni (Process Dev), K. Tammineni (Regulatory Affairs), S. Shome (Senior Analyst), Analyst_B (Trainee Analyst, observer only)</w:t>
      </w:r>
    </w:p>
    <w:p/>
    <w:p>
      <w:pPr>
        <w:pStyle w:val="Heading2"/>
      </w:pPr>
      <w:r>
        <w:t xml:space="preserve">2. Cold-Chain Temperature Exception (CCA batches)</w:t>
      </w:r>
    </w:p>
    <w:p>
      <w:r>
        <w:rPr>
          <w:sz w:val="22"/>
          <w:szCs w:val="22"/>
        </w:rPr>
        <w:t xml:space="preserve">Following a cold-chain incident in February 2026, the Process Development team conducted a full process characterisation study on cold-chain adapted (CCA) cell lines. The study conclusively demonstrated that CCA cell lines maintain equivalent product quality at reduced fermentation temperatures (34.0–36.5°C). The regulatory strategy document RST-2026-004 has been filed with the competent authority, and no objections were received within the 30-day review period. Accordingly, all batches designated as CCA in the batch record may be processed under the relaxed temperature window. QA Director Dr. Mehta approved this exception on 01-Mar-2026 (Approval Reference: QAD-2026-031). This exception remains in force until the process validation report (PVR-2026-008) is finalised, expected Q3 2026.</w:t>
      </w:r>
    </w:p>
    <w:p/>
    <w:p>
      <w:pPr>
        <w:pStyle w:val="Heading2"/>
      </w:pPr>
      <w:r>
        <w:t xml:space="preserve">3. Scale-Up Viability Exception (SU batches)</w:t>
      </w:r>
    </w:p>
    <w:p>
      <w:r>
        <w:rPr>
          <w:sz w:val="22"/>
          <w:szCs w:val="22"/>
        </w:rPr>
        <w:t xml:space="preserve">Scale-up batches (SU designation) demonstrate systematically lower initial cell viability due to the cryopreservation step used for working cell bank (WCB) vials at the 2000L scale. Process characterisation data (PCD-2026-002) demonstrates that SU batch viability recovers to &gt;85% by Day 3 of culture. The batch release viability specification for SU batches is therefore relaxed to &gt;=72.0% at harvest (Day 0 of downstream processing), with the mandatory proviso that a Day 3 viability check of &gt;=82.0% must be documented. This exception was reviewed and approved at the Science and Technology Review Board meeting on 15-Feb-2026 (STRB-2026-008). For standard batches, the 80.0% minimum remains in force.</w:t>
      </w:r>
    </w:p>
    <w:p/>
    <w:p>
      <w:pPr>
        <w:pStyle w:val="Heading2"/>
      </w:pPr>
      <w:r>
        <w:t xml:space="preserve">4. Process Intensification Protein Concentration Exception (PI batches)</w:t>
      </w:r>
    </w:p>
    <w:p>
      <w:r>
        <w:rPr>
          <w:sz w:val="22"/>
          <w:szCs w:val="22"/>
        </w:rPr>
        <w:t xml:space="preserve">During the process intensification programme, several high-density culture experiments produced harvest Protein_Concentration values below the 42.0 mg/mL SOP minimum due to deliberate dilution effects from increased feeding volumes. An internal study (INT-2026-011) demonstrated that downstream purification efficiency is not impaired at concentrations as low as 35.0 mg/mL, provided the cell viability is &gt;=85%. The exception below applies exclusively to process intensification (PI) runs, which are designated PI in the batch record. For all other batch types, the 42.0 mg/mL minimum remains in force.</w:t>
      </w:r>
    </w:p>
    <w:p/>
    <w:p>
      <w:pPr>
        <w:pStyle w:val="Heading2"/>
      </w:pPr>
      <w:r>
        <w:t xml:space="preserve">5. Emergency CO2 Deviation — ED-2026-003</w:t>
      </w:r>
    </w:p>
    <w:p>
      <w:r>
        <w:rPr>
          <w:sz w:val="22"/>
          <w:szCs w:val="22"/>
        </w:rPr>
        <w:t xml:space="preserve">Emergency deviation ED-2026-003: Batch run on 10-Mar-2026 experienced a CO2 probe calibration drift that resulted in recorded CO2_Partial_Pressure_mmHg values in the range 65–75 mmHg for a 4-hour window. Independent gas analysis confirmed actual CO2 levels were within specification (42–55 mmHg) throughout. The probe was replaced and recalibrated. QA agreed that a one-time exception applies for this batch only, accepting CO2 values up to 80 mmHg due to the confirmed instrument artefact. Reference: ED-2026-003, approved by Dr. Mehta.</w:t>
      </w:r>
    </w:p>
    <w:p/>
    <w:p>
      <w:pPr>
        <w:pStyle w:val="Heading2"/>
      </w:pPr>
      <w:r>
        <w:t xml:space="preserve">6. Summary of All Active Exceptions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8B0000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shd w:fill="8B0000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Exception Value</w:t>
            </w:r>
          </w:p>
        </w:tc>
        <w:tc>
          <w:tcPr>
            <w:shd w:fill="8B0000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Batch Type</w:t>
            </w:r>
          </w:p>
        </w:tc>
        <w:tc>
          <w:tcPr>
            <w:shd w:fill="8B0000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Approval Ref</w:t>
            </w:r>
          </w:p>
        </w:tc>
        <w:tc>
          <w:tcPr>
            <w:shd w:fill="8B0000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Expiry</w:t>
            </w:r>
          </w:p>
        </w:tc>
      </w:tr>
      <w:tr>
        <w:tc>
          <w:p>
            <w:r>
              <w:rPr>
                <w:color w:val="111111"/>
                <w:sz w:val="19"/>
                <w:szCs w:val="19"/>
              </w:rPr>
              <w:t xml:space="preserve">Fermentation_Temp_C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34.0 – 36.5 °C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CCA batches only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QAD-2026-031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Q3 2026</w:t>
            </w:r>
          </w:p>
        </w:tc>
      </w:tr>
      <w:tr>
        <w:tc>
          <w:p>
            <w:r>
              <w:rPr>
                <w:color w:val="111111"/>
                <w:sz w:val="19"/>
                <w:szCs w:val="19"/>
              </w:rPr>
              <w:t xml:space="preserve">Cell_Viability_Percent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&gt;= 72.0% at harvest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SU batches only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STRB-2026-008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31-Dec-2026</w:t>
            </w:r>
          </w:p>
        </w:tc>
      </w:tr>
      <w:tr>
        <w:tc>
          <w:p>
            <w:r>
              <w:rPr>
                <w:color w:val="111111"/>
                <w:sz w:val="19"/>
                <w:szCs w:val="19"/>
              </w:rPr>
              <w:t xml:space="preserve">Protein_Concentration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&gt;= 35.0 mg/mL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PI batches only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INT-2026-011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30-Jun-2026</w:t>
            </w:r>
          </w:p>
        </w:tc>
      </w:tr>
      <w:tr>
        <w:tc>
          <w:p>
            <w:r>
              <w:rPr>
                <w:color w:val="111111"/>
                <w:sz w:val="19"/>
                <w:szCs w:val="19"/>
              </w:rPr>
              <w:t xml:space="preserve">CO2_Partial_Pressure_mmHg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&lt;= 80.0 mmHg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ED-2026-003 batch only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ED-2026-003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Single batch</w:t>
            </w:r>
          </w:p>
        </w:tc>
      </w:tr>
      <w:tr>
        <w:tc>
          <w:p>
            <w:r>
              <w:rPr>
                <w:color w:val="111111"/>
                <w:sz w:val="19"/>
                <w:szCs w:val="19"/>
              </w:rPr>
              <w:t xml:space="preserve">Dissolved_O2_Saturation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&gt;= 20.0% (all phases)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Emergency batches (EMG)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QAD-2026-044</w:t>
            </w:r>
          </w:p>
        </w:tc>
        <w:tc>
          <w:p>
            <w:r>
              <w:rPr>
                <w:color w:val="111111"/>
                <w:sz w:val="19"/>
                <w:szCs w:val="19"/>
              </w:rPr>
              <w:t xml:space="preserve">Case by case</w:t>
            </w:r>
          </w:p>
        </w:tc>
      </w:tr>
    </w:tbl>
    <w:p/>
    <w:p>
      <w:pPr>
        <w:pStyle w:val="Heading2"/>
      </w:pPr>
      <w:r>
        <w:t xml:space="preserve">7. Osmolality Exception for High-Feed Runs</w:t>
      </w:r>
    </w:p>
    <w:p>
      <w:r>
        <w:rPr>
          <w:sz w:val="22"/>
          <w:szCs w:val="22"/>
        </w:rPr>
        <w:t xml:space="preserve">High-feed runs (HF designation) utilise concentrated glucose feeds that transiently elevate osmolality. Process characterisation data shows osmolality peaks of 355–365 mOsm/kg occur 2–4 hours post-feed and return to baseline within 6 hours. No product quality impact was demonstrated at these transient levels. The exception for HF batches is: Osmolality_mOsm_per_kg &lt;= 370.0 mOsm/kg, provided the time-weighted average over 24 hours does not exceed 340.0 mOsm/kg. This exception was approved by the STRB on 20-Feb-2026 (STRB-2026-006).</w:t>
      </w:r>
    </w:p>
    <w:p/>
    <w:p>
      <w:pPr>
        <w:pStyle w:val="Heading2"/>
      </w:pPr>
      <w:r>
        <w:t xml:space="preserve">8. Glucose Consumption Exception for Day 1 Samples</w:t>
      </w:r>
    </w:p>
    <w:p>
      <w:r>
        <w:rPr>
          <w:sz w:val="22"/>
          <w:szCs w:val="22"/>
        </w:rPr>
        <w:t xml:space="preserve">For samples taken on Day 1 of culture (within 24 hours of inoculation), Glucose_Consumption_g_per_L values as low as 5.0 g/L are acceptable, as cells require an adaptation period post-inoculation. The SOP minimum of 8.0 g/L applies from Day 2 onwards. This is not a batch exception but a sampling-time exception that applies universally.</w:t>
      </w:r>
    </w:p>
    <w:p/>
    <w:p>
      <w:pPr>
        <w:pStyle w:val="Heading2"/>
      </w:pPr>
      <w:r>
        <w:t xml:space="preserve">9. Trainee Analyst Exception Handling</w:t>
      </w:r>
    </w:p>
    <w:p>
      <w:r>
        <w:rPr>
          <w:sz w:val="22"/>
          <w:szCs w:val="22"/>
        </w:rPr>
        <w:t xml:space="preserve">Results generated by Trainee Analysts (current trainees: Analyst_B) are subject to a mandatory co-review by a qualified Senior Analyst. The Senior Analyst co-signature must appear on the batch record before any disposition decision. For Cell_Viability_Percent, trainees must report an additional internal buffer: the disposition value used must be 2.0 percentage points LOWER than the measured value (conservative approach). This means a measured viability of 82.0% is reported as 80.0% for disposition purposes.</w:t>
      </w:r>
    </w:p>
    <w:p/>
    <w:p>
      <w:pPr>
        <w:pStyle w:val="Heading2"/>
      </w:pPr>
      <w:r>
        <w:t xml:space="preserve">10. Action Items and Next Steps</w:t>
      </w:r>
    </w:p>
    <w:p>
      <w:r>
        <w:rPr>
          <w:sz w:val="22"/>
          <w:szCs w:val="22"/>
        </w:rPr>
        <w:t xml:space="preserve">1. Process Development to complete PVR-2026-008 by Q3 2026 to close the CCA temperature exception formally. 2. QA to update the exception register (QA-EXC-2026) with all items from this meeting by 12-Mar-2026. 3. Regulatory Affairs to review exception for osmolality and confirm no health authority notification required. 4. All exceptions must be referenced in the batch record for each affected batch.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2026-04-04T03:32:40.335Z</dcterms:created>
  <dcterms:modified xsi:type="dcterms:W3CDTF">2026-04-04T03:32:40.336Z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